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杭银理财幸福99季添益1911期理财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Z7002221000282</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杭银理财幸福99季添益1911期理财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杭银理财幸福99季添益1911期理财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季添益1911期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TYG3M1911</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Z7002221000282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A份额（销售代码〖TYG3M1911〗）：普通个人投资者和机构客户。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B份额（销售代码〖TYG3M1911B〗）：高净值等特邀客户专属。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C份额（销售代码〖TYG3M1911C〗）：特定客群专属。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〖B份额〗起点〖20〗万元整，超过认购/申购起点部分，应为〖1〗元的整数倍。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每季</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单位净值〖保留小数点后四位〗，〖四位后去尾〗</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本理财计划〖C份额〗业绩比较基准为〖中债-新综合指数(1年以下)全价指数×90%+中国人民银行公布的个人活期存款利率×10%〗（年化）。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2.3%〗的部分，管理人提取〖50%〗作为浮动管理费；〖B份额〗投资周期的折合年化收益率超过〖2.35%〗的部分，管理人提取〖50%〗作为浮动管理费；〖C份额〗投资周期的折合年化收益率超过〖2.4%〗的部分，管理人提取〖50%〗作为浮动管理费</w:t>
            </w:r>
            <w:bookmarkStart w:id="0" w:name="_GoBack"/>
            <w:bookmarkEnd w:id="0"/>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8.信息技术服务费：收取年化〖</w:t>
            </w: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上饶银行股份有限公司</w:t>
            </w:r>
          </w:p>
        </w:tc>
        <w:tc>
          <w:tcPr>
            <w:tcW w:w="1200" w:type="dxa"/>
            <w:vAlign w:val="center"/>
          </w:tcPr>
          <w:p>
            <w:pPr>
              <w:jc w:val="left"/>
            </w:pPr>
            <w:r>
              <w:t>住所</w:t>
            </w:r>
          </w:p>
        </w:tc>
        <w:tc>
          <w:tcPr>
            <w:tcW w:w="3800" w:type="dxa"/>
            <w:vAlign w:val="center"/>
          </w:tcPr>
          <w:p>
            <w:pPr>
              <w:jc w:val="center"/>
            </w:pPr>
            <w:r>
              <w:t>江西省上饶市信州区五三大道107号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0793-96233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佛山农村商业银行股份有限公司</w:t>
            </w:r>
          </w:p>
        </w:tc>
        <w:tc>
          <w:tcPr>
            <w:tcW w:w="1200" w:type="dxa"/>
            <w:vAlign w:val="center"/>
          </w:tcPr>
          <w:p>
            <w:pPr>
              <w:jc w:val="left"/>
            </w:pPr>
            <w:r>
              <w:t>住所</w:t>
            </w:r>
          </w:p>
        </w:tc>
        <w:tc>
          <w:tcPr>
            <w:tcW w:w="3800" w:type="dxa"/>
            <w:vAlign w:val="center"/>
          </w:tcPr>
          <w:p>
            <w:pPr>
              <w:jc w:val="center"/>
            </w:pPr>
            <w:r>
              <w:t>佛山市禅城区华远东路5号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0757-83032251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宁波象山农村商业银行股份有限公司</w:t>
            </w:r>
          </w:p>
        </w:tc>
        <w:tc>
          <w:tcPr>
            <w:tcW w:w="1200" w:type="dxa"/>
            <w:vAlign w:val="center"/>
          </w:tcPr>
          <w:p>
            <w:pPr>
              <w:jc w:val="left"/>
            </w:pPr>
            <w:r>
              <w:t>住所</w:t>
            </w:r>
          </w:p>
        </w:tc>
        <w:tc>
          <w:tcPr>
            <w:tcW w:w="3800" w:type="dxa"/>
            <w:vAlign w:val="center"/>
          </w:tcPr>
          <w:p>
            <w:pPr>
              <w:jc w:val="center"/>
            </w:pPr>
            <w: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浙江东阳农村商业银行股份有限公司</w:t>
            </w:r>
          </w:p>
        </w:tc>
        <w:tc>
          <w:tcPr>
            <w:tcW w:w="1200" w:type="dxa"/>
            <w:vAlign w:val="center"/>
          </w:tcPr>
          <w:p>
            <w:pPr>
              <w:jc w:val="left"/>
            </w:pPr>
            <w:r>
              <w:t>住所</w:t>
            </w:r>
          </w:p>
        </w:tc>
        <w:tc>
          <w:tcPr>
            <w:tcW w:w="3800" w:type="dxa"/>
            <w:vAlign w:val="center"/>
          </w:tcPr>
          <w:p>
            <w:pPr>
              <w:jc w:val="center"/>
            </w:pPr>
            <w:r>
              <w:t>浙江省金华市东阳市双岘路18号东阳农商银行八楼财富中心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0579-86897175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浙江临安农村商业银行股份有限公司</w:t>
            </w:r>
          </w:p>
        </w:tc>
        <w:tc>
          <w:tcPr>
            <w:tcW w:w="1200" w:type="dxa"/>
            <w:vAlign w:val="center"/>
          </w:tcPr>
          <w:p>
            <w:pPr>
              <w:jc w:val="left"/>
            </w:pPr>
            <w:r>
              <w:t>住所</w:t>
            </w:r>
          </w:p>
        </w:tc>
        <w:tc>
          <w:tcPr>
            <w:tcW w:w="3800" w:type="dxa"/>
            <w:vAlign w:val="center"/>
          </w:tcPr>
          <w:p>
            <w:pPr>
              <w:jc w:val="center"/>
            </w:pPr>
            <w:r>
              <w:t>杭州市临安区钱王街821号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0571-61105831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浙江兰溪农村商业银行股份有限公司</w:t>
            </w:r>
          </w:p>
        </w:tc>
        <w:tc>
          <w:tcPr>
            <w:tcW w:w="1200" w:type="dxa"/>
            <w:vAlign w:val="center"/>
          </w:tcPr>
          <w:p>
            <w:pPr>
              <w:jc w:val="left"/>
            </w:pPr>
            <w:r>
              <w:t>住所</w:t>
            </w:r>
          </w:p>
        </w:tc>
        <w:tc>
          <w:tcPr>
            <w:tcW w:w="3800" w:type="dxa"/>
            <w:vAlign w:val="center"/>
          </w:tcPr>
          <w:p>
            <w:pPr>
              <w:jc w:val="center"/>
            </w:pPr>
            <w:r>
              <w:t>浙江省兰溪市兰江街道丹溪大道18号兰溪农商银行</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浙江江山农村商业银行股份有限公司</w:t>
            </w:r>
          </w:p>
        </w:tc>
        <w:tc>
          <w:tcPr>
            <w:tcW w:w="1200" w:type="dxa"/>
            <w:vAlign w:val="center"/>
          </w:tcPr>
          <w:p>
            <w:pPr>
              <w:jc w:val="left"/>
            </w:pPr>
            <w:r>
              <w:t>住所</w:t>
            </w:r>
          </w:p>
        </w:tc>
        <w:tc>
          <w:tcPr>
            <w:tcW w:w="3800" w:type="dxa"/>
            <w:vAlign w:val="center"/>
          </w:tcPr>
          <w:p>
            <w:pPr>
              <w:jc w:val="center"/>
            </w:pPr>
            <w: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浙江温州瓯海农村商业银行股份有限公司</w:t>
            </w:r>
          </w:p>
        </w:tc>
        <w:tc>
          <w:tcPr>
            <w:tcW w:w="1200" w:type="dxa"/>
            <w:vAlign w:val="center"/>
          </w:tcPr>
          <w:p>
            <w:pPr>
              <w:jc w:val="left"/>
            </w:pPr>
            <w:r>
              <w:t>住所</w:t>
            </w:r>
          </w:p>
        </w:tc>
        <w:tc>
          <w:tcPr>
            <w:tcW w:w="3800" w:type="dxa"/>
            <w:vAlign w:val="center"/>
          </w:tcPr>
          <w:p>
            <w:pPr>
              <w:jc w:val="center"/>
            </w:pPr>
            <w:r>
              <w:t>温州市瓯海区瓯海大道989号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浙江舟山定海海洋农村商业银行股份有限公司</w:t>
            </w:r>
          </w:p>
        </w:tc>
        <w:tc>
          <w:tcPr>
            <w:tcW w:w="1200" w:type="dxa"/>
            <w:vAlign w:val="center"/>
          </w:tcPr>
          <w:p>
            <w:pPr>
              <w:jc w:val="left"/>
            </w:pPr>
            <w:r>
              <w:t>住所</w:t>
            </w:r>
          </w:p>
        </w:tc>
        <w:tc>
          <w:tcPr>
            <w:tcW w:w="3800" w:type="dxa"/>
            <w:vAlign w:val="center"/>
          </w:tcPr>
          <w:p>
            <w:pPr>
              <w:jc w:val="center"/>
            </w:pPr>
            <w:r>
              <w:t>浙江省舟山市定海区环城东路81号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0580-2030956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3"/>
        </w:numPr>
        <w:spacing w:line="360" w:lineRule="auto"/>
        <w:ind w:left="0" w:leftChars="0" w:firstLine="482" w:firstLineChars="200"/>
        <w:outlineLvl w:val="2"/>
        <w:rPr>
          <w:rFonts w:hint="eastAsia" w:ascii="宋体" w:hAnsi="宋体" w:cs="宋体"/>
          <w:b/>
          <w:bCs/>
          <w:color w:val="000000"/>
          <w:sz w:val="24"/>
          <w:highlight w:val="none"/>
        </w:rPr>
      </w:pPr>
      <w:r>
        <w:rPr>
          <w:rFonts w:hint="eastAsia" w:ascii="宋体" w:hAnsi="宋体" w:cs="宋体"/>
          <w:b/>
          <w:bCs/>
          <w:color w:val="000000"/>
          <w:kern w:val="2"/>
          <w:sz w:val="24"/>
          <w:szCs w:val="24"/>
          <w:highlight w:val="none"/>
          <w:lang w:val="en-US" w:eastAsia="zh" w:bidi="ar-SA"/>
        </w:rPr>
        <w:t>关联关系方</w:t>
      </w:r>
    </w:p>
    <w:tbl>
      <w:tblPr>
        <w:tblStyle w:val="11"/>
        <w:tblW w:w="87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140"/>
        <w:gridCol w:w="4424"/>
        <w:gridCol w:w="21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关联方类型</w:t>
            </w:r>
          </w:p>
        </w:tc>
        <w:tc>
          <w:tcPr>
            <w:tcW w:w="4424" w:type="dxa"/>
            <w:vAlign w:val="center"/>
          </w:tcPr>
          <w:p>
            <w:pPr>
              <w:jc w:val="center"/>
            </w:pPr>
            <w:r>
              <w:rPr>
                <w:rFonts w:ascii="宋体" w:hAnsi="宋体" w:eastAsia="宋体"/>
                <w:sz w:val="22"/>
              </w:rPr>
              <w:t>关联方机构名称</w:t>
            </w:r>
          </w:p>
        </w:tc>
        <w:tc>
          <w:tcPr>
            <w:tcW w:w="2140" w:type="dxa"/>
            <w:vAlign w:val="center"/>
          </w:tcPr>
          <w:p>
            <w:pPr>
              <w:jc w:val="center"/>
            </w:pPr>
            <w:r>
              <w:rPr>
                <w:rFonts w:ascii="宋体" w:hAnsi="宋体"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托管机构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石嘴山银行股份有限公司</w:t>
            </w:r>
          </w:p>
        </w:tc>
        <w:tc>
          <w:tcPr>
            <w:tcW w:w="2140" w:type="dxa"/>
            <w:vAlign w:val="center"/>
          </w:tcPr>
          <w:p>
            <w:pPr>
              <w:jc w:val="center"/>
            </w:pPr>
            <w:r>
              <w:rPr>
                <w:rFonts w:ascii="宋体" w:hAnsi="宋体" w:eastAsia="宋体"/>
                <w:sz w:val="22"/>
              </w:rPr>
              <w:t>托管机构控股子公司</w:t>
            </w:r>
          </w:p>
        </w:tc>
      </w:tr>
    </w:tbl>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szCs w:val="24"/>
          <w:highlight w:val="none"/>
        </w:rPr>
        <w:t>T为当前投资周期内每单位份额的实际分红金额的合计（如有）</w:t>
      </w:r>
    </w:p>
    <w:p>
      <w:pPr>
        <w:numPr>
          <w:ilvl w:val="0"/>
          <w:numId w:val="31"/>
        </w:numPr>
        <w:spacing w:line="360" w:lineRule="auto"/>
        <w:ind w:left="0" w:leftChars="0"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理财计划财产的年化信息技术服务费为〖</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%〗，计算方法如下：</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H＝E×〖</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%〗÷365</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H为每日应计提的信息技术服务费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E为本理财计划前一日资产净值</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信息技术服务费原则上按日计提。</w:t>
      </w:r>
    </w:p>
    <w:p>
      <w:pPr>
        <w:numPr>
          <w:ilvl w:val="0"/>
          <w:numId w:val="31"/>
        </w:numPr>
        <w:spacing w:line="360" w:lineRule="auto"/>
        <w:ind w:left="0" w:leftChars="0"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应在发生重大诉讼等可能对理财计划投资者或者理财计划收益产生重大事项的事件后2个工作日内发布重大事项公告。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2">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5">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6">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7">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8">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9">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0">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1">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2">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6">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8">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19">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1">
    <w:nsid w:val="E70DF796"/>
    <w:multiLevelType w:val="singleLevel"/>
    <w:tmpl w:val="E70DF796"/>
    <w:lvl w:ilvl="0" w:tentative="0">
      <w:start w:val="1"/>
      <w:numFmt w:val="decimal"/>
      <w:suff w:val="nothing"/>
      <w:lvlText w:val="（%1）"/>
      <w:lvlJc w:val="left"/>
      <w:rPr>
        <w:color w:val="000000"/>
      </w:rPr>
    </w:lvl>
  </w:abstractNum>
  <w:abstractNum w:abstractNumId="22">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3">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4">
    <w:nsid w:val="167B0BB4"/>
    <w:multiLevelType w:val="singleLevel"/>
    <w:tmpl w:val="167B0BB4"/>
    <w:lvl w:ilvl="0" w:tentative="0">
      <w:start w:val="1"/>
      <w:numFmt w:val="decimal"/>
      <w:suff w:val="nothing"/>
      <w:lvlText w:val="（%1）"/>
      <w:lvlJc w:val="left"/>
    </w:lvl>
  </w:abstractNum>
  <w:abstractNum w:abstractNumId="35">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6">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7">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8">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39">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0">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1">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2">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3">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4">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5">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6">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7">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8">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49">
    <w:nsid w:val="5BA91325"/>
    <w:multiLevelType w:val="singleLevel"/>
    <w:tmpl w:val="5BA91325"/>
    <w:lvl w:ilvl="0" w:tentative="0">
      <w:start w:val="1"/>
      <w:numFmt w:val="decimal"/>
      <w:suff w:val="nothing"/>
      <w:lvlText w:val="（%1）"/>
      <w:lvlJc w:val="left"/>
      <w:rPr>
        <w:color w:val="000000"/>
      </w:rPr>
    </w:lvl>
  </w:abstractNum>
  <w:abstractNum w:abstractNumId="50">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1">
    <w:nsid w:val="69C07A9C"/>
    <w:multiLevelType w:val="singleLevel"/>
    <w:tmpl w:val="69C07A9C"/>
    <w:lvl w:ilvl="0" w:tentative="0">
      <w:start w:val="1"/>
      <w:numFmt w:val="lowerLetter"/>
      <w:suff w:val="space"/>
      <w:lvlText w:val="%1."/>
      <w:lvlJc w:val="left"/>
      <w:rPr>
        <w:color w:val="00000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7"/>
  </w:num>
  <w:num w:numId="2">
    <w:abstractNumId w:val="43"/>
  </w:num>
  <w:num w:numId="3">
    <w:abstractNumId w:val="28"/>
  </w:num>
  <w:num w:numId="4">
    <w:abstractNumId w:val="25"/>
  </w:num>
  <w:num w:numId="5">
    <w:abstractNumId w:val="32"/>
  </w:num>
  <w:num w:numId="6">
    <w:abstractNumId w:val="24"/>
  </w:num>
  <w:num w:numId="7">
    <w:abstractNumId w:val="15"/>
  </w:num>
  <w:num w:numId="8">
    <w:abstractNumId w:val="9"/>
  </w:num>
  <w:num w:numId="9">
    <w:abstractNumId w:val="12"/>
  </w:num>
  <w:num w:numId="10">
    <w:abstractNumId w:val="6"/>
  </w:num>
  <w:num w:numId="11">
    <w:abstractNumId w:val="7"/>
  </w:num>
  <w:num w:numId="12">
    <w:abstractNumId w:val="5"/>
  </w:num>
  <w:num w:numId="13">
    <w:abstractNumId w:val="29"/>
  </w:num>
  <w:num w:numId="14">
    <w:abstractNumId w:val="42"/>
  </w:num>
  <w:num w:numId="15">
    <w:abstractNumId w:val="27"/>
  </w:num>
  <w:num w:numId="16">
    <w:abstractNumId w:val="44"/>
  </w:num>
  <w:num w:numId="17">
    <w:abstractNumId w:val="49"/>
  </w:num>
  <w:num w:numId="18">
    <w:abstractNumId w:val="51"/>
  </w:num>
  <w:num w:numId="19">
    <w:abstractNumId w:val="37"/>
  </w:num>
  <w:num w:numId="20">
    <w:abstractNumId w:val="14"/>
  </w:num>
  <w:num w:numId="21">
    <w:abstractNumId w:val="36"/>
  </w:num>
  <w:num w:numId="22">
    <w:abstractNumId w:val="17"/>
  </w:num>
  <w:num w:numId="23">
    <w:abstractNumId w:val="4"/>
  </w:num>
  <w:num w:numId="24">
    <w:abstractNumId w:val="46"/>
  </w:num>
  <w:num w:numId="25">
    <w:abstractNumId w:val="3"/>
  </w:num>
  <w:num w:numId="26">
    <w:abstractNumId w:val="31"/>
  </w:num>
  <w:num w:numId="27">
    <w:abstractNumId w:val="35"/>
  </w:num>
  <w:num w:numId="28">
    <w:abstractNumId w:val="52"/>
  </w:num>
  <w:num w:numId="29">
    <w:abstractNumId w:val="30"/>
  </w:num>
  <w:num w:numId="30">
    <w:abstractNumId w:val="16"/>
  </w:num>
  <w:num w:numId="31">
    <w:abstractNumId w:val="39"/>
  </w:num>
  <w:num w:numId="32">
    <w:abstractNumId w:val="19"/>
  </w:num>
  <w:num w:numId="33">
    <w:abstractNumId w:val="41"/>
  </w:num>
  <w:num w:numId="34">
    <w:abstractNumId w:val="1"/>
  </w:num>
  <w:num w:numId="35">
    <w:abstractNumId w:val="20"/>
  </w:num>
  <w:num w:numId="36">
    <w:abstractNumId w:val="22"/>
  </w:num>
  <w:num w:numId="37">
    <w:abstractNumId w:val="45"/>
  </w:num>
  <w:num w:numId="38">
    <w:abstractNumId w:val="33"/>
  </w:num>
  <w:num w:numId="39">
    <w:abstractNumId w:val="13"/>
  </w:num>
  <w:num w:numId="40">
    <w:abstractNumId w:val="26"/>
  </w:num>
  <w:num w:numId="41">
    <w:abstractNumId w:val="21"/>
  </w:num>
  <w:num w:numId="42">
    <w:abstractNumId w:val="23"/>
  </w:num>
  <w:num w:numId="43">
    <w:abstractNumId w:val="50"/>
  </w:num>
  <w:num w:numId="44">
    <w:abstractNumId w:val="38"/>
  </w:num>
  <w:num w:numId="45">
    <w:abstractNumId w:val="0"/>
  </w:num>
  <w:num w:numId="46">
    <w:abstractNumId w:val="48"/>
  </w:num>
  <w:num w:numId="47">
    <w:abstractNumId w:val="10"/>
  </w:num>
  <w:num w:numId="48">
    <w:abstractNumId w:val="8"/>
  </w:num>
  <w:num w:numId="49">
    <w:abstractNumId w:val="11"/>
  </w:num>
  <w:num w:numId="50">
    <w:abstractNumId w:val="34"/>
  </w:num>
  <w:num w:numId="51">
    <w:abstractNumId w:val="18"/>
  </w:num>
  <w:num w:numId="52">
    <w:abstractNumId w:val="2"/>
  </w:num>
  <w:num w:numId="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635627"/>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7111EB"/>
    <w:rsid w:val="21B70797"/>
    <w:rsid w:val="21F67436"/>
    <w:rsid w:val="220D70EF"/>
    <w:rsid w:val="24885625"/>
    <w:rsid w:val="24A063EA"/>
    <w:rsid w:val="24C8157C"/>
    <w:rsid w:val="255170B3"/>
    <w:rsid w:val="25BD3406"/>
    <w:rsid w:val="260415D7"/>
    <w:rsid w:val="26896537"/>
    <w:rsid w:val="27DB5649"/>
    <w:rsid w:val="284E53B8"/>
    <w:rsid w:val="28F73A05"/>
    <w:rsid w:val="29E223F6"/>
    <w:rsid w:val="2A5F496F"/>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94254"/>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017416"/>
    <w:rsid w:val="54D66C67"/>
    <w:rsid w:val="568503E2"/>
    <w:rsid w:val="568633C7"/>
    <w:rsid w:val="56D01990"/>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68</Pages>
  <Words>44027</Words>
  <Characters>47326</Characters>
  <Lines>1</Lines>
  <Paragraphs>1</Paragraphs>
  <TotalTime>12</TotalTime>
  <ScaleCrop>false</ScaleCrop>
  <LinksUpToDate>false</LinksUpToDate>
  <CharactersWithSpaces>47674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2026-09-14T09:01:34Z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