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ind w:left="0" w:leftChars="0" w:firstLine="0" w:firstLineChars="0"/>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幸福99丰裕固收386天26146期理财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keepNext w:val="0"/>
        <w:keepLines w:val="0"/>
        <w:widowControl w:val="0"/>
        <w:suppressLineNumbers w:val="0"/>
        <w:spacing w:before="0" w:beforeAutospacing="0" w:after="0" w:afterAutospacing="0" w:line="360" w:lineRule="auto"/>
        <w:ind w:left="0" w:right="0" w:firstLine="482" w:firstLineChars="200"/>
        <w:jc w:val="left"/>
        <w:outlineLvl w:val="9"/>
        <w:rPr>
          <w:rFonts w:hint="eastAsia" w:ascii="宋体" w:hAnsi="宋体" w:eastAsia="宋体" w:cs="宋体"/>
          <w:b/>
          <w:bCs/>
          <w:kern w:val="2"/>
          <w:sz w:val="24"/>
          <w:szCs w:val="24"/>
          <w:highlight w:val="none"/>
        </w:rPr>
      </w:pPr>
      <w:r>
        <w:rPr>
          <w:rFonts w:hint="eastAsia" w:ascii="宋体" w:hAnsi="宋体" w:eastAsia="宋体" w:cs="宋体"/>
          <w:b/>
          <w:bCs/>
          <w:color w:val="000000"/>
          <w:kern w:val="2"/>
          <w:sz w:val="24"/>
          <w:szCs w:val="24"/>
          <w:highlight w:val="none"/>
          <w:lang w:val="en-US" w:eastAsia="zh-CN" w:bidi="ar"/>
        </w:rPr>
        <w:t>上述风险仅为列举情况，可能未能详尽列明投资本理财计划可能面临的全部风险和可能导致投资者本金及收益损失的所有因素。针对本理财计划可能面临的各类潜在风险，管理人将本着勤勉尽责的管理原则，采用包括不限于如下风险控制措施予以应对：</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highlight w:val="none"/>
        </w:rPr>
      </w:pPr>
      <w:r>
        <w:rPr>
          <w:rFonts w:hint="eastAsia" w:ascii="宋体" w:hAnsi="宋体" w:eastAsia="宋体" w:cs="宋体"/>
          <w:b/>
          <w:bCs/>
          <w:color w:val="000000"/>
          <w:kern w:val="2"/>
          <w:sz w:val="24"/>
          <w:szCs w:val="24"/>
          <w:highlight w:val="none"/>
          <w:lang w:val="en-US" w:eastAsia="zh-CN" w:bidi="ar"/>
        </w:rPr>
        <w:t>针对各类核心风险，实施精细化分级管控。对于市场风险，建立市场行情动态监测、资产估值校验、投资组合管理机制，实时跟踪利率、汇率、资本市场等波动变量，通过限额管理、分散投资、压力测试等方式缓释市场波动风险；对于信用风险，建立严格的交易对手准入、信用评级、尽职调查及存续期跟踪机制，常态化开展信用风险排查与预警，严控信用违约风险；对于流动性风险，建立流动性指标常态化监测、大额申赎管控、应急流动性储备等机制，严格落实流动性风险限额管理，有效应对产品与市场流动性波动变化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highlight w:val="none"/>
        </w:rPr>
      </w:pPr>
      <w:r>
        <w:rPr>
          <w:rFonts w:hint="eastAsia" w:ascii="宋体" w:hAnsi="宋体" w:eastAsia="宋体" w:cs="宋体"/>
          <w:b/>
          <w:bCs/>
          <w:color w:val="000000"/>
          <w:kern w:val="2"/>
          <w:sz w:val="24"/>
          <w:szCs w:val="24"/>
          <w:highlight w:val="none"/>
          <w:lang w:val="en-US" w:eastAsia="zh-CN" w:bidi="ar"/>
        </w:rPr>
        <w:t>强化操作风险与合规风险管控，建立全面内部控制体系，对业务操作、系统运维、人员管理等关键环节实施常态化稽核检查与风险排查，规范岗位操作权限，完善系统风控壁垒，维护理财计划稳健运营。</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ascii="宋体" w:hAnsi="宋体" w:cs="宋体"/>
          <w:b/>
          <w:color w:val="000000"/>
          <w:sz w:val="24"/>
          <w:highlight w:val="none"/>
        </w:rPr>
      </w:pPr>
      <w:r>
        <w:rPr>
          <w:rFonts w:hint="eastAsia" w:ascii="宋体" w:hAnsi="宋体" w:eastAsia="宋体" w:cs="宋体"/>
          <w:b/>
          <w:bCs/>
          <w:color w:val="000000"/>
          <w:kern w:val="2"/>
          <w:sz w:val="24"/>
          <w:szCs w:val="24"/>
          <w:highlight w:val="none"/>
          <w:lang w:val="en-US" w:eastAsia="zh-CN" w:bidi="ar"/>
        </w:rPr>
        <w:t>持续完善风险治理结构，建立自上而下、权责清晰的风险管理组织体系，构建“事前防范、事中监控、事后处置”的全链条风险治理机制，各类风险统一归口管理、分级分类管控，切实保障投资者合规合法权益。</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6"/>
        </w:numPr>
        <w:suppressLineNumbers w:val="0"/>
        <w:spacing w:before="0" w:beforeAutospacing="0" w:after="0" w:afterAutospacing="0" w:line="360" w:lineRule="auto"/>
        <w:ind w:left="0" w:right="0" w:firstLine="42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6"/>
        </w:numPr>
        <w:suppressLineNumbers w:val="0"/>
        <w:spacing w:before="0" w:beforeAutospacing="0" w:after="0" w:afterAutospacing="0" w:line="360" w:lineRule="auto"/>
        <w:ind w:left="0" w:right="0" w:firstLine="420"/>
        <w:jc w:val="left"/>
        <w:rPr>
          <w:rFonts w:hint="eastAsia" w:ascii="宋体" w:hAnsi="宋体" w:cs="宋体"/>
          <w:b/>
          <w:color w:val="000000"/>
          <w:sz w:val="24"/>
          <w:highlight w:val="none"/>
        </w:rPr>
      </w:pPr>
      <w:r>
        <w:rPr>
          <w:rFonts w:hint="eastAsia" w:ascii="宋体" w:hAnsi="宋体" w:eastAsia="宋体" w:cs="宋体"/>
          <w:b/>
          <w:bCs/>
          <w:color w:val="000000"/>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7"/>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8"/>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8"/>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8"/>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9"/>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9"/>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keepNext w:val="0"/>
        <w:keepLines w:val="0"/>
        <w:widowControl w:val="0"/>
        <w:numPr>
          <w:ilvl w:val="0"/>
          <w:numId w:val="0"/>
        </w:numPr>
        <w:suppressLineNumbers w:val="0"/>
        <w:spacing w:before="0" w:beforeAutospacing="0" w:after="0" w:afterAutospacing="0" w:line="360" w:lineRule="auto"/>
        <w:ind w:left="0" w:leftChars="0" w:right="0" w:rightChars="0" w:firstLine="482" w:firstLineChars="200"/>
        <w:jc w:val="left"/>
        <w:outlineLvl w:val="9"/>
        <w:rPr>
          <w:rFonts w:hint="eastAsia" w:ascii="宋体" w:hAnsi="宋体" w:eastAsia="宋体" w:cs="宋体"/>
          <w:b/>
          <w:bCs/>
          <w:kern w:val="2"/>
          <w:sz w:val="24"/>
          <w:szCs w:val="24"/>
          <w:highlight w:val="none"/>
        </w:rPr>
      </w:pPr>
      <w:r>
        <w:rPr>
          <w:rFonts w:hint="eastAsia" w:ascii="宋体" w:hAnsi="宋体" w:cs="宋体"/>
          <w:b/>
          <w:bCs/>
          <w:color w:val="000000"/>
          <w:kern w:val="2"/>
          <w:sz w:val="24"/>
          <w:szCs w:val="24"/>
          <w:highlight w:val="none"/>
          <w:lang w:val="en-US" w:eastAsia="zh-CN" w:bidi="ar"/>
        </w:rPr>
        <w:t>（四）</w:t>
      </w:r>
      <w:r>
        <w:rPr>
          <w:rFonts w:hint="eastAsia" w:ascii="宋体" w:hAnsi="宋体" w:eastAsia="宋体" w:cs="宋体"/>
          <w:b/>
          <w:bCs/>
          <w:color w:val="000000"/>
          <w:kern w:val="2"/>
          <w:sz w:val="24"/>
          <w:szCs w:val="24"/>
          <w:highlight w:val="none"/>
          <w:lang w:val="en-US" w:eastAsia="zh-CN" w:bidi="ar"/>
        </w:rPr>
        <w:t>根据适当性管理原则，将理财投资人分为专业投资者和普通投资者。其中专业投资者应符合下列条件之一：</w:t>
      </w:r>
    </w:p>
    <w:p>
      <w:pPr>
        <w:keepNext w:val="0"/>
        <w:keepLines w:val="0"/>
        <w:widowControl w:val="0"/>
        <w:numPr>
          <w:ilvl w:val="0"/>
          <w:numId w:val="10"/>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lang w:val="en-US" w:eastAsia="zh-CN" w:bidi="ar"/>
        </w:rPr>
        <w:t>银行业金融机构、保险业</w:t>
      </w: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金融机构、金融控股公司、证券基金期货经营机构、私募基金管理人；</w:t>
      </w:r>
    </w:p>
    <w:p>
      <w:pPr>
        <w:keepNext w:val="0"/>
        <w:keepLines w:val="0"/>
        <w:widowControl w:val="0"/>
        <w:numPr>
          <w:ilvl w:val="0"/>
          <w:numId w:val="10"/>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上述机构面向投资者发行的金融产品，信托公司管理的资产服务信托、公益慈善信托；</w:t>
      </w:r>
    </w:p>
    <w:p>
      <w:pPr>
        <w:keepNext w:val="0"/>
        <w:keepLines w:val="0"/>
        <w:widowControl w:val="0"/>
        <w:numPr>
          <w:ilvl w:val="0"/>
          <w:numId w:val="10"/>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lang w:val="en-US" w:eastAsia="zh-CN" w:bidi="ar"/>
        </w:rPr>
        <w:t>社会</w:t>
      </w: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保障基金、企业年金、职业年金等养老基金，慈善基金等社会公益基金，合格境外机构投资者（QFII）、人民币合格境外机构投资者（RQFII）。</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eastAsia="宋体" w:cs="宋体"/>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 xml:space="preserve">  专业投资者之外的投资者为普通投资者。</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eastAsia="宋体" w:cs="宋体"/>
          <w:kern w:val="2"/>
          <w:sz w:val="24"/>
          <w:szCs w:val="24"/>
          <w:highlight w:val="none"/>
          <w:lang w:val="en-US" w:eastAsia="zh-CN" w:bidi="ar"/>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封闭式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eastAsia="宋体" w:cs="宋体"/>
          <w:b/>
          <w:color w:val="000000"/>
          <w:kern w:val="2"/>
          <w:sz w:val="24"/>
          <w:szCs w:val="24"/>
          <w:highlight w:val="none"/>
          <w:lang w:val="en-US" w:eastAsia="zh-CN" w:bidi="ar-SA"/>
        </w:rPr>
        <w:t>386</w:t>
      </w:r>
      <w:r>
        <w:rPr>
          <w:rFonts w:hint="eastAsia" w:ascii="宋体" w:hAnsi="宋体" w:cs="宋体"/>
          <w:b/>
          <w:color w:val="000000"/>
          <w:sz w:val="24"/>
          <w:highlight w:val="none"/>
        </w:rPr>
        <w:t>〗</w:t>
      </w:r>
      <w:r>
        <w:rPr>
          <w:rFonts w:hint="eastAsia" w:ascii="宋体" w:hAnsi="宋体" w:cs="宋体"/>
          <w:b/>
          <w:color w:val="000000"/>
          <w:sz w:val="24"/>
          <w:highlight w:val="none"/>
          <w:lang w:eastAsia="zh-CN"/>
        </w:rPr>
        <w:t>天</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rPr>
          <w:rFonts w:hint="eastAsia" w:ascii="宋体" w:hAnsi="宋体" w:eastAsia="宋体" w:cs="宋体"/>
          <w:b/>
          <w:bCs/>
          <w:color w:val="000000"/>
          <w:kern w:val="2"/>
          <w:sz w:val="24"/>
          <w:szCs w:val="24"/>
        </w:rPr>
      </w:pPr>
      <w:r>
        <w:rPr>
          <w:rFonts w:hint="eastAsia" w:ascii="宋体" w:hAnsi="宋体" w:cs="宋体"/>
          <w:b/>
          <w:color w:val="000000"/>
          <w:highlight w:val="none"/>
        </w:rPr>
        <w:br w:type="page"/>
      </w:r>
    </w:p>
    <w:p>
      <w:pPr>
        <w:pStyle w:val="6"/>
        <w:keepNext w:val="0"/>
        <w:keepLines w:val="0"/>
        <w:pageBreakBefore/>
        <w:widowControl w:val="0"/>
        <w:suppressLineNumbers w:val="0"/>
        <w:autoSpaceDE w:val="0"/>
        <w:autoSpaceDN w:val="0"/>
        <w:adjustRightInd w:val="0"/>
        <w:spacing w:before="0" w:beforeAutospacing="0" w:after="0" w:afterAutospacing="0" w:line="360" w:lineRule="auto"/>
        <w:ind w:left="0" w:right="0"/>
        <w:jc w:val="center"/>
        <w:outlineLvl w:val="2"/>
        <w:rPr>
          <w:rFonts w:hint="eastAsia" w:ascii="宋体" w:hAnsi="宋体" w:eastAsia="宋体" w:cs="宋体"/>
          <w:b/>
          <w:bCs/>
          <w:sz w:val="24"/>
          <w:szCs w:val="24"/>
          <w:highlight w:val="none"/>
        </w:rPr>
      </w:pPr>
      <w:r>
        <w:rPr>
          <w:rFonts w:hint="eastAsia" w:ascii="宋体" w:hAnsi="宋体" w:eastAsia="宋体" w:cs="宋体"/>
          <w:b/>
          <w:bCs/>
          <w:color w:val="000000"/>
          <w:kern w:val="0"/>
          <w:sz w:val="24"/>
          <w:szCs w:val="24"/>
          <w:highlight w:val="none"/>
          <w:lang w:val="en-US" w:eastAsia="zh-CN" w:bidi="ar"/>
        </w:rPr>
        <w:t>投资者确认栏（普通投资者填写）</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bCs/>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本人/本机构经销售机构评估的风险承受能力等级为：</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lang w:val="en-US" w:eastAsia="zh-CN" w:bidi="ar"/>
        </w:rPr>
        <w:t>（投资者填写）</w:t>
      </w:r>
      <w:r>
        <w:rPr>
          <w:rFonts w:hint="eastAsia" w:ascii="宋体" w:hAnsi="宋体" w:eastAsia="宋体" w:cs="宋体"/>
          <w:color w:val="000000"/>
          <w:kern w:val="0"/>
          <w:sz w:val="24"/>
          <w:szCs w:val="24"/>
          <w:highlight w:val="none"/>
          <w:u w:val="singl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u w:val="single"/>
          <w:lang w:val="en-US" w:eastAsia="zh-CN" w:bidi="ar"/>
        </w:rPr>
        <w:t>如超过一年未进行风险承受能力评估或影响本人风险承受能力的因素发生变化，本人/本机构将于再次购买理财计划时及时完成风险承受能力评估。</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highlight w:val="none"/>
          <w:u w:val="single"/>
        </w:rPr>
      </w:pPr>
      <w:r>
        <w:rPr>
          <w:rFonts w:hint="eastAsia" w:ascii="宋体" w:hAnsi="宋体" w:eastAsia="宋体" w:cs="宋体"/>
          <w:b/>
          <w:bCs/>
          <w:color w:val="000000"/>
          <w:kern w:val="0"/>
          <w:sz w:val="24"/>
          <w:szCs w:val="24"/>
          <w:highlight w:val="none"/>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highlight w:val="none"/>
          <w:u w:val="single"/>
        </w:rPr>
      </w:pPr>
      <w:r>
        <w:rPr>
          <w:rFonts w:hint="eastAsia" w:ascii="宋体" w:hAnsi="宋体" w:eastAsia="宋体" w:cs="宋体"/>
          <w:b/>
          <w:bCs/>
          <w:color w:val="000000"/>
          <w:kern w:val="0"/>
          <w:sz w:val="24"/>
          <w:szCs w:val="24"/>
          <w:highlight w:val="none"/>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360" w:firstLineChars="150"/>
        <w:jc w:val="both"/>
        <w:rPr>
          <w:rFonts w:hint="eastAsia" w:ascii="宋体" w:hAnsi="宋体" w:eastAsia="宋体" w:cs="宋体"/>
          <w:b/>
          <w:bCs/>
          <w:sz w:val="24"/>
          <w:szCs w:val="24"/>
          <w:highlight w:val="none"/>
        </w:rPr>
      </w:pPr>
      <w:r>
        <w:rPr>
          <w:rFonts w:hint="eastAsia" w:ascii="宋体" w:hAnsi="宋体" w:eastAsia="宋体" w:cs="宋体"/>
          <w:color w:val="000000"/>
          <w:kern w:val="0"/>
          <w:sz w:val="24"/>
          <w:szCs w:val="24"/>
          <w:highlight w:val="none"/>
          <w:lang w:val="en-US" w:eastAsia="zh-CN" w:bidi="ar"/>
        </w:rPr>
        <w:t>（投资者需全文抄录以下文字以完成确认：</w:t>
      </w:r>
      <w:r>
        <w:rPr>
          <w:rFonts w:hint="eastAsia" w:ascii="宋体" w:hAnsi="宋体" w:eastAsia="宋体" w:cs="宋体"/>
          <w:b/>
          <w:bCs/>
          <w:color w:val="000000"/>
          <w:kern w:val="0"/>
          <w:sz w:val="24"/>
          <w:szCs w:val="24"/>
          <w:highlight w:val="none"/>
          <w:lang w:val="en-US" w:eastAsia="zh-CN" w:bidi="ar"/>
        </w:rPr>
        <w:t xml:space="preserve">“本人/本机构已经阅读上述风险揭示，愿意承担投资风险。”如通过线上渠道购买，认/申购交易确认即知晓并同意自身风险承受能力等级并确认风险揭示内容，愿意承担投资风险，与书面签署具有同等效力。）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lang w:val="en-US" w:eastAsia="zh-CN" w:bidi="ar"/>
        </w:rPr>
        <w:t>本人/本机构同时确认如下：</w:t>
      </w:r>
      <w:r>
        <w:rPr>
          <w:rFonts w:hint="eastAsia" w:ascii="宋体" w:hAnsi="宋体" w:eastAsia="宋体" w:cs="宋体"/>
          <w:color w:val="000000"/>
          <w:kern w:val="0"/>
          <w:sz w:val="24"/>
          <w:szCs w:val="24"/>
          <w:highlight w:val="none"/>
          <w:u w:val="singl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个人投资者（签字）：</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keepNext w:val="0"/>
        <w:keepLines w:val="0"/>
        <w:widowControl w:val="0"/>
        <w:suppressLineNumbers w:val="0"/>
        <w:spacing w:before="0" w:beforeAutospacing="0" w:after="0" w:afterAutospacing="0" w:line="360" w:lineRule="auto"/>
        <w:ind w:left="0" w:right="0" w:firstLine="5280" w:firstLineChars="2200"/>
        <w:jc w:val="center"/>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ind w:left="0" w:right="0" w:firstLine="480" w:firstLineChars="200"/>
        <w:jc w:val="both"/>
        <w:rPr>
          <w:rFonts w:ascii="宋体" w:hAnsi="宋体" w:cs="宋体"/>
          <w:bCs/>
          <w:color w:val="000000"/>
          <w:sz w:val="24"/>
          <w:highlight w:val="none"/>
        </w:rPr>
      </w:pPr>
      <w:r>
        <w:rPr>
          <w:rFonts w:hint="eastAsia" w:ascii="宋体" w:hAnsi="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6883F"/>
    <w:multiLevelType w:val="multilevel"/>
    <w:tmpl w:val="FED6883F"/>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abstractNum w:abstractNumId="9">
    <w:nsid w:val="7FFF73E0"/>
    <w:multiLevelType w:val="multilevel"/>
    <w:tmpl w:val="7FFF73E0"/>
    <w:lvl w:ilvl="0" w:tentative="0">
      <w:start w:val="1"/>
      <w:numFmt w:val="decimal"/>
      <w:suff w:val="space"/>
      <w:lvlText w:val="%1."/>
      <w:lvlJc w:val="left"/>
      <w:pPr>
        <w:ind w:left="0" w:firstLine="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7"/>
  </w:num>
  <w:num w:numId="8">
    <w:abstractNumId w:val="3"/>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506656"/>
    <w:rsid w:val="089F06F0"/>
    <w:rsid w:val="08EC59C1"/>
    <w:rsid w:val="09012D55"/>
    <w:rsid w:val="0937084A"/>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6841503"/>
    <w:rsid w:val="178D1D7E"/>
    <w:rsid w:val="17BB08DA"/>
    <w:rsid w:val="17EA7887"/>
    <w:rsid w:val="18321B09"/>
    <w:rsid w:val="18616AA2"/>
    <w:rsid w:val="191F0F43"/>
    <w:rsid w:val="19E235E1"/>
    <w:rsid w:val="1A7E4CCF"/>
    <w:rsid w:val="1BCD72C9"/>
    <w:rsid w:val="1BFB7C22"/>
    <w:rsid w:val="1C09008C"/>
    <w:rsid w:val="1D0817CE"/>
    <w:rsid w:val="1E635082"/>
    <w:rsid w:val="1F0F7AA5"/>
    <w:rsid w:val="1F7FC040"/>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2FD7FF98"/>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7F23197"/>
    <w:rsid w:val="394B6E53"/>
    <w:rsid w:val="3B1C12F3"/>
    <w:rsid w:val="3BD53B5C"/>
    <w:rsid w:val="3C3B3FC3"/>
    <w:rsid w:val="3CC57F13"/>
    <w:rsid w:val="3D4C282D"/>
    <w:rsid w:val="3D970F4E"/>
    <w:rsid w:val="3DCFC59A"/>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3723353"/>
    <w:rsid w:val="63FB4702"/>
    <w:rsid w:val="64164D78"/>
    <w:rsid w:val="64993141"/>
    <w:rsid w:val="659F27EB"/>
    <w:rsid w:val="659F600E"/>
    <w:rsid w:val="65FB5398"/>
    <w:rsid w:val="67CE6661"/>
    <w:rsid w:val="680A5A06"/>
    <w:rsid w:val="68B9403E"/>
    <w:rsid w:val="68D511B9"/>
    <w:rsid w:val="68FA6041"/>
    <w:rsid w:val="69827CEE"/>
    <w:rsid w:val="6AC807EC"/>
    <w:rsid w:val="6BDE71F2"/>
    <w:rsid w:val="6C9577EB"/>
    <w:rsid w:val="6CBA3A99"/>
    <w:rsid w:val="6D3A1203"/>
    <w:rsid w:val="6DB5A206"/>
    <w:rsid w:val="6DFE35A5"/>
    <w:rsid w:val="6E9C369D"/>
    <w:rsid w:val="6EF41B11"/>
    <w:rsid w:val="6EF79B63"/>
    <w:rsid w:val="6FF79273"/>
    <w:rsid w:val="702573F3"/>
    <w:rsid w:val="70B57531"/>
    <w:rsid w:val="70FA499F"/>
    <w:rsid w:val="730C182D"/>
    <w:rsid w:val="7377A39E"/>
    <w:rsid w:val="73F5BB6D"/>
    <w:rsid w:val="73FC9A3F"/>
    <w:rsid w:val="751974A1"/>
    <w:rsid w:val="758B30E4"/>
    <w:rsid w:val="75F42331"/>
    <w:rsid w:val="75FF1C0A"/>
    <w:rsid w:val="761F7C3C"/>
    <w:rsid w:val="76683D2A"/>
    <w:rsid w:val="76C62D9E"/>
    <w:rsid w:val="76DF52A4"/>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9EC8"/>
    <w:rsid w:val="7EFFF434"/>
    <w:rsid w:val="7F5F887D"/>
    <w:rsid w:val="7F9FC635"/>
    <w:rsid w:val="7FCC7D05"/>
    <w:rsid w:val="7FEF42B8"/>
    <w:rsid w:val="7FEFE414"/>
    <w:rsid w:val="7FF2B36D"/>
    <w:rsid w:val="7FF39E9A"/>
    <w:rsid w:val="7FFB28EC"/>
    <w:rsid w:val="7FFF0685"/>
    <w:rsid w:val="7FFF94DC"/>
    <w:rsid w:val="84392690"/>
    <w:rsid w:val="9FD01BC3"/>
    <w:rsid w:val="9FDF7357"/>
    <w:rsid w:val="B3FE25BF"/>
    <w:rsid w:val="BACFB3F4"/>
    <w:rsid w:val="BE6E0F8F"/>
    <w:rsid w:val="BF301657"/>
    <w:rsid w:val="BFA721BB"/>
    <w:rsid w:val="BFDF2F19"/>
    <w:rsid w:val="C679D4D5"/>
    <w:rsid w:val="C7EFAC2C"/>
    <w:rsid w:val="CC4512C4"/>
    <w:rsid w:val="CEEAB172"/>
    <w:rsid w:val="CFBD1285"/>
    <w:rsid w:val="D1EFF677"/>
    <w:rsid w:val="D3FFF2E3"/>
    <w:rsid w:val="D4B948F0"/>
    <w:rsid w:val="D76FBC03"/>
    <w:rsid w:val="D7BE90C3"/>
    <w:rsid w:val="DFFBF81E"/>
    <w:rsid w:val="E2F2C526"/>
    <w:rsid w:val="E4FFD666"/>
    <w:rsid w:val="E5D7501E"/>
    <w:rsid w:val="E7F7B356"/>
    <w:rsid w:val="E9F39395"/>
    <w:rsid w:val="E9FFA600"/>
    <w:rsid w:val="EBF5BECB"/>
    <w:rsid w:val="ED6EA22C"/>
    <w:rsid w:val="EE2FCBAA"/>
    <w:rsid w:val="EEFF0FFF"/>
    <w:rsid w:val="F3F331A4"/>
    <w:rsid w:val="F3FF81F7"/>
    <w:rsid w:val="F47FEAE3"/>
    <w:rsid w:val="F5DBF1C3"/>
    <w:rsid w:val="F5E5AD98"/>
    <w:rsid w:val="F6D74091"/>
    <w:rsid w:val="F7EF100D"/>
    <w:rsid w:val="F7FE62B6"/>
    <w:rsid w:val="F8ADBDD7"/>
    <w:rsid w:val="FA543BA3"/>
    <w:rsid w:val="FD7F9463"/>
    <w:rsid w:val="FDFD4F0C"/>
    <w:rsid w:val="FEAED78B"/>
    <w:rsid w:val="FF3E6B15"/>
    <w:rsid w:val="FF5D960F"/>
    <w:rsid w:val="FF7C7432"/>
    <w:rsid w:val="FFBE48B5"/>
    <w:rsid w:val="FFFE69D4"/>
    <w:rsid w:val="FFFFAA71"/>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73</Pages>
  <Words>49474</Words>
  <Characters>56412</Characters>
  <Lines>1</Lines>
  <Paragraphs>1</Paragraphs>
  <TotalTime>0</TotalTime>
  <ScaleCrop>false</ScaleCrop>
  <LinksUpToDate>false</LinksUpToDate>
  <CharactersWithSpaces>56949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2014-11-10T04:08:00Z</dcterms:created>
  <dc:creator>Administrator</dc:creator>
  <cp:lastModifiedBy>hccb</cp:lastModifiedBy>
  <dcterms:modified xsi:type="dcterms:W3CDTF">2026-09-17T06:33:58Z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D5BB84ACB92B67C0B12B9E6A65F9A4D4_43</vt:lpwstr>
  </property>
  <property fmtid="{D5CDD505-2E9C-101B-9397-08002B2CF9AE}" pid="3" name="KSOProductBuildVer">
    <vt:lpwstr>2052-11.8.2.8411</vt:lpwstr>
  </property>
</Properties>
</file>