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b/>
          <w:color w:val="000000"/>
          <w:sz w:val="44"/>
          <w:szCs w:val="44"/>
          <w:highlight w:val="none"/>
        </w:rPr>
      </w:pPr>
      <w:r>
        <w:rPr>
          <w:rFonts w:hint="eastAsia"/>
          <w:b/>
          <w:color w:val="000000"/>
          <w:sz w:val="44"/>
          <w:szCs w:val="44"/>
          <w:highlight w:val="none"/>
        </w:rPr>
        <w:t>杭银理财理财计划投资协议书</w:t>
      </w:r>
    </w:p>
    <w:p>
      <w:pPr>
        <w:jc w:val="center"/>
        <w:outlineLvl w:val="1"/>
        <w:rPr>
          <w:rFonts w:hint="eastAsia"/>
          <w:b/>
          <w:color w:val="000000"/>
          <w:sz w:val="44"/>
          <w:szCs w:val="44"/>
          <w:highlight w:val="none"/>
        </w:rPr>
      </w:pPr>
      <w:r>
        <w:rPr>
          <w:rFonts w:hint="eastAsia" w:ascii="宋体" w:hAnsi="宋体" w:cs="宋体"/>
          <w:color w:val="000000"/>
          <w:sz w:val="28"/>
          <w:szCs w:val="28"/>
          <w:highlight w:val="none"/>
        </w:rPr>
        <w:t>（</w:t>
      </w:r>
      <w:r>
        <w:rPr>
          <w:rFonts w:hint="eastAsia" w:ascii="宋体" w:hAnsi="宋体" w:cs="宋体"/>
          <w:color w:val="000000"/>
          <w:sz w:val="28"/>
          <w:szCs w:val="28"/>
          <w:highlight w:val="none"/>
          <w:lang w:eastAsia="zh-CN"/>
        </w:rPr>
        <w:t>202602</w:t>
      </w:r>
      <w:r>
        <w:rPr>
          <w:rFonts w:hint="eastAsia" w:ascii="宋体" w:hAnsi="宋体" w:cs="宋体"/>
          <w:color w:val="000000"/>
          <w:sz w:val="28"/>
          <w:szCs w:val="28"/>
          <w:highlight w:val="none"/>
        </w:rPr>
        <w:t>版）</w:t>
      </w:r>
    </w:p>
    <w:p>
      <w:pPr>
        <w:spacing w:line="360" w:lineRule="auto"/>
        <w:jc w:val="center"/>
        <w:outlineLvl w:val="2"/>
        <w:rPr>
          <w:rFonts w:hint="eastAsia"/>
          <w:b/>
          <w:color w:val="000000"/>
          <w:sz w:val="32"/>
          <w:szCs w:val="32"/>
          <w:highlight w:val="none"/>
        </w:rPr>
      </w:pPr>
      <w:r>
        <w:rPr>
          <w:rFonts w:hint="eastAsia" w:ascii="宋体" w:hAnsi="宋体" w:cs="宋体"/>
          <w:b/>
          <w:bCs/>
          <w:color w:val="000000"/>
          <w:sz w:val="24"/>
          <w:highlight w:val="none"/>
          <w:u w:val="single"/>
        </w:rPr>
        <w:t>理财非存款、产品有风险、投资须谨慎</w:t>
      </w:r>
    </w:p>
    <w:p>
      <w:pPr>
        <w:spacing w:line="360" w:lineRule="auto"/>
        <w:ind w:firstLine="482" w:firstLineChars="200"/>
        <w:rPr>
          <w:rFonts w:hint="eastAsia"/>
          <w:b/>
          <w:bCs/>
          <w:color w:val="000000"/>
          <w:sz w:val="24"/>
          <w:highlight w:val="none"/>
        </w:rPr>
      </w:pPr>
      <w:r>
        <w:rPr>
          <w:rFonts w:hint="eastAsia"/>
          <w:b/>
          <w:bCs/>
          <w:color w:val="000000"/>
          <w:sz w:val="24"/>
          <w:highlight w:val="none"/>
        </w:rPr>
        <w:t>特别提示：杭银理财理财计划投资协议书与</w:t>
      </w:r>
      <w:r>
        <w:rPr>
          <w:rFonts w:hint="eastAsia"/>
          <w:b/>
          <w:bCs/>
          <w:color w:val="000000"/>
          <w:sz w:val="24"/>
          <w:highlight w:val="none"/>
          <w:lang w:eastAsia="zh-CN"/>
        </w:rPr>
        <w:t>理财计划风险揭示书、理财计划产品说明书、</w:t>
      </w:r>
      <w:r>
        <w:rPr>
          <w:rFonts w:hint="eastAsia"/>
          <w:b/>
          <w:bCs/>
          <w:color w:val="000000"/>
          <w:sz w:val="24"/>
          <w:highlight w:val="none"/>
        </w:rPr>
        <w:t>投资者权益须知</w:t>
      </w:r>
      <w:r>
        <w:rPr>
          <w:rFonts w:hint="eastAsia"/>
          <w:b/>
          <w:bCs/>
          <w:color w:val="000000"/>
          <w:sz w:val="24"/>
          <w:highlight w:val="none"/>
          <w:lang w:eastAsia="zh-CN"/>
        </w:rPr>
        <w:t>及理财计划销售协议书</w:t>
      </w:r>
      <w:r>
        <w:rPr>
          <w:rFonts w:hint="eastAsia"/>
          <w:b/>
          <w:bCs/>
          <w:color w:val="000000"/>
          <w:sz w:val="24"/>
          <w:highlight w:val="none"/>
        </w:rPr>
        <w:t>共同构成完整且不可分割的理财计划合同。杭银理财有限责任公司（以下简称“杭银理财”）建议投资者在购买理财计划前认真阅读理财计划合同，投资者签署协议书（含电子渠道签署）即知晓并同意已详细阅读理财计划合同并知悉相关风险，自愿投资购买理财计划、遵守合同约定并承担相应风险。</w:t>
      </w:r>
    </w:p>
    <w:p>
      <w:pPr>
        <w:spacing w:line="360" w:lineRule="auto"/>
        <w:ind w:firstLine="480" w:firstLineChars="200"/>
        <w:rPr>
          <w:rFonts w:hint="eastAsia"/>
          <w:color w:val="000000"/>
          <w:sz w:val="24"/>
          <w:highlight w:val="none"/>
        </w:rPr>
      </w:pPr>
      <w:r>
        <w:rPr>
          <w:rFonts w:hint="eastAsia"/>
          <w:color w:val="000000"/>
          <w:sz w:val="24"/>
          <w:highlight w:val="none"/>
        </w:rPr>
        <w:t>投资者与管理人（即杭银理财有限责任公司）经平等友好协商，本着自愿、诚实信用原则，就投资者购买管理人发行的理财计划有关事宜达成如下协议（以下简称“本协议”）：</w:t>
      </w:r>
    </w:p>
    <w:p>
      <w:pPr>
        <w:spacing w:line="360" w:lineRule="auto"/>
        <w:ind w:firstLine="480" w:firstLineChars="200"/>
        <w:rPr>
          <w:rFonts w:hint="eastAsia"/>
          <w:color w:val="000000"/>
          <w:sz w:val="24"/>
          <w:highlight w:val="none"/>
        </w:rPr>
      </w:pPr>
    </w:p>
    <w:p>
      <w:pPr>
        <w:numPr>
          <w:ilvl w:val="0"/>
          <w:numId w:val="1"/>
        </w:numPr>
        <w:spacing w:line="360" w:lineRule="auto"/>
        <w:ind w:firstLine="482" w:firstLineChars="200"/>
        <w:outlineLvl w:val="2"/>
        <w:rPr>
          <w:rFonts w:hint="eastAsia" w:ascii="宋体" w:hAnsi="宋体"/>
          <w:b/>
          <w:bCs/>
          <w:color w:val="000000"/>
          <w:sz w:val="24"/>
          <w:highlight w:val="none"/>
        </w:rPr>
      </w:pPr>
      <w:r>
        <w:rPr>
          <w:rFonts w:hint="eastAsia"/>
          <w:b/>
          <w:bCs/>
          <w:color w:val="000000"/>
          <w:sz w:val="24"/>
          <w:highlight w:val="none"/>
        </w:rPr>
        <w:t>名词释义</w:t>
      </w:r>
    </w:p>
    <w:p>
      <w:pPr>
        <w:spacing w:line="360" w:lineRule="auto"/>
        <w:ind w:firstLine="480" w:firstLineChars="200"/>
        <w:rPr>
          <w:rFonts w:hint="eastAsia"/>
          <w:bCs/>
          <w:color w:val="000000"/>
          <w:sz w:val="24"/>
          <w:highlight w:val="none"/>
        </w:rPr>
      </w:pPr>
      <w:r>
        <w:rPr>
          <w:rFonts w:hint="eastAsia"/>
          <w:bCs/>
          <w:color w:val="000000"/>
          <w:sz w:val="24"/>
          <w:highlight w:val="none"/>
        </w:rPr>
        <w:t>详见理财计划说明书“释义”部分。</w:t>
      </w:r>
    </w:p>
    <w:p>
      <w:pPr>
        <w:spacing w:line="360" w:lineRule="auto"/>
        <w:ind w:firstLine="480" w:firstLineChars="200"/>
        <w:rPr>
          <w:rFonts w:hint="eastAsia"/>
          <w:bCs/>
          <w:color w:val="000000"/>
          <w:sz w:val="24"/>
          <w:highlight w:val="none"/>
        </w:rPr>
      </w:pPr>
    </w:p>
    <w:p>
      <w:pPr>
        <w:numPr>
          <w:ilvl w:val="0"/>
          <w:numId w:val="1"/>
        </w:numPr>
        <w:spacing w:line="360" w:lineRule="auto"/>
        <w:ind w:firstLine="482" w:firstLineChars="200"/>
        <w:outlineLvl w:val="2"/>
        <w:rPr>
          <w:rFonts w:hint="eastAsia"/>
          <w:b/>
          <w:color w:val="000000"/>
          <w:sz w:val="24"/>
          <w:highlight w:val="none"/>
        </w:rPr>
      </w:pPr>
      <w:r>
        <w:rPr>
          <w:rFonts w:hint="eastAsia"/>
          <w:b/>
          <w:color w:val="000000"/>
          <w:sz w:val="24"/>
          <w:highlight w:val="none"/>
        </w:rPr>
        <w:t>投资者权利与义务</w:t>
      </w:r>
    </w:p>
    <w:p>
      <w:pPr>
        <w:widowControl/>
        <w:numPr>
          <w:ilvl w:val="0"/>
          <w:numId w:val="2"/>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投资者应当保证其理财资金为合法拥有的自有资金，不存在涉嫌洗钱、恶意逃避税收征收管理等违法违规行为。投资者不得使用贷款、发行债券等方式筹集的非自有资金购买理财计划。投资者将其自有资金用作本理财计划投资协议书条款项下理财交易并不违反相关法律、法规、规章、规定、</w:t>
      </w:r>
      <w:r>
        <w:rPr>
          <w:rFonts w:hint="eastAsia" w:ascii="宋体" w:hAnsi="宋体" w:cs="宋体"/>
          <w:color w:val="000000"/>
          <w:kern w:val="0"/>
          <w:sz w:val="24"/>
          <w:highlight w:val="none"/>
        </w:rPr>
        <w:t xml:space="preserve">法院裁定或命令的要求，投资者具有完全民事行为能力，能够自行识别、判断和承担理财计划的相关风险；不存在法律法规、有权机关或主管机关禁止或限制购买理财计划的各种情形。投资者按其投资金额在本理财计划投资协议书中享有相应的权利，承担相应的义务和风险。 </w:t>
      </w:r>
    </w:p>
    <w:p>
      <w:pPr>
        <w:widowControl/>
        <w:numPr>
          <w:ilvl w:val="0"/>
          <w:numId w:val="2"/>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投资者保证自身完全了解理财投资的性质，投资所涉及的风险以及自身风险承受能力，在慎重考虑后独立作出交易决定。</w:t>
      </w:r>
    </w:p>
    <w:p>
      <w:pPr>
        <w:widowControl/>
        <w:numPr>
          <w:ilvl w:val="0"/>
          <w:numId w:val="2"/>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投资者保证其有权利签署本协议和履行本协议所述的义务，并已为此采取一切所需的行为。</w:t>
      </w:r>
    </w:p>
    <w:p>
      <w:pPr>
        <w:widowControl/>
        <w:numPr>
          <w:ilvl w:val="0"/>
          <w:numId w:val="2"/>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投资者保证执行及交付任何文件或履行本协议项下的义务，均不会违反任何适用法律、法规、法令或法律限制，任何法院或其他政府机关所作出的适用于投资者或投资者任何资产的指令或判决；对投资者或投资者任何资产有约束力的任何重大协议条款。投资者应在签署本协议的同时在授权指定账户存入足额的资金以确保账户余额大于或等于认/申购金额。</w:t>
      </w:r>
    </w:p>
    <w:p>
      <w:pPr>
        <w:widowControl/>
        <w:numPr>
          <w:ilvl w:val="0"/>
          <w:numId w:val="2"/>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 xml:space="preserve">本协议终止前，投资者应保证其“授权指定账户”处于正常状态，投资者授权指定账户发生资金余额不足、挂失、换卡、长期不动户等特殊情况或被有权机关采取冻结、扣划、强制措施等变更或异常情形，导致认/申购不成功，以及在本理财计划存续期内如因有权机关依法采取强制措施导致理财份额、理财账户、授权指定账户被冻结或扣划的，管理人对此不承担任何责任。 </w:t>
      </w:r>
    </w:p>
    <w:p>
      <w:pPr>
        <w:widowControl/>
        <w:numPr>
          <w:ilvl w:val="0"/>
          <w:numId w:val="2"/>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 xml:space="preserve">在本理财计划存续期内，如有权机关要求管理人配合对投资者理财份额、理财账户、授权指定账户进行查封、冻结或扣划的，管理人有权根据实际情况采取如下措施，包括但不限于全额或部分终止理财交易、停止向投资者支付投资本金及投资收益。由于提前终止交易而产生的一切损失及费用将由投资者承担，管理人有权将此损失及费用从投资者的授权指定账户、理财本金及收益中扣除。管理人对上述后果不承担任何责任。 </w:t>
      </w:r>
    </w:p>
    <w:p>
      <w:pPr>
        <w:widowControl/>
        <w:numPr>
          <w:ilvl w:val="0"/>
          <w:numId w:val="2"/>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本协议终止前，投资者不得将授权指定账户销户。若发生因投资者注销授权指定账户造成理财计划无法正常兑付的，管理人不承担任何责任。</w:t>
      </w:r>
    </w:p>
    <w:p>
      <w:pPr>
        <w:widowControl/>
        <w:numPr>
          <w:ilvl w:val="0"/>
          <w:numId w:val="2"/>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 xml:space="preserve">投资者应确保其提供的所有资料真实、完整、合法、有效，如果有任何变更，投资者应及时通知管理人并办理变更手续。如因投资者未及时通知管理人并办理相应的变更手续，由此导致的一切后果由投资者自行承担，管理人对此不承担任何责任。 </w:t>
      </w:r>
    </w:p>
    <w:p>
      <w:pPr>
        <w:widowControl/>
        <w:numPr>
          <w:ilvl w:val="0"/>
          <w:numId w:val="2"/>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 xml:space="preserve">投资者进行投资时，应严格遵守反洗钱相关法规的规定，切实履行反洗钱及反恐怖融资义务。 </w:t>
      </w:r>
    </w:p>
    <w:p>
      <w:pPr>
        <w:spacing w:line="360" w:lineRule="auto"/>
        <w:ind w:left="482"/>
        <w:rPr>
          <w:b/>
          <w:color w:val="000000"/>
          <w:sz w:val="24"/>
          <w:highlight w:val="none"/>
        </w:rPr>
      </w:pPr>
    </w:p>
    <w:p>
      <w:pPr>
        <w:numPr>
          <w:ilvl w:val="0"/>
          <w:numId w:val="1"/>
        </w:numPr>
        <w:spacing w:line="360" w:lineRule="auto"/>
        <w:ind w:firstLine="482" w:firstLineChars="200"/>
        <w:outlineLvl w:val="2"/>
        <w:rPr>
          <w:rFonts w:hint="eastAsia"/>
          <w:b/>
          <w:color w:val="000000"/>
          <w:sz w:val="24"/>
          <w:highlight w:val="none"/>
        </w:rPr>
      </w:pPr>
      <w:r>
        <w:rPr>
          <w:rFonts w:hint="eastAsia"/>
          <w:b/>
          <w:color w:val="000000"/>
          <w:sz w:val="24"/>
          <w:highlight w:val="none"/>
        </w:rPr>
        <w:t>管理人权利与义务</w:t>
      </w:r>
    </w:p>
    <w:p>
      <w:pPr>
        <w:widowControl/>
        <w:numPr>
          <w:ilvl w:val="0"/>
          <w:numId w:val="3"/>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 xml:space="preserve">管理人应当诚实守信、勤勉尽责地履行受人之托、代人理财职责。 </w:t>
      </w:r>
    </w:p>
    <w:p>
      <w:pPr>
        <w:widowControl/>
        <w:numPr>
          <w:ilvl w:val="0"/>
          <w:numId w:val="3"/>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 xml:space="preserve">管理人应当按照理财计划销售文件的约定收取管理费用、确定收益分配方案、向投资者分配收益。 </w:t>
      </w:r>
    </w:p>
    <w:p>
      <w:pPr>
        <w:widowControl/>
        <w:numPr>
          <w:ilvl w:val="0"/>
          <w:numId w:val="3"/>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 xml:space="preserve">管理人应当按照理财计划销售文件的约定履行风险揭示及信息披露义务。 </w:t>
      </w:r>
    </w:p>
    <w:p>
      <w:pPr>
        <w:widowControl/>
        <w:numPr>
          <w:ilvl w:val="0"/>
          <w:numId w:val="3"/>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 xml:space="preserve">管理人应当确保理财业务与其他业务相分离，理财计划之间相分离，理财业务操作与其他业务操作相分离。 </w:t>
      </w:r>
    </w:p>
    <w:p>
      <w:pPr>
        <w:widowControl/>
        <w:numPr>
          <w:ilvl w:val="0"/>
          <w:numId w:val="3"/>
        </w:numPr>
        <w:spacing w:line="360" w:lineRule="auto"/>
        <w:contextualSpacing/>
        <w:outlineLvl w:val="9"/>
        <w:rPr>
          <w:rFonts w:ascii="宋体" w:hAnsi="宋体"/>
          <w:color w:val="000000"/>
          <w:sz w:val="24"/>
          <w:highlight w:val="none"/>
        </w:rPr>
      </w:pPr>
      <w:r>
        <w:rPr>
          <w:rFonts w:ascii="宋体" w:hAnsi="宋体"/>
          <w:color w:val="000000"/>
          <w:sz w:val="24"/>
          <w:highlight w:val="none"/>
        </w:rPr>
        <w:t>管理人不得将理财</w:t>
      </w:r>
      <w:r>
        <w:rPr>
          <w:rFonts w:hint="eastAsia" w:ascii="宋体" w:hAnsi="宋体"/>
          <w:color w:val="000000"/>
          <w:sz w:val="24"/>
          <w:highlight w:val="none"/>
        </w:rPr>
        <w:t>计划</w:t>
      </w:r>
      <w:r>
        <w:rPr>
          <w:rFonts w:ascii="宋体" w:hAnsi="宋体"/>
          <w:color w:val="000000"/>
          <w:sz w:val="24"/>
          <w:highlight w:val="none"/>
        </w:rPr>
        <w:t>财产归入其自有资产</w:t>
      </w:r>
      <w:r>
        <w:rPr>
          <w:rFonts w:hint="eastAsia" w:ascii="宋体" w:hAnsi="宋体"/>
          <w:color w:val="000000"/>
          <w:sz w:val="24"/>
          <w:highlight w:val="none"/>
        </w:rPr>
        <w:t>，</w:t>
      </w:r>
      <w:r>
        <w:rPr>
          <w:rFonts w:ascii="宋体" w:hAnsi="宋体"/>
          <w:color w:val="000000"/>
          <w:sz w:val="24"/>
          <w:highlight w:val="none"/>
        </w:rPr>
        <w:t>因依法解散</w:t>
      </w:r>
      <w:r>
        <w:rPr>
          <w:rFonts w:hint="eastAsia" w:ascii="宋体" w:hAnsi="宋体"/>
          <w:color w:val="000000"/>
          <w:sz w:val="24"/>
          <w:highlight w:val="none"/>
        </w:rPr>
        <w:t>、</w:t>
      </w:r>
      <w:r>
        <w:rPr>
          <w:rFonts w:ascii="宋体" w:hAnsi="宋体"/>
          <w:color w:val="000000"/>
          <w:sz w:val="24"/>
          <w:highlight w:val="none"/>
        </w:rPr>
        <w:t>被依法撤销或者被依法宣告破产等原因进行清算的</w:t>
      </w:r>
      <w:r>
        <w:rPr>
          <w:rFonts w:hint="eastAsia" w:ascii="宋体" w:hAnsi="宋体"/>
          <w:color w:val="000000"/>
          <w:sz w:val="24"/>
          <w:highlight w:val="none"/>
        </w:rPr>
        <w:t>，</w:t>
      </w:r>
      <w:r>
        <w:rPr>
          <w:rFonts w:ascii="宋体" w:hAnsi="宋体"/>
          <w:color w:val="000000"/>
          <w:sz w:val="24"/>
          <w:highlight w:val="none"/>
        </w:rPr>
        <w:t>理财</w:t>
      </w:r>
      <w:r>
        <w:rPr>
          <w:rFonts w:hint="eastAsia" w:ascii="宋体" w:hAnsi="宋体"/>
          <w:color w:val="000000"/>
          <w:sz w:val="24"/>
          <w:highlight w:val="none"/>
        </w:rPr>
        <w:t>计划</w:t>
      </w:r>
      <w:r>
        <w:rPr>
          <w:rFonts w:ascii="宋体" w:hAnsi="宋体"/>
          <w:color w:val="000000"/>
          <w:sz w:val="24"/>
          <w:highlight w:val="none"/>
        </w:rPr>
        <w:t>财产不属于其清算财产</w:t>
      </w:r>
      <w:r>
        <w:rPr>
          <w:rFonts w:hint="eastAsia" w:ascii="宋体" w:hAnsi="宋体"/>
          <w:color w:val="000000"/>
          <w:sz w:val="24"/>
          <w:highlight w:val="none"/>
        </w:rPr>
        <w:t>。</w:t>
      </w:r>
    </w:p>
    <w:p>
      <w:pPr>
        <w:widowControl/>
        <w:numPr>
          <w:ilvl w:val="0"/>
          <w:numId w:val="3"/>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 xml:space="preserve">管理人应当选择具有证券投资基金托管业务资格的金融机构、银行业理财登记托管机构或者国务院银行业监督管理机构认可的其他机构托管理财计划。 </w:t>
      </w:r>
    </w:p>
    <w:p>
      <w:pPr>
        <w:widowControl/>
        <w:numPr>
          <w:ilvl w:val="0"/>
          <w:numId w:val="3"/>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 xml:space="preserve">管理人作为理财计划管理人，全权负责理财计划资金的运用和理财计划资产的管理，管理人有权并代表投资者利益，按照法律法规和监管部门相关规定对理财计划投资产生的风险资产进行多种方式的处置，包括但不限于转让、重组、债转股、资产证券化、催收、抵债资产收取与处置、破产重整等。 </w:t>
      </w:r>
    </w:p>
    <w:p>
      <w:pPr>
        <w:widowControl/>
        <w:numPr>
          <w:ilvl w:val="0"/>
          <w:numId w:val="3"/>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管理人应就理财计划销售过程中获知的投资者信息、风险承受能力评估结果、适当性匹配情况等承担保密义务。</w:t>
      </w:r>
      <w:r>
        <w:rPr>
          <w:rFonts w:hint="eastAsia" w:ascii="宋体" w:hAnsi="宋体" w:cs="宋体"/>
          <w:bCs/>
          <w:color w:val="000000"/>
          <w:sz w:val="24"/>
          <w:highlight w:val="none"/>
        </w:rPr>
        <w:t>非经投资者事先许可，不得向第三方披露，但法律法规或监管规定另有要求的除外。投资者在此同意并授权，管理人可根据监管要求，为理财计划登记等需要，向登记部门或监管机构提供投资者相关信息</w:t>
      </w:r>
      <w:r>
        <w:rPr>
          <w:rFonts w:hint="eastAsia" w:ascii="宋体" w:hAnsi="宋体" w:cs="宋体"/>
          <w:bCs/>
          <w:color w:val="000000"/>
          <w:sz w:val="24"/>
          <w:highlight w:val="none"/>
          <w:lang w:eastAsia="zh-CN"/>
        </w:rPr>
        <w:t>，</w:t>
      </w:r>
      <w:r>
        <w:rPr>
          <w:rFonts w:hint="eastAsia" w:ascii="宋体" w:hAnsi="宋体" w:cs="宋体"/>
          <w:b w:val="0"/>
          <w:bCs/>
          <w:color w:val="000000"/>
          <w:sz w:val="24"/>
          <w:highlight w:val="none"/>
          <w:lang w:val="en-US" w:eastAsia="zh-CN"/>
        </w:rPr>
        <w:t>授权使用时限与履行相关法律法规和监管要求的必要时限一致</w:t>
      </w:r>
      <w:r>
        <w:rPr>
          <w:rFonts w:hint="eastAsia" w:ascii="宋体" w:hAnsi="宋体" w:cs="宋体"/>
          <w:b w:val="0"/>
          <w:bCs/>
          <w:color w:val="000000"/>
          <w:sz w:val="24"/>
          <w:highlight w:val="none"/>
        </w:rPr>
        <w:t>。</w:t>
      </w:r>
    </w:p>
    <w:p>
      <w:pPr>
        <w:widowControl/>
        <w:numPr>
          <w:ilvl w:val="0"/>
          <w:numId w:val="3"/>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 xml:space="preserve">管理人在此特别披露：若理财计划管理人的关联方担任理财计划的代销机构、托管人、合作机构的，理财计划管理人将按照法律法规和监管要求履行相应程序，投资者认购或申购理财计划即知晓并同意该等安排。 </w:t>
      </w:r>
    </w:p>
    <w:p>
      <w:pPr>
        <w:spacing w:line="360" w:lineRule="auto"/>
        <w:rPr>
          <w:b/>
          <w:color w:val="000000"/>
          <w:sz w:val="24"/>
          <w:highlight w:val="none"/>
        </w:rPr>
      </w:pPr>
    </w:p>
    <w:p>
      <w:pPr>
        <w:numPr>
          <w:ilvl w:val="0"/>
          <w:numId w:val="1"/>
        </w:numPr>
        <w:spacing w:line="360" w:lineRule="auto"/>
        <w:ind w:firstLine="482" w:firstLineChars="200"/>
        <w:outlineLvl w:val="2"/>
        <w:rPr>
          <w:rFonts w:hint="eastAsia"/>
          <w:b/>
          <w:color w:val="000000"/>
          <w:sz w:val="24"/>
          <w:highlight w:val="none"/>
        </w:rPr>
      </w:pPr>
      <w:r>
        <w:rPr>
          <w:rFonts w:hint="eastAsia"/>
          <w:b/>
          <w:color w:val="000000"/>
          <w:sz w:val="24"/>
          <w:highlight w:val="none"/>
        </w:rPr>
        <w:t>理财计划认（申）购、赎回及终止</w:t>
      </w:r>
    </w:p>
    <w:p>
      <w:pPr>
        <w:widowControl/>
        <w:numPr>
          <w:ilvl w:val="0"/>
          <w:numId w:val="4"/>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 xml:space="preserve">理财计划认/申购办理流程：参照《投资者权益须知》约定。 </w:t>
      </w:r>
    </w:p>
    <w:p>
      <w:pPr>
        <w:widowControl/>
        <w:numPr>
          <w:ilvl w:val="0"/>
          <w:numId w:val="4"/>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理财计划认/申购确认：通过杭银理财直销渠道认/申购理财计划的，投资者须指定账户用于认/申购交易和赎回资金清算，投资者购买及扣划时应确保足额资金；如投资者通过代销渠道认/申购理财计划的，管理人仅根据代销渠道提供的交易信息及资金划付对投资者相应认/申购进行确认。</w:t>
      </w:r>
    </w:p>
    <w:p>
      <w:pPr>
        <w:widowControl/>
        <w:numPr>
          <w:ilvl w:val="0"/>
          <w:numId w:val="4"/>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 xml:space="preserve">理财计划不成立：若在募集期结束日，本理财计划发行规模未能达到对应期次的《理财计划产品说明书》规定的要求，则本理财计划不成立，管理人将按对应期次的《理财计划产品说明书》约定条款向投资者进行公告，并将及时解除对投资者授权指定账户中认购资金的冻结。 </w:t>
      </w:r>
    </w:p>
    <w:p>
      <w:pPr>
        <w:widowControl/>
        <w:numPr>
          <w:ilvl w:val="0"/>
          <w:numId w:val="4"/>
        </w:numPr>
        <w:spacing w:line="360" w:lineRule="auto"/>
        <w:contextualSpacing/>
        <w:outlineLvl w:val="9"/>
        <w:rPr>
          <w:rFonts w:hint="eastAsia" w:ascii="宋体" w:hAnsi="宋体"/>
          <w:color w:val="000000"/>
          <w:sz w:val="24"/>
          <w:highlight w:val="none"/>
        </w:rPr>
      </w:pPr>
      <w:r>
        <w:rPr>
          <w:rFonts w:hint="eastAsia" w:ascii="宋体" w:hAnsi="宋体"/>
          <w:color w:val="000000"/>
          <w:sz w:val="24"/>
          <w:highlight w:val="none"/>
        </w:rPr>
        <w:t xml:space="preserve">理财计划投资品种、投资起点金额、收益支付方式：参照对应期次的《理财计划产品说明书》中的条款约定。 </w:t>
      </w:r>
    </w:p>
    <w:p>
      <w:pPr>
        <w:widowControl/>
        <w:numPr>
          <w:ilvl w:val="0"/>
          <w:numId w:val="4"/>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理财计划赎回/终止兑付：在正常情况下，管理人和代销机构将按照对应期次的《理财计划产品说明书》相关约定，将兑付款项划入投资者授权杭银理财理财计划销售文件指定账户。如出现不可抗力、市场停市或管制等异常事件、交易对手违约或其他非管理人主导、仅能被动接受的外部事件或客观情形，导致理财计划无法按约定日清算时，或根据产品说明书约定管理人对理财计划进行延期或转换时，管理人将于原约定清算日前通过信息披露途径及时通知，并根据实际情况进行后续处理。</w:t>
      </w:r>
    </w:p>
    <w:p>
      <w:pPr>
        <w:widowControl/>
        <w:numPr>
          <w:ilvl w:val="0"/>
          <w:numId w:val="4"/>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资金清算：通过管理人直销渠道认申购理财份额的，理财计划终止或份额赎回时，清算资金将直接划入投资者指定账户；通过代销渠道认申购理财份额的，理财计划终止或份额赎回时，管理人按理财计划合同约定划付至代销机构清算账户后，由代销机构向投资者划付投资者应得资金。如因投资者清算账户余额不足，或代销机构未及时足额划付资金，或代销机构清算账户内资金被依法冻结或扣划，或代销机构清算账户处于被挂失、冻结、注销或其他非正常状态等原因而导致交易失败。对于因上述原因导致的交易失败可能带来的任何损失及预期损失，投资者须自行承担或向代销机构依法主张。</w:t>
      </w:r>
    </w:p>
    <w:p>
      <w:pPr>
        <w:spacing w:line="360" w:lineRule="auto"/>
        <w:ind w:left="482"/>
        <w:rPr>
          <w:b/>
          <w:color w:val="000000"/>
          <w:sz w:val="24"/>
          <w:highlight w:val="none"/>
        </w:rPr>
      </w:pPr>
    </w:p>
    <w:p>
      <w:pPr>
        <w:numPr>
          <w:ilvl w:val="0"/>
          <w:numId w:val="1"/>
        </w:numPr>
        <w:spacing w:line="360" w:lineRule="auto"/>
        <w:ind w:firstLine="482" w:firstLineChars="200"/>
        <w:outlineLvl w:val="2"/>
        <w:rPr>
          <w:rFonts w:hint="eastAsia"/>
          <w:b/>
          <w:color w:val="000000"/>
          <w:sz w:val="24"/>
          <w:highlight w:val="none"/>
        </w:rPr>
      </w:pPr>
      <w:r>
        <w:rPr>
          <w:rFonts w:hint="eastAsia"/>
          <w:b/>
          <w:color w:val="000000"/>
          <w:sz w:val="24"/>
          <w:highlight w:val="none"/>
        </w:rPr>
        <w:t>税收处理</w:t>
      </w:r>
    </w:p>
    <w:p>
      <w:pPr>
        <w:widowControl/>
        <w:spacing w:line="360" w:lineRule="auto"/>
        <w:ind w:firstLine="480" w:firstLineChars="200"/>
        <w:contextualSpacing/>
        <w:rPr>
          <w:rFonts w:hint="eastAsia" w:ascii="宋体" w:hAnsi="宋体"/>
          <w:color w:val="000000"/>
          <w:sz w:val="24"/>
          <w:highlight w:val="none"/>
        </w:rPr>
      </w:pPr>
      <w:r>
        <w:rPr>
          <w:rFonts w:hint="eastAsia" w:ascii="宋体" w:hAnsi="宋体"/>
          <w:color w:val="000000"/>
          <w:sz w:val="24"/>
          <w:highlight w:val="none"/>
        </w:rPr>
        <w:t>根据税收相关法律、法规及政策规定，理财计划运营过程中发生的增值税应税行为，以管理人为纳税人；理财计划运营过程中产生的应缴增值税及附加税费由理财计划财产承担。投资者因投资理财计划获得收益的应纳税款由投资者自行申报缴纳。</w:t>
      </w:r>
    </w:p>
    <w:p>
      <w:pPr>
        <w:widowControl/>
        <w:spacing w:line="360" w:lineRule="auto"/>
        <w:ind w:firstLine="480" w:firstLineChars="200"/>
        <w:contextualSpacing/>
        <w:rPr>
          <w:rFonts w:ascii="宋体" w:hAnsi="宋体"/>
          <w:color w:val="000000"/>
          <w:sz w:val="24"/>
          <w:highlight w:val="none"/>
        </w:rPr>
      </w:pPr>
    </w:p>
    <w:p>
      <w:pPr>
        <w:numPr>
          <w:ilvl w:val="0"/>
          <w:numId w:val="1"/>
        </w:numPr>
        <w:spacing w:line="360" w:lineRule="auto"/>
        <w:ind w:firstLine="482" w:firstLineChars="200"/>
        <w:outlineLvl w:val="2"/>
        <w:rPr>
          <w:rFonts w:hint="eastAsia"/>
          <w:b/>
          <w:color w:val="000000"/>
          <w:sz w:val="24"/>
          <w:highlight w:val="none"/>
        </w:rPr>
      </w:pPr>
      <w:r>
        <w:rPr>
          <w:rFonts w:hint="eastAsia"/>
          <w:b/>
          <w:color w:val="000000"/>
          <w:sz w:val="24"/>
          <w:highlight w:val="none"/>
        </w:rPr>
        <w:t>违约责任及免责条款</w:t>
      </w:r>
    </w:p>
    <w:p>
      <w:pPr>
        <w:widowControl/>
        <w:numPr>
          <w:ilvl w:val="0"/>
          <w:numId w:val="5"/>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若因投资人原因导致司法或行政机构采取强制措施对其理财本金、收益进行部分或全部被扣划，均视投资者本人就全部理财本金违约进行了提前</w:t>
      </w:r>
      <w:r>
        <w:rPr>
          <w:rFonts w:hint="eastAsia" w:ascii="宋体" w:hAnsi="宋体"/>
          <w:color w:val="000000"/>
          <w:sz w:val="24"/>
          <w:highlight w:val="none"/>
          <w:lang w:eastAsia="zh-CN"/>
        </w:rPr>
        <w:t>赎回</w:t>
      </w:r>
      <w:r>
        <w:rPr>
          <w:rFonts w:hint="eastAsia" w:ascii="宋体" w:hAnsi="宋体"/>
          <w:color w:val="000000"/>
          <w:sz w:val="24"/>
          <w:highlight w:val="none"/>
        </w:rPr>
        <w:t>，本合同自动终止。因提前终止而产生的损失及相关费用由投资者承担。本合同前述情况终止的，理财本金不计付</w:t>
      </w:r>
      <w:r>
        <w:rPr>
          <w:rFonts w:hint="eastAsia" w:ascii="宋体" w:hAnsi="宋体"/>
          <w:color w:val="000000"/>
          <w:sz w:val="24"/>
          <w:highlight w:val="none"/>
          <w:lang w:eastAsia="zh-CN"/>
        </w:rPr>
        <w:t>赎回</w:t>
      </w:r>
      <w:r>
        <w:rPr>
          <w:rFonts w:hint="eastAsia" w:ascii="宋体" w:hAnsi="宋体"/>
          <w:color w:val="000000"/>
          <w:sz w:val="24"/>
          <w:highlight w:val="none"/>
        </w:rPr>
        <w:t>日前的理财收益，也不计付存款利息。</w:t>
      </w:r>
    </w:p>
    <w:p>
      <w:pPr>
        <w:widowControl/>
        <w:numPr>
          <w:ilvl w:val="0"/>
          <w:numId w:val="5"/>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投资者违反本协议第二条内容，应承担相应违约责任。管理人对由此导致的理财业务交易延误、中断、终止及投资人损失不承担任何责任，并有权终止双方理财业务关系。因投资人违反双方约定解除本协议给管理人或全体投资者造成损失的，投资人应承担相应的赔偿责任。</w:t>
      </w:r>
    </w:p>
    <w:p>
      <w:pPr>
        <w:widowControl/>
        <w:numPr>
          <w:ilvl w:val="0"/>
          <w:numId w:val="5"/>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若由于管理人过错导致理财计划资产发生损失，管理人应按其过错承担赔偿责任，管理人赔偿的款项计入本理财计划的资产和收益，由所有投资者按理财本金比例分配。</w:t>
      </w:r>
    </w:p>
    <w:p>
      <w:pPr>
        <w:widowControl/>
        <w:numPr>
          <w:ilvl w:val="0"/>
          <w:numId w:val="5"/>
        </w:numPr>
        <w:spacing w:line="360" w:lineRule="auto"/>
        <w:contextualSpacing/>
        <w:outlineLvl w:val="9"/>
        <w:rPr>
          <w:rFonts w:hint="eastAsia" w:ascii="宋体" w:hAnsi="宋体"/>
          <w:color w:val="000000"/>
          <w:sz w:val="24"/>
          <w:highlight w:val="none"/>
        </w:rPr>
      </w:pPr>
      <w:r>
        <w:rPr>
          <w:rFonts w:hint="eastAsia" w:ascii="宋体" w:hAnsi="宋体"/>
          <w:color w:val="000000"/>
          <w:sz w:val="24"/>
          <w:highlight w:val="none"/>
        </w:rPr>
        <w:t>由于地震、火灾、战争等不可抗力或突发重大卫生公共事件等不可预测事件造成的交易中断、延误等风险及损失，管理人不承担责任；但管理人应在上述情况发生时在条件允许时及时通知投资人并采取一切必要且可能的措施阻止损失扩大。</w:t>
      </w:r>
    </w:p>
    <w:p>
      <w:pPr>
        <w:widowControl/>
        <w:numPr>
          <w:ilvl w:val="0"/>
          <w:numId w:val="5"/>
        </w:numPr>
        <w:spacing w:line="360" w:lineRule="auto"/>
        <w:contextualSpacing/>
        <w:outlineLvl w:val="9"/>
        <w:rPr>
          <w:rFonts w:hint="eastAsia" w:ascii="宋体" w:hAnsi="宋体"/>
          <w:color w:val="000000"/>
          <w:sz w:val="24"/>
          <w:highlight w:val="none"/>
        </w:rPr>
      </w:pPr>
      <w:r>
        <w:rPr>
          <w:rFonts w:hint="eastAsia" w:ascii="宋体" w:hAnsi="宋体"/>
          <w:color w:val="000000"/>
          <w:sz w:val="24"/>
          <w:highlight w:val="none"/>
        </w:rPr>
        <w:t>因国家有关法律、法规、规章、政策的修改或新的法律、法规、规章、政策颁布以及紧急措施的出台导致的风险及损失，管理人不承担责任。</w:t>
      </w:r>
    </w:p>
    <w:p>
      <w:pPr>
        <w:widowControl/>
        <w:numPr>
          <w:ilvl w:val="0"/>
          <w:numId w:val="5"/>
        </w:numPr>
        <w:spacing w:line="360" w:lineRule="auto"/>
        <w:contextualSpacing/>
        <w:outlineLvl w:val="9"/>
        <w:rPr>
          <w:rFonts w:hint="eastAsia" w:ascii="宋体" w:hAnsi="宋体"/>
          <w:color w:val="000000"/>
          <w:sz w:val="24"/>
          <w:highlight w:val="none"/>
        </w:rPr>
      </w:pPr>
      <w:r>
        <w:rPr>
          <w:rFonts w:hint="eastAsia" w:ascii="宋体" w:hAnsi="宋体"/>
          <w:color w:val="000000"/>
          <w:sz w:val="24"/>
          <w:highlight w:val="none"/>
        </w:rPr>
        <w:t>管理人若严格按照产品说明书相关规定并勤勉尽责进行投资运作，因市场波动、资产风险事件等非因管理人违反法律法规、监管规定或理财计划合同约定的原因给投资者造成损失的，管理人不承担相应赔偿责任；但管理人存在故意或者重大过失的除外。</w:t>
      </w:r>
    </w:p>
    <w:p>
      <w:pPr>
        <w:widowControl/>
        <w:spacing w:line="360" w:lineRule="auto"/>
        <w:contextualSpacing/>
        <w:rPr>
          <w:rFonts w:ascii="宋体" w:hAnsi="宋体"/>
          <w:color w:val="000000"/>
          <w:sz w:val="24"/>
          <w:highlight w:val="none"/>
        </w:rPr>
      </w:pPr>
    </w:p>
    <w:p>
      <w:pPr>
        <w:numPr>
          <w:ilvl w:val="0"/>
          <w:numId w:val="1"/>
        </w:numPr>
        <w:spacing w:line="360" w:lineRule="auto"/>
        <w:ind w:firstLine="482" w:firstLineChars="200"/>
        <w:outlineLvl w:val="2"/>
        <w:rPr>
          <w:b/>
          <w:color w:val="000000"/>
          <w:sz w:val="24"/>
          <w:highlight w:val="none"/>
        </w:rPr>
      </w:pPr>
      <w:r>
        <w:rPr>
          <w:rFonts w:hint="eastAsia"/>
          <w:b/>
          <w:color w:val="000000"/>
          <w:sz w:val="24"/>
          <w:highlight w:val="none"/>
        </w:rPr>
        <w:t>适用法律与争议解决</w:t>
      </w:r>
    </w:p>
    <w:p>
      <w:pPr>
        <w:widowControl/>
        <w:spacing w:line="360" w:lineRule="auto"/>
        <w:ind w:firstLine="480" w:firstLineChars="200"/>
        <w:contextualSpacing/>
        <w:rPr>
          <w:rFonts w:ascii="宋体" w:hAnsi="宋体"/>
          <w:color w:val="000000"/>
          <w:sz w:val="24"/>
          <w:highlight w:val="none"/>
        </w:rPr>
      </w:pPr>
      <w:r>
        <w:rPr>
          <w:rFonts w:hint="eastAsia" w:ascii="宋体" w:hAnsi="宋体"/>
          <w:color w:val="000000"/>
          <w:sz w:val="24"/>
          <w:highlight w:val="none"/>
        </w:rPr>
        <w:t>本合同适用</w:t>
      </w:r>
      <w:r>
        <w:rPr>
          <w:rFonts w:hint="eastAsia" w:ascii="宋体" w:hAnsi="宋体" w:cs="宋体"/>
          <w:bCs/>
          <w:color w:val="000000"/>
          <w:sz w:val="24"/>
          <w:highlight w:val="none"/>
        </w:rPr>
        <w:t>中华人民共和国（仅为明确本合同适用法律规则，不含香港特别行政区、澳门特别行政区及中国台湾地区）</w:t>
      </w:r>
      <w:r>
        <w:rPr>
          <w:rFonts w:hint="eastAsia" w:ascii="宋体" w:hAnsi="宋体"/>
          <w:color w:val="000000"/>
          <w:sz w:val="24"/>
          <w:highlight w:val="none"/>
        </w:rPr>
        <w:t>的法律和行政法规。本合同项下的及与之有关的一切争议，投资者与管理人双方应首先协商解决，协商不成的，任何一方均有权向被告住所地有管辖权的人民法院提起诉讼。诉讼期间，未涉及争议的条款仍需继续履行。</w:t>
      </w:r>
    </w:p>
    <w:p>
      <w:pPr>
        <w:spacing w:line="360" w:lineRule="auto"/>
        <w:ind w:left="482"/>
        <w:rPr>
          <w:b/>
          <w:color w:val="000000"/>
          <w:sz w:val="24"/>
          <w:highlight w:val="none"/>
        </w:rPr>
      </w:pPr>
    </w:p>
    <w:p>
      <w:pPr>
        <w:numPr>
          <w:ilvl w:val="0"/>
          <w:numId w:val="1"/>
        </w:numPr>
        <w:spacing w:line="360" w:lineRule="auto"/>
        <w:ind w:firstLine="482" w:firstLineChars="200"/>
        <w:outlineLvl w:val="2"/>
        <w:rPr>
          <w:rFonts w:hint="eastAsia"/>
          <w:b/>
          <w:color w:val="000000"/>
          <w:sz w:val="24"/>
          <w:highlight w:val="none"/>
        </w:rPr>
      </w:pPr>
      <w:r>
        <w:rPr>
          <w:rFonts w:hint="eastAsia"/>
          <w:b/>
          <w:color w:val="000000"/>
          <w:sz w:val="24"/>
          <w:highlight w:val="none"/>
        </w:rPr>
        <w:t>协议生效和终止</w:t>
      </w:r>
    </w:p>
    <w:p>
      <w:pPr>
        <w:widowControl/>
        <w:numPr>
          <w:ilvl w:val="0"/>
          <w:numId w:val="6"/>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 xml:space="preserve">投资者和管理人双方认可本协议可以纸质或电子数据等形式提交、订立或确认。 </w:t>
      </w:r>
    </w:p>
    <w:p>
      <w:pPr>
        <w:widowControl/>
        <w:numPr>
          <w:ilvl w:val="0"/>
          <w:numId w:val="6"/>
        </w:numPr>
        <w:spacing w:line="360" w:lineRule="auto"/>
        <w:contextualSpacing/>
        <w:outlineLvl w:val="9"/>
        <w:rPr>
          <w:rFonts w:hint="eastAsia" w:ascii="宋体" w:hAnsi="宋体"/>
          <w:color w:val="000000"/>
          <w:sz w:val="24"/>
          <w:highlight w:val="none"/>
        </w:rPr>
      </w:pPr>
      <w:r>
        <w:rPr>
          <w:rFonts w:hint="eastAsia" w:ascii="宋体" w:hAnsi="宋体"/>
          <w:color w:val="000000"/>
          <w:sz w:val="24"/>
          <w:highlight w:val="none"/>
        </w:rPr>
        <w:t>本协议书以纸质书面形式订立的，自投资者</w:t>
      </w:r>
      <w:r>
        <w:rPr>
          <w:rFonts w:hint="eastAsia" w:ascii="宋体" w:hAnsi="宋体"/>
          <w:color w:val="000000"/>
          <w:sz w:val="24"/>
          <w:highlight w:val="none"/>
          <w:lang w:val="en-US" w:eastAsia="zh-CN"/>
        </w:rPr>
        <w:t>签署（如投资者为个人，应签字；如投资者为机构，应法定代表人或授权代理人签字或盖章并加盖公章或有效授权印章）并经管理人系统确认购买理财计划份额</w:t>
      </w:r>
      <w:r>
        <w:rPr>
          <w:rFonts w:hint="eastAsia" w:ascii="宋体" w:hAnsi="宋体"/>
          <w:color w:val="000000"/>
          <w:sz w:val="24"/>
          <w:highlight w:val="none"/>
        </w:rPr>
        <w:t>之后立即生效。协议一式</w:t>
      </w:r>
      <w:r>
        <w:rPr>
          <w:rFonts w:hint="eastAsia" w:ascii="宋体" w:hAnsi="宋体"/>
          <w:color w:val="000000"/>
          <w:sz w:val="24"/>
          <w:highlight w:val="none"/>
          <w:lang w:eastAsia="zh-CN"/>
        </w:rPr>
        <w:t>贰</w:t>
      </w:r>
      <w:r>
        <w:rPr>
          <w:rFonts w:hint="eastAsia" w:ascii="宋体" w:hAnsi="宋体"/>
          <w:color w:val="000000"/>
          <w:sz w:val="24"/>
          <w:highlight w:val="none"/>
        </w:rPr>
        <w:t>份，投资者和管理人双方各执</w:t>
      </w:r>
      <w:r>
        <w:rPr>
          <w:rFonts w:hint="eastAsia" w:ascii="宋体" w:hAnsi="宋体"/>
          <w:color w:val="000000"/>
          <w:sz w:val="24"/>
          <w:highlight w:val="none"/>
          <w:lang w:eastAsia="zh-CN"/>
        </w:rPr>
        <w:t>壹</w:t>
      </w:r>
      <w:r>
        <w:rPr>
          <w:rFonts w:hint="eastAsia" w:ascii="宋体" w:hAnsi="宋体"/>
          <w:color w:val="000000"/>
          <w:sz w:val="24"/>
          <w:highlight w:val="none"/>
        </w:rPr>
        <w:t xml:space="preserve">份，具有同等法律效力。 </w:t>
      </w:r>
    </w:p>
    <w:p>
      <w:pPr>
        <w:widowControl/>
        <w:numPr>
          <w:ilvl w:val="0"/>
          <w:numId w:val="6"/>
        </w:numPr>
        <w:spacing w:line="360" w:lineRule="auto"/>
        <w:contextualSpacing/>
        <w:outlineLvl w:val="9"/>
        <w:rPr>
          <w:rFonts w:hint="eastAsia" w:ascii="宋体" w:hAnsi="宋体"/>
          <w:color w:val="000000"/>
          <w:sz w:val="24"/>
          <w:highlight w:val="none"/>
        </w:rPr>
      </w:pPr>
      <w:r>
        <w:rPr>
          <w:rFonts w:hint="eastAsia" w:ascii="宋体" w:hAnsi="宋体"/>
          <w:color w:val="000000"/>
          <w:sz w:val="24"/>
          <w:highlight w:val="none"/>
        </w:rPr>
        <w:t>本协议书以数据电文形式订立的，投资者在销售机构的电子银行（包括但不限于网上银行、手机银行或监管机构认可的其他销售渠道）点击购买理财计划，投资者使用的身份认证要素或其他安全措施完成的一切交易应知晓并同意为本人所为，同时表示投资者已阅读本协议所有条款，并对本协议条款的含义及相应的法律后果已全部知晓并充分理解，同意接受本协议约束。本协议自投资者点击确认且销售机构电子银行提示交易成功之时生效。交易成功仅指认/申购申请提交成功，认/申购是否成功以管理人另行提供的确认为准。</w:t>
      </w:r>
    </w:p>
    <w:p>
      <w:pPr>
        <w:widowControl/>
        <w:numPr>
          <w:ilvl w:val="0"/>
          <w:numId w:val="6"/>
        </w:numPr>
        <w:spacing w:line="360" w:lineRule="auto"/>
        <w:contextualSpacing/>
        <w:outlineLvl w:val="9"/>
        <w:rPr>
          <w:rFonts w:hint="eastAsia" w:ascii="宋体" w:hAnsi="宋体"/>
          <w:color w:val="000000"/>
          <w:sz w:val="24"/>
          <w:highlight w:val="none"/>
        </w:rPr>
      </w:pPr>
      <w:r>
        <w:rPr>
          <w:rFonts w:hint="eastAsia" w:ascii="宋体" w:hAnsi="宋体"/>
          <w:color w:val="000000"/>
          <w:sz w:val="24"/>
          <w:highlight w:val="none"/>
        </w:rPr>
        <w:t>投资者和管理人双方在本协议及对应期次的《理财计划产品说明书》项下权利义务履行完毕之日，本协议自动终止。</w:t>
      </w:r>
    </w:p>
    <w:p>
      <w:pPr>
        <w:widowControl/>
        <w:spacing w:line="360" w:lineRule="auto"/>
        <w:ind w:left="6"/>
        <w:contextualSpacing/>
        <w:rPr>
          <w:rFonts w:ascii="宋体" w:hAnsi="宋体"/>
          <w:color w:val="000000"/>
          <w:sz w:val="24"/>
          <w:highlight w:val="none"/>
        </w:rPr>
      </w:pPr>
    </w:p>
    <w:p>
      <w:pPr>
        <w:numPr>
          <w:ilvl w:val="0"/>
          <w:numId w:val="1"/>
        </w:numPr>
        <w:spacing w:line="360" w:lineRule="auto"/>
        <w:ind w:firstLine="482" w:firstLineChars="200"/>
        <w:outlineLvl w:val="2"/>
        <w:rPr>
          <w:b/>
          <w:color w:val="000000"/>
          <w:sz w:val="24"/>
          <w:highlight w:val="none"/>
        </w:rPr>
      </w:pPr>
      <w:r>
        <w:rPr>
          <w:rFonts w:hint="eastAsia"/>
          <w:b/>
          <w:color w:val="000000"/>
          <w:sz w:val="24"/>
          <w:highlight w:val="none"/>
        </w:rPr>
        <w:t>附则</w:t>
      </w:r>
    </w:p>
    <w:p>
      <w:pPr>
        <w:widowControl/>
        <w:numPr>
          <w:ilvl w:val="0"/>
          <w:numId w:val="7"/>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如果投资者与管理人之间存在多份理财计划协议书，则每一协议书分别与其所对应的产品说明书等销售文本单独构成一个理财计划交易合同，各个合同之间互相独立，每一合同的效力及履行情况均独立于其他合同。</w:t>
      </w:r>
    </w:p>
    <w:p>
      <w:pPr>
        <w:widowControl/>
        <w:numPr>
          <w:ilvl w:val="0"/>
          <w:numId w:val="7"/>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如果由于任何原因使本合同下的任何条款或内容成为无效或被依法撤销，本合同其他条款或内容的合法性、有效性和可执行性不受影响。</w:t>
      </w:r>
    </w:p>
    <w:p>
      <w:pPr>
        <w:widowControl/>
        <w:numPr>
          <w:ilvl w:val="0"/>
          <w:numId w:val="7"/>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在理财计划存续期内，如因监管政策或法律法规发生变化，在不损害投资者利益的前提下，管理人有权对理财计划合同进行修订。</w:t>
      </w:r>
    </w:p>
    <w:p>
      <w:pPr>
        <w:spacing w:line="360" w:lineRule="auto"/>
        <w:rPr>
          <w:rFonts w:ascii="宋体" w:hAnsi="宋体" w:cs="宋体"/>
          <w:bCs/>
          <w:color w:val="000000"/>
          <w:sz w:val="24"/>
          <w:highlight w:val="none"/>
        </w:rPr>
      </w:pPr>
    </w:p>
    <w:p>
      <w:pPr>
        <w:spacing w:line="360" w:lineRule="auto"/>
        <w:rPr>
          <w:rFonts w:ascii="宋体" w:hAnsi="宋体" w:cs="宋体"/>
          <w:bCs/>
          <w:color w:val="000000"/>
          <w:sz w:val="24"/>
          <w:highlight w:val="none"/>
        </w:rPr>
      </w:pPr>
    </w:p>
    <w:p>
      <w:pPr>
        <w:pStyle w:val="6"/>
        <w:widowControl/>
        <w:spacing w:line="360" w:lineRule="auto"/>
        <w:jc w:val="right"/>
        <w:rPr>
          <w:rFonts w:ascii="宋体" w:hAnsi="宋体" w:cs="宋体"/>
          <w:bCs/>
          <w:color w:val="000000"/>
          <w:sz w:val="24"/>
          <w:highlight w:val="none"/>
        </w:rPr>
      </w:pPr>
      <w:r>
        <w:rPr>
          <w:rFonts w:hint="eastAsia" w:ascii="宋体" w:hAnsi="宋体" w:cs="宋体"/>
          <w:color w:val="000000"/>
          <w:kern w:val="0"/>
          <w:highlight w:val="none"/>
        </w:rPr>
        <w:t>杭银理财有限责任公司</w:t>
      </w:r>
    </w:p>
    <w:p>
      <w:pPr>
        <w:pageBreakBefore/>
        <w:widowControl/>
        <w:spacing w:line="360" w:lineRule="auto"/>
        <w:rPr>
          <w:rFonts w:ascii="宋体" w:hAnsi="宋体"/>
          <w:color w:val="000000"/>
          <w:sz w:val="24"/>
          <w:highlight w:val="none"/>
        </w:rPr>
      </w:pPr>
      <w:r>
        <w:rPr>
          <w:rFonts w:hint="eastAsia" w:ascii="宋体" w:hAnsi="宋体"/>
          <w:color w:val="000000"/>
          <w:sz w:val="24"/>
          <w:highlight w:val="none"/>
        </w:rPr>
        <w:t>本页为纸质形式（如有）</w:t>
      </w:r>
      <w:r>
        <w:rPr>
          <w:rFonts w:hint="eastAsia" w:ascii="宋体" w:hAnsi="宋体"/>
          <w:color w:val="000000"/>
          <w:sz w:val="24"/>
          <w:highlight w:val="none"/>
          <w:lang w:val="en-US" w:eastAsia="zh-CN"/>
        </w:rPr>
        <w:t>投资</w:t>
      </w:r>
      <w:r>
        <w:rPr>
          <w:rFonts w:hint="eastAsia" w:ascii="宋体" w:hAnsi="宋体"/>
          <w:color w:val="000000"/>
          <w:sz w:val="24"/>
          <w:highlight w:val="none"/>
        </w:rPr>
        <w:t>协议书签章页</w:t>
      </w:r>
    </w:p>
    <w:p>
      <w:pPr>
        <w:spacing w:line="360" w:lineRule="auto"/>
        <w:rPr>
          <w:color w:val="000000"/>
          <w:sz w:val="24"/>
          <w:highlight w:val="none"/>
        </w:rPr>
      </w:pPr>
    </w:p>
    <w:p>
      <w:pPr>
        <w:spacing w:line="360" w:lineRule="auto"/>
        <w:rPr>
          <w:color w:val="000000"/>
          <w:sz w:val="24"/>
          <w:highlight w:val="none"/>
        </w:rPr>
      </w:pPr>
    </w:p>
    <w:p>
      <w:pPr>
        <w:spacing w:line="360" w:lineRule="auto"/>
        <w:rPr>
          <w:color w:val="000000"/>
          <w:sz w:val="24"/>
          <w:highlight w:val="none"/>
        </w:rPr>
      </w:pPr>
    </w:p>
    <w:p>
      <w:pPr>
        <w:spacing w:line="360" w:lineRule="auto"/>
        <w:rPr>
          <w:color w:val="000000"/>
          <w:sz w:val="24"/>
          <w:highlight w:val="none"/>
        </w:rPr>
      </w:pPr>
    </w:p>
    <w:p>
      <w:pPr>
        <w:spacing w:line="360" w:lineRule="auto"/>
        <w:rPr>
          <w:color w:val="000000"/>
          <w:sz w:val="24"/>
          <w:highlight w:val="none"/>
        </w:rPr>
      </w:pPr>
    </w:p>
    <w:p>
      <w:pPr>
        <w:spacing w:line="360" w:lineRule="auto"/>
        <w:rPr>
          <w:color w:val="000000"/>
          <w:sz w:val="24"/>
          <w:highlight w:val="none"/>
        </w:rPr>
      </w:pPr>
    </w:p>
    <w:p>
      <w:pPr>
        <w:spacing w:line="360" w:lineRule="auto"/>
        <w:rPr>
          <w:color w:val="000000"/>
          <w:sz w:val="24"/>
          <w:highlight w:val="none"/>
        </w:rPr>
      </w:pPr>
    </w:p>
    <w:p>
      <w:pPr>
        <w:spacing w:line="360" w:lineRule="auto"/>
        <w:rPr>
          <w:color w:val="000000"/>
          <w:sz w:val="24"/>
          <w:highlight w:val="none"/>
        </w:rPr>
      </w:pPr>
    </w:p>
    <w:p>
      <w:pPr>
        <w:spacing w:line="360" w:lineRule="auto"/>
        <w:rPr>
          <w:rFonts w:hint="eastAsia" w:ascii="宋体" w:hAnsi="宋体"/>
          <w:b/>
          <w:bCs/>
          <w:color w:val="000000"/>
          <w:sz w:val="24"/>
          <w:highlight w:val="none"/>
        </w:rPr>
      </w:pPr>
      <w:r>
        <w:rPr>
          <w:rFonts w:hint="eastAsia" w:ascii="宋体" w:hAnsi="宋体"/>
          <w:b/>
          <w:bCs/>
          <w:color w:val="000000"/>
          <w:sz w:val="24"/>
          <w:highlight w:val="none"/>
        </w:rPr>
        <w:t>投资者（签字</w:t>
      </w:r>
      <w:r>
        <w:rPr>
          <w:rFonts w:hint="eastAsia" w:ascii="宋体" w:hAnsi="宋体" w:eastAsia="宋体" w:cs="黑体"/>
          <w:b/>
          <w:bCs/>
          <w:color w:val="000000"/>
          <w:sz w:val="24"/>
          <w:highlight w:val="none"/>
          <w:lang w:eastAsia="zh-CN"/>
        </w:rPr>
        <w:t>或签章</w:t>
      </w:r>
      <w:r>
        <w:rPr>
          <w:rFonts w:hint="eastAsia" w:ascii="宋体" w:hAnsi="宋体"/>
          <w:b/>
          <w:bCs/>
          <w:color w:val="000000"/>
          <w:sz w:val="24"/>
          <w:highlight w:val="none"/>
        </w:rPr>
        <w:t>）：</w:t>
      </w:r>
    </w:p>
    <w:p>
      <w:pPr>
        <w:spacing w:line="360" w:lineRule="auto"/>
        <w:rPr>
          <w:rFonts w:hint="eastAsia" w:ascii="宋体" w:hAnsi="宋体"/>
          <w:b/>
          <w:bCs/>
          <w:color w:val="000000"/>
          <w:sz w:val="24"/>
          <w:highlight w:val="none"/>
        </w:rPr>
      </w:pPr>
    </w:p>
    <w:p>
      <w:pPr>
        <w:spacing w:line="360" w:lineRule="auto"/>
        <w:rPr>
          <w:rFonts w:hint="eastAsia" w:ascii="宋体" w:hAnsi="宋体"/>
          <w:b/>
          <w:bCs/>
          <w:color w:val="000000"/>
          <w:sz w:val="24"/>
          <w:highlight w:val="none"/>
        </w:rPr>
      </w:pPr>
    </w:p>
    <w:p>
      <w:pPr>
        <w:spacing w:before="156" w:beforeLines="50" w:after="156" w:afterLines="50" w:line="360" w:lineRule="auto"/>
        <w:ind w:firstLine="4800" w:firstLineChars="2000"/>
        <w:jc w:val="right"/>
        <w:rPr>
          <w:rFonts w:ascii="宋体" w:hAnsi="宋体" w:cs="宋体"/>
          <w:bCs/>
          <w:color w:val="000000"/>
          <w:sz w:val="24"/>
          <w:highlight w:val="none"/>
        </w:rPr>
      </w:pPr>
      <w:r>
        <w:rPr>
          <w:rFonts w:hint="eastAsia" w:ascii="Arial" w:hAnsi="Arial"/>
          <w:color w:val="000000"/>
          <w:sz w:val="24"/>
          <w:highlight w:val="none"/>
        </w:rPr>
        <w:t xml:space="preserve">   年   月   日</w:t>
      </w: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DgdDgMpQEAAD8DAAAOAAAAAAAA&#10;AAEAIAAAAB4BAABkcnMvZTJvRG9jLnhtbFBLBQYAAAAABgAGAFkBAAA1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single" w:color="auto" w:sz="4" w:space="1"/>
      </w:pBdr>
    </w:pPr>
    <w:r>
      <w:rPr>
        <w:rFonts w:hint="eastAsia"/>
        <w:b/>
        <w:bCs/>
        <w:color w:val="000000"/>
      </w:rPr>
      <w:t>理财非存款 产品有风险 投资须谨慎</w:t>
    </w:r>
    <w:r>
      <w:rPr>
        <w:b/>
        <w:bCs/>
      </w:rPr>
      <w:drawing>
        <wp:anchor distT="0" distB="0" distL="114300" distR="114300" simplePos="0" relativeHeight="251658240"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08226EF"/>
    <w:multiLevelType w:val="singleLevel"/>
    <w:tmpl w:val="B08226EF"/>
    <w:lvl w:ilvl="0" w:tentative="0">
      <w:start w:val="1"/>
      <w:numFmt w:val="chineseCounting"/>
      <w:suff w:val="space"/>
      <w:lvlText w:val="第%1条"/>
      <w:lvlJc w:val="left"/>
      <w:rPr>
        <w:rFonts w:hint="eastAsia"/>
      </w:rPr>
    </w:lvl>
  </w:abstractNum>
  <w:abstractNum w:abstractNumId="1">
    <w:nsid w:val="60C0383C"/>
    <w:multiLevelType w:val="singleLevel"/>
    <w:tmpl w:val="60C0383C"/>
    <w:lvl w:ilvl="0" w:tentative="0">
      <w:start w:val="1"/>
      <w:numFmt w:val="chineseCounting"/>
      <w:suff w:val="nothing"/>
      <w:lvlText w:val="（%1）"/>
      <w:lvlJc w:val="left"/>
      <w:pPr>
        <w:ind w:left="0" w:firstLine="420"/>
      </w:pPr>
      <w:rPr>
        <w:rFonts w:hint="eastAsia"/>
      </w:rPr>
    </w:lvl>
  </w:abstractNum>
  <w:abstractNum w:abstractNumId="2">
    <w:nsid w:val="60C03881"/>
    <w:multiLevelType w:val="singleLevel"/>
    <w:tmpl w:val="60C03881"/>
    <w:lvl w:ilvl="0" w:tentative="0">
      <w:start w:val="1"/>
      <w:numFmt w:val="chineseCounting"/>
      <w:suff w:val="nothing"/>
      <w:lvlText w:val="（%1）"/>
      <w:lvlJc w:val="left"/>
      <w:pPr>
        <w:ind w:left="0" w:firstLine="420"/>
      </w:pPr>
      <w:rPr>
        <w:rFonts w:hint="eastAsia"/>
      </w:rPr>
    </w:lvl>
  </w:abstractNum>
  <w:abstractNum w:abstractNumId="3">
    <w:nsid w:val="60C038C0"/>
    <w:multiLevelType w:val="singleLevel"/>
    <w:tmpl w:val="60C038C0"/>
    <w:lvl w:ilvl="0" w:tentative="0">
      <w:start w:val="1"/>
      <w:numFmt w:val="chineseCounting"/>
      <w:suff w:val="nothing"/>
      <w:lvlText w:val="（%1）"/>
      <w:lvlJc w:val="left"/>
      <w:pPr>
        <w:ind w:left="0" w:firstLine="420"/>
      </w:pPr>
      <w:rPr>
        <w:rFonts w:hint="eastAsia"/>
      </w:rPr>
    </w:lvl>
  </w:abstractNum>
  <w:abstractNum w:abstractNumId="4">
    <w:nsid w:val="60C038EA"/>
    <w:multiLevelType w:val="singleLevel"/>
    <w:tmpl w:val="60C038EA"/>
    <w:lvl w:ilvl="0" w:tentative="0">
      <w:start w:val="1"/>
      <w:numFmt w:val="chineseCounting"/>
      <w:suff w:val="nothing"/>
      <w:lvlText w:val="（%1）"/>
      <w:lvlJc w:val="left"/>
      <w:pPr>
        <w:ind w:left="0" w:firstLine="420"/>
      </w:pPr>
      <w:rPr>
        <w:rFonts w:hint="eastAsia"/>
      </w:rPr>
    </w:lvl>
  </w:abstractNum>
  <w:abstractNum w:abstractNumId="5">
    <w:nsid w:val="60C03912"/>
    <w:multiLevelType w:val="singleLevel"/>
    <w:tmpl w:val="60C03912"/>
    <w:lvl w:ilvl="0" w:tentative="0">
      <w:start w:val="1"/>
      <w:numFmt w:val="chineseCounting"/>
      <w:suff w:val="nothing"/>
      <w:lvlText w:val="（%1）"/>
      <w:lvlJc w:val="left"/>
      <w:pPr>
        <w:ind w:left="0" w:firstLine="420"/>
      </w:pPr>
      <w:rPr>
        <w:rFonts w:hint="eastAsia"/>
      </w:rPr>
    </w:lvl>
  </w:abstractNum>
  <w:abstractNum w:abstractNumId="6">
    <w:nsid w:val="60C03933"/>
    <w:multiLevelType w:val="singleLevel"/>
    <w:tmpl w:val="60C03933"/>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10E7747B"/>
    <w:rsid w:val="10F25E29"/>
    <w:rsid w:val="11044BA6"/>
    <w:rsid w:val="11FA0C01"/>
    <w:rsid w:val="128B25FE"/>
    <w:rsid w:val="12DA17D8"/>
    <w:rsid w:val="15862C7E"/>
    <w:rsid w:val="164976A9"/>
    <w:rsid w:val="168E71BC"/>
    <w:rsid w:val="178D1D7E"/>
    <w:rsid w:val="17BB08DA"/>
    <w:rsid w:val="17EA7887"/>
    <w:rsid w:val="18321B09"/>
    <w:rsid w:val="18616AA2"/>
    <w:rsid w:val="191F0F43"/>
    <w:rsid w:val="19E235E1"/>
    <w:rsid w:val="1A7E4CCF"/>
    <w:rsid w:val="1BCD72C9"/>
    <w:rsid w:val="1BFB7C22"/>
    <w:rsid w:val="1C09008C"/>
    <w:rsid w:val="1CAD436C"/>
    <w:rsid w:val="1D0817CE"/>
    <w:rsid w:val="1E635082"/>
    <w:rsid w:val="1F0F7AA5"/>
    <w:rsid w:val="1F7FC040"/>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7DD240"/>
    <w:rsid w:val="28F73A05"/>
    <w:rsid w:val="29E223F6"/>
    <w:rsid w:val="2A7A79DE"/>
    <w:rsid w:val="2B5C1F0C"/>
    <w:rsid w:val="2BD054E2"/>
    <w:rsid w:val="2EAD6691"/>
    <w:rsid w:val="2F0D25D9"/>
    <w:rsid w:val="2FD7FF98"/>
    <w:rsid w:val="3086176D"/>
    <w:rsid w:val="31124CF4"/>
    <w:rsid w:val="31A3269E"/>
    <w:rsid w:val="322D08A3"/>
    <w:rsid w:val="32626F15"/>
    <w:rsid w:val="329E36D6"/>
    <w:rsid w:val="338518DF"/>
    <w:rsid w:val="34105616"/>
    <w:rsid w:val="3486580A"/>
    <w:rsid w:val="34A35A92"/>
    <w:rsid w:val="34A453A9"/>
    <w:rsid w:val="34EC3C25"/>
    <w:rsid w:val="351A5D92"/>
    <w:rsid w:val="35AA025C"/>
    <w:rsid w:val="35CA7D73"/>
    <w:rsid w:val="36FD5D01"/>
    <w:rsid w:val="377307FA"/>
    <w:rsid w:val="37F23197"/>
    <w:rsid w:val="390049F0"/>
    <w:rsid w:val="394B6E53"/>
    <w:rsid w:val="3B1C12F3"/>
    <w:rsid w:val="3BD53B5C"/>
    <w:rsid w:val="3CC57F13"/>
    <w:rsid w:val="3D4C282D"/>
    <w:rsid w:val="3D970F4E"/>
    <w:rsid w:val="3DCFC59A"/>
    <w:rsid w:val="3DE106C6"/>
    <w:rsid w:val="3E540971"/>
    <w:rsid w:val="3E786275"/>
    <w:rsid w:val="3E931F0D"/>
    <w:rsid w:val="3F7E2660"/>
    <w:rsid w:val="3FA31FDD"/>
    <w:rsid w:val="3FBF6D08"/>
    <w:rsid w:val="3FED5371"/>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CC51C60"/>
    <w:rsid w:val="4D3204EA"/>
    <w:rsid w:val="4D697EB1"/>
    <w:rsid w:val="4D7EE1B8"/>
    <w:rsid w:val="4DFF95C2"/>
    <w:rsid w:val="4E08799D"/>
    <w:rsid w:val="4E2B414A"/>
    <w:rsid w:val="4F5679CC"/>
    <w:rsid w:val="501840BA"/>
    <w:rsid w:val="52B042C0"/>
    <w:rsid w:val="53827B5D"/>
    <w:rsid w:val="53E86B53"/>
    <w:rsid w:val="54D66C67"/>
    <w:rsid w:val="54ED47F2"/>
    <w:rsid w:val="568633C7"/>
    <w:rsid w:val="57061882"/>
    <w:rsid w:val="57280BF2"/>
    <w:rsid w:val="57CFCB0F"/>
    <w:rsid w:val="57FE8B5E"/>
    <w:rsid w:val="582C3B01"/>
    <w:rsid w:val="582D059F"/>
    <w:rsid w:val="582D396D"/>
    <w:rsid w:val="59083CAE"/>
    <w:rsid w:val="592570E8"/>
    <w:rsid w:val="59435FE6"/>
    <w:rsid w:val="59480030"/>
    <w:rsid w:val="59A3360E"/>
    <w:rsid w:val="5ADE2855"/>
    <w:rsid w:val="5ADF8627"/>
    <w:rsid w:val="5B056CAE"/>
    <w:rsid w:val="5C664A4B"/>
    <w:rsid w:val="5CE67D31"/>
    <w:rsid w:val="5E5F4050"/>
    <w:rsid w:val="5F04726A"/>
    <w:rsid w:val="5F6D37D2"/>
    <w:rsid w:val="5F9C081D"/>
    <w:rsid w:val="5FED5180"/>
    <w:rsid w:val="5FFB426B"/>
    <w:rsid w:val="5FFFB2B7"/>
    <w:rsid w:val="606677EA"/>
    <w:rsid w:val="60F34C3C"/>
    <w:rsid w:val="617668BD"/>
    <w:rsid w:val="61D01645"/>
    <w:rsid w:val="62C21BCB"/>
    <w:rsid w:val="63723353"/>
    <w:rsid w:val="63FB4702"/>
    <w:rsid w:val="64164D78"/>
    <w:rsid w:val="64993141"/>
    <w:rsid w:val="659F27EB"/>
    <w:rsid w:val="659F600E"/>
    <w:rsid w:val="65FB5398"/>
    <w:rsid w:val="67CE6661"/>
    <w:rsid w:val="680A5A06"/>
    <w:rsid w:val="68B9403E"/>
    <w:rsid w:val="68D511B9"/>
    <w:rsid w:val="68FA6041"/>
    <w:rsid w:val="69827CEE"/>
    <w:rsid w:val="6BDE71F2"/>
    <w:rsid w:val="6C9577EB"/>
    <w:rsid w:val="6CBA3A99"/>
    <w:rsid w:val="6D3A1203"/>
    <w:rsid w:val="6DB5A206"/>
    <w:rsid w:val="6DFE35A5"/>
    <w:rsid w:val="6E9C369D"/>
    <w:rsid w:val="6EF41B11"/>
    <w:rsid w:val="6EF79B63"/>
    <w:rsid w:val="6FF79273"/>
    <w:rsid w:val="702573F3"/>
    <w:rsid w:val="70B57531"/>
    <w:rsid w:val="70FA499F"/>
    <w:rsid w:val="730C182D"/>
    <w:rsid w:val="7377A39E"/>
    <w:rsid w:val="73F5BB6D"/>
    <w:rsid w:val="73FC9A3F"/>
    <w:rsid w:val="751974A1"/>
    <w:rsid w:val="758B30E4"/>
    <w:rsid w:val="75F42331"/>
    <w:rsid w:val="75FF1C0A"/>
    <w:rsid w:val="761F7C3C"/>
    <w:rsid w:val="76683D2A"/>
    <w:rsid w:val="76C62D9E"/>
    <w:rsid w:val="76DF52A4"/>
    <w:rsid w:val="77FA47C2"/>
    <w:rsid w:val="78244617"/>
    <w:rsid w:val="7A923507"/>
    <w:rsid w:val="7AAFF850"/>
    <w:rsid w:val="7ACB640D"/>
    <w:rsid w:val="7BFF1A29"/>
    <w:rsid w:val="7C044D89"/>
    <w:rsid w:val="7C63442B"/>
    <w:rsid w:val="7D3AA22F"/>
    <w:rsid w:val="7D9F2F3F"/>
    <w:rsid w:val="7DC783FB"/>
    <w:rsid w:val="7DE35ECA"/>
    <w:rsid w:val="7DF186E2"/>
    <w:rsid w:val="7E1A0C5A"/>
    <w:rsid w:val="7E3212D3"/>
    <w:rsid w:val="7E7F7BE9"/>
    <w:rsid w:val="7EFF9EC8"/>
    <w:rsid w:val="7EFFF434"/>
    <w:rsid w:val="7F5F887D"/>
    <w:rsid w:val="7F9FC635"/>
    <w:rsid w:val="7FCC7D05"/>
    <w:rsid w:val="7FEF42B8"/>
    <w:rsid w:val="7FEFE414"/>
    <w:rsid w:val="7FF2B36D"/>
    <w:rsid w:val="7FF39E9A"/>
    <w:rsid w:val="7FFB28EC"/>
    <w:rsid w:val="7FFF0685"/>
    <w:rsid w:val="7FFF94DC"/>
    <w:rsid w:val="84392690"/>
    <w:rsid w:val="9FD01BC3"/>
    <w:rsid w:val="9FDF7357"/>
    <w:rsid w:val="B3FE25BF"/>
    <w:rsid w:val="BACFB3F4"/>
    <w:rsid w:val="BE6E0F8F"/>
    <w:rsid w:val="BF301657"/>
    <w:rsid w:val="BFA721BB"/>
    <w:rsid w:val="C679D4D5"/>
    <w:rsid w:val="C7EFAC2C"/>
    <w:rsid w:val="CC4512C4"/>
    <w:rsid w:val="CEEAB172"/>
    <w:rsid w:val="CFBD1285"/>
    <w:rsid w:val="D3FFF2E3"/>
    <w:rsid w:val="D4B948F0"/>
    <w:rsid w:val="D76FBC03"/>
    <w:rsid w:val="D7BE90C3"/>
    <w:rsid w:val="DFFBF81E"/>
    <w:rsid w:val="E2F2C526"/>
    <w:rsid w:val="E4FFD666"/>
    <w:rsid w:val="E5D7501E"/>
    <w:rsid w:val="E7F7B356"/>
    <w:rsid w:val="E9F39395"/>
    <w:rsid w:val="E9FFA600"/>
    <w:rsid w:val="EBF5BECB"/>
    <w:rsid w:val="ED6EA22C"/>
    <w:rsid w:val="EE2FCBAA"/>
    <w:rsid w:val="EEFF0FFF"/>
    <w:rsid w:val="F3F331A4"/>
    <w:rsid w:val="F3FF81F7"/>
    <w:rsid w:val="F47FEAE3"/>
    <w:rsid w:val="F5DBF1C3"/>
    <w:rsid w:val="F5E5AD98"/>
    <w:rsid w:val="F6D74091"/>
    <w:rsid w:val="F7EF100D"/>
    <w:rsid w:val="F7FE62B6"/>
    <w:rsid w:val="F8ADBDD7"/>
    <w:rsid w:val="FA543BA3"/>
    <w:rsid w:val="FD7F9463"/>
    <w:rsid w:val="FDFD4F0C"/>
    <w:rsid w:val="FEAED78B"/>
    <w:rsid w:val="FF3E6B15"/>
    <w:rsid w:val="FF5D960F"/>
    <w:rsid w:val="FF7C7432"/>
    <w:rsid w:val="FFBE48B5"/>
    <w:rsid w:val="FFFFAA71"/>
    <w:rsid w:val="FFFFE025"/>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10">
    <w:name w:val="Default Paragraph Font"/>
    <w:semiHidden/>
    <w:qFormat/>
    <w:uiPriority w:val="0"/>
  </w:style>
  <w:style w:type="table" w:default="1" w:styleId="8">
    <w:name w:val="Normal Table"/>
    <w:unhideWhenUsed/>
    <w:qFormat/>
    <w:uiPriority w:val="99"/>
    <w:tblPr>
      <w:tblLayout w:type="fixed"/>
      <w:tblCellMar>
        <w:top w:w="0" w:type="dxa"/>
        <w:left w:w="108" w:type="dxa"/>
        <w:bottom w:w="0" w:type="dxa"/>
        <w:right w:w="108" w:type="dxa"/>
      </w:tblCellMar>
    </w:tblPr>
  </w:style>
  <w:style w:type="paragraph" w:styleId="2">
    <w:name w:val="annotation text"/>
    <w:basedOn w:val="1"/>
    <w:link w:val="18"/>
    <w:qFormat/>
    <w:uiPriority w:val="0"/>
    <w:pPr>
      <w:jc w:val="left"/>
    </w:pPr>
  </w:style>
  <w:style w:type="paragraph" w:styleId="3">
    <w:name w:val="Balloon Text"/>
    <w:basedOn w:val="1"/>
    <w:link w:val="20"/>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rPr>
      <w:sz w:val="24"/>
    </w:rPr>
  </w:style>
  <w:style w:type="paragraph" w:styleId="7">
    <w:name w:val="annotation subject"/>
    <w:basedOn w:val="2"/>
    <w:next w:val="2"/>
    <w:link w:val="19"/>
    <w:qFormat/>
    <w:uiPriority w:val="0"/>
    <w:rPr>
      <w:b/>
      <w:bCs/>
    </w:rPr>
  </w:style>
  <w:style w:type="table" w:styleId="9">
    <w:name w:val="Table Grid"/>
    <w:basedOn w:val="8"/>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Hyperlink"/>
    <w:qFormat/>
    <w:uiPriority w:val="0"/>
    <w:rPr>
      <w:color w:val="0000FF"/>
      <w:u w:val="single"/>
    </w:rPr>
  </w:style>
  <w:style w:type="character" w:styleId="12">
    <w:name w:val="annotation reference"/>
    <w:qFormat/>
    <w:uiPriority w:val="0"/>
    <w:rPr>
      <w:sz w:val="21"/>
      <w:szCs w:val="21"/>
    </w:rPr>
  </w:style>
  <w:style w:type="character" w:customStyle="1" w:styleId="13">
    <w:name w:val="批注文字 字符"/>
    <w:link w:val="2"/>
    <w:qFormat/>
    <w:uiPriority w:val="0"/>
    <w:rPr>
      <w:rFonts w:ascii="Calibri" w:hAnsi="Calibri" w:cs="黑体"/>
      <w:kern w:val="2"/>
      <w:sz w:val="21"/>
      <w:szCs w:val="24"/>
    </w:rPr>
  </w:style>
  <w:style w:type="character" w:customStyle="1" w:styleId="14">
    <w:name w:val="批注框文本 字符"/>
    <w:link w:val="3"/>
    <w:qFormat/>
    <w:uiPriority w:val="0"/>
    <w:rPr>
      <w:rFonts w:ascii="Calibri" w:hAnsi="Calibri" w:cs="黑体"/>
      <w:kern w:val="2"/>
      <w:sz w:val="18"/>
      <w:szCs w:val="18"/>
    </w:rPr>
  </w:style>
  <w:style w:type="character" w:customStyle="1" w:styleId="15">
    <w:name w:val="批注主题 字符"/>
    <w:link w:val="7"/>
    <w:qFormat/>
    <w:uiPriority w:val="0"/>
    <w:rPr>
      <w:rFonts w:ascii="Calibri" w:hAnsi="Calibri" w:cs="黑体"/>
      <w:b/>
      <w:bCs/>
      <w:kern w:val="2"/>
      <w:sz w:val="21"/>
      <w:szCs w:val="24"/>
    </w:rPr>
  </w:style>
  <w:style w:type="paragraph" w:customStyle="1" w:styleId="16">
    <w:name w:val="List Paragraph"/>
    <w:basedOn w:val="1"/>
    <w:unhideWhenUsed/>
    <w:qFormat/>
    <w:uiPriority w:val="99"/>
    <w:pPr>
      <w:ind w:firstLine="420" w:firstLineChars="200"/>
    </w:pPr>
  </w:style>
  <w:style w:type="paragraph" w:customStyle="1" w:styleId="17">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18">
    <w:name w:val="批注文字 Char"/>
    <w:link w:val="2"/>
    <w:qFormat/>
    <w:uiPriority w:val="0"/>
    <w:rPr>
      <w:rFonts w:ascii="Calibri" w:hAnsi="Calibri" w:cs="黑体"/>
      <w:kern w:val="2"/>
      <w:sz w:val="21"/>
      <w:szCs w:val="24"/>
    </w:rPr>
  </w:style>
  <w:style w:type="character" w:customStyle="1" w:styleId="19">
    <w:name w:val="批注主题 Char"/>
    <w:link w:val="7"/>
    <w:qFormat/>
    <w:uiPriority w:val="0"/>
    <w:rPr>
      <w:rFonts w:ascii="Calibri" w:hAnsi="Calibri" w:cs="黑体"/>
      <w:b/>
      <w:bCs/>
      <w:kern w:val="2"/>
      <w:sz w:val="21"/>
      <w:szCs w:val="24"/>
    </w:rPr>
  </w:style>
  <w:style w:type="character" w:customStyle="1" w:styleId="20">
    <w:name w:val="批注框文本 Char"/>
    <w:link w:val="3"/>
    <w:qFormat/>
    <w:uiPriority w:val="0"/>
    <w:rPr>
      <w:rFonts w:ascii="Calibri" w:hAnsi="Calibri" w:cs="黑体"/>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73</Pages>
  <Words>48902</Words>
  <Characters>55550</Characters>
  <Lines>1</Lines>
  <Paragraphs>1</Paragraphs>
  <TotalTime>6</TotalTime>
  <ScaleCrop>false</ScaleCrop>
  <LinksUpToDate>false</LinksUpToDate>
  <CharactersWithSpaces>56076</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2014-11-09T20:08:00Z</dcterms:created>
  <dc:creator>Administrator</dc:creator>
  <cp:lastModifiedBy>hccb</cp:lastModifiedBy>
  <dcterms:modified xsi:type="dcterms:W3CDTF">2026-09-03T07:06:05Z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31D2C926FE114C0C74E2976A8AED0371_43</vt:lpwstr>
  </property>
  <property fmtid="{D5CDD505-2E9C-101B-9397-08002B2CF9AE}" pid="3" name="KSOProductBuildVer">
    <vt:lpwstr>2052-11.8.2.8411</vt:lpwstr>
  </property>
</Properties>
</file>