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ind w:left="0" w:leftChars="0" w:firstLine="0" w:firstLineChars="0"/>
        <w:jc w:val="center"/>
        <w:outlineLvl w:val="0"/>
        <w:rPr>
          <w:rFonts w:hint="eastAsia" w:ascii="宋体" w:hAnsi="宋体" w:cs="宋体"/>
          <w:b/>
          <w:bCs/>
          <w:color w:val="000000"/>
          <w:sz w:val="44"/>
          <w:szCs w:val="44"/>
          <w:highlight w:val="none"/>
        </w:rPr>
      </w:pPr>
      <w:bookmarkStart w:id="0" w:name="_GoBack"/>
      <w:bookmarkEnd w:id="0"/>
      <w:r>
        <w:rPr>
          <w:rFonts w:hint="eastAsia" w:ascii="宋体" w:hAnsi="宋体" w:eastAsia="宋体" w:cs="宋体"/>
          <w:b/>
          <w:bCs/>
          <w:color w:val="000000"/>
          <w:kern w:val="2"/>
          <w:sz w:val="44"/>
          <w:szCs w:val="44"/>
          <w:highlight w:val="none"/>
          <w:lang w:val="en-US" w:eastAsia="zh-CN" w:bidi="ar-SA"/>
        </w:rPr>
        <w:t>幸福99丰裕固收386天26146期理财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w:t>
      </w:r>
      <w:r>
        <w:rPr>
          <w:rFonts w:hint="eastAsia" w:ascii="宋体" w:hAnsi="宋体" w:cs="宋体"/>
          <w:color w:val="000000"/>
          <w:sz w:val="28"/>
          <w:szCs w:val="28"/>
          <w:highlight w:val="none"/>
        </w:rPr>
        <w:t>版）</w:t>
      </w:r>
    </w:p>
    <w:p>
      <w:pPr>
        <w:spacing w:line="360" w:lineRule="auto"/>
        <w:jc w:val="right"/>
        <w:rPr>
          <w:rFonts w:hint="eastAsia" w:ascii="宋体" w:hAnsi="宋体" w:cs="宋体"/>
          <w:bCs/>
          <w:color w:val="000000"/>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Z7002226000321</w:t>
      </w:r>
      <w:r>
        <w:rPr>
          <w:rFonts w:hint="eastAsia" w:ascii="宋体" w:hAnsi="宋体" w:cs="宋体"/>
          <w:bCs/>
          <w:color w:val="000000"/>
          <w:sz w:val="24"/>
          <w:highlight w:val="none"/>
        </w:rPr>
        <w:t>〗</w:t>
      </w:r>
    </w:p>
    <w:p>
      <w:pPr>
        <w:spacing w:line="360" w:lineRule="auto"/>
        <w:jc w:val="center"/>
        <w:rPr>
          <w:rFonts w:hint="eastAsia" w:ascii="宋体" w:hAnsi="宋体" w:cs="宋体"/>
          <w:bCs/>
          <w:color w:val="000000"/>
          <w:sz w:val="24"/>
          <w:highlight w:val="none"/>
        </w:rPr>
      </w:pPr>
    </w:p>
    <w:p>
      <w:pPr>
        <w:numPr>
          <w:ilvl w:val="0"/>
          <w:numId w:val="1"/>
        </w:numPr>
        <w:spacing w:line="360" w:lineRule="auto"/>
        <w:jc w:val="left"/>
        <w:outlineLvl w:val="1"/>
        <w:rPr>
          <w:rFonts w:ascii="宋体" w:hAnsi="宋体" w:cs="宋体"/>
          <w:b/>
          <w:color w:val="000000"/>
          <w:sz w:val="24"/>
          <w:highlight w:val="none"/>
        </w:rPr>
      </w:pPr>
      <w:r>
        <w:rPr>
          <w:rFonts w:hint="eastAsia" w:ascii="宋体" w:hAnsi="宋体" w:cs="宋体"/>
          <w:b/>
          <w:color w:val="000000"/>
          <w:sz w:val="24"/>
          <w:highlight w:val="none"/>
        </w:rPr>
        <w:t>重要须知</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9"/>
        <w:rPr>
          <w:rFonts w:hint="eastAsia" w:ascii="宋体" w:hAnsi="宋体" w:cs="宋体"/>
          <w:bCs/>
          <w:color w:val="000000"/>
          <w:sz w:val="24"/>
          <w:highlight w:val="none"/>
        </w:rPr>
      </w:pPr>
      <w:r>
        <w:rPr>
          <w:rFonts w:hint="eastAsia" w:ascii="宋体" w:hAnsi="宋体" w:cs="宋体"/>
          <w:bCs/>
          <w:color w:val="000000"/>
          <w:sz w:val="24"/>
          <w:highlight w:val="none"/>
        </w:rPr>
        <w:t>管理人有权依法对本理财计划产品说明书进行解释。</w:t>
      </w:r>
    </w:p>
    <w:p>
      <w:pPr>
        <w:spacing w:line="360" w:lineRule="auto"/>
        <w:jc w:val="left"/>
        <w:rPr>
          <w:rFonts w:hint="eastAsia" w:ascii="宋体" w:hAnsi="宋体" w:cs="宋体"/>
          <w:bCs/>
          <w:color w:val="000000"/>
          <w:sz w:val="24"/>
          <w:highlight w:val="none"/>
        </w:rPr>
      </w:pPr>
    </w:p>
    <w:p>
      <w:pPr>
        <w:numPr>
          <w:ilvl w:val="0"/>
          <w:numId w:val="3"/>
        </w:numPr>
        <w:spacing w:line="360" w:lineRule="auto"/>
        <w:jc w:val="left"/>
        <w:outlineLvl w:val="1"/>
        <w:rPr>
          <w:rFonts w:ascii="宋体" w:hAnsi="宋体" w:cs="宋体"/>
          <w:b/>
          <w:color w:val="000000"/>
          <w:sz w:val="24"/>
          <w:highlight w:val="none"/>
        </w:rPr>
      </w:pPr>
      <w:r>
        <w:rPr>
          <w:rFonts w:hint="eastAsia" w:ascii="宋体" w:hAnsi="宋体" w:cs="宋体"/>
          <w:b/>
          <w:color w:val="000000"/>
          <w:sz w:val="24"/>
          <w:highlight w:val="none"/>
        </w:rPr>
        <w:t>释义</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17"/>
        <w:numPr>
          <w:ilvl w:val="0"/>
          <w:numId w:val="4"/>
        </w:numPr>
        <w:adjustRightInd/>
        <w:spacing w:line="360" w:lineRule="auto"/>
        <w:outlineLvl w:val="2"/>
        <w:rPr>
          <w:rFonts w:hint="eastAsia" w:ascii="宋体" w:hAnsi="宋体" w:cs="宋体"/>
          <w:b/>
          <w:color w:val="000000"/>
          <w:kern w:val="2"/>
          <w:highlight w:val="none"/>
        </w:rPr>
      </w:pPr>
      <w:r>
        <w:rPr>
          <w:rFonts w:hint="eastAsia" w:ascii="宋体" w:hAnsi="宋体" w:cs="宋体"/>
          <w:b/>
          <w:color w:val="000000"/>
          <w:kern w:val="2"/>
          <w:highlight w:val="none"/>
        </w:rPr>
        <w:t>参与主体用语</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color w:val="000000"/>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color w:val="000000"/>
          <w:sz w:val="24"/>
          <w:szCs w:val="24"/>
          <w:highlight w:val="none"/>
        </w:rPr>
        <w:t>〗</w:t>
      </w:r>
      <w:r>
        <w:rPr>
          <w:rFonts w:hint="eastAsia" w:ascii="宋体" w:hAnsi="宋体" w:cs="宋体"/>
          <w:bCs/>
          <w:color w:val="000000"/>
          <w:kern w:val="2"/>
          <w:highlight w:val="none"/>
        </w:rPr>
        <w:t>。</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17"/>
        <w:numPr>
          <w:ilvl w:val="0"/>
          <w:numId w:val="5"/>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17"/>
        <w:numPr>
          <w:ilvl w:val="0"/>
          <w:numId w:val="4"/>
        </w:numPr>
        <w:adjustRightInd/>
        <w:spacing w:line="360" w:lineRule="auto"/>
        <w:outlineLvl w:val="2"/>
        <w:rPr>
          <w:rFonts w:hint="eastAsia" w:ascii="宋体" w:hAnsi="宋体" w:cs="宋体"/>
          <w:b/>
          <w:color w:val="000000"/>
          <w:kern w:val="2"/>
          <w:highlight w:val="none"/>
        </w:rPr>
      </w:pPr>
      <w:r>
        <w:rPr>
          <w:rFonts w:hint="eastAsia" w:ascii="宋体" w:hAnsi="宋体" w:cs="宋体"/>
          <w:b/>
          <w:color w:val="000000"/>
          <w:kern w:val="2"/>
          <w:highlight w:val="none"/>
        </w:rPr>
        <w:t>法律文件用语</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幸福99丰裕固收386天26146期理财</w:t>
      </w:r>
      <w:r>
        <w:rPr>
          <w:rFonts w:hint="eastAsia" w:ascii="宋体" w:hAnsi="宋体" w:cs="宋体"/>
          <w:bCs/>
          <w:color w:val="000000"/>
          <w:highlight w:val="none"/>
        </w:rPr>
        <w:t>产品说明书</w:t>
      </w:r>
      <w:r>
        <w:rPr>
          <w:rFonts w:hint="eastAsia" w:ascii="宋体" w:hAnsi="宋体" w:cs="宋体"/>
          <w:bCs/>
          <w:color w:val="000000"/>
          <w:kern w:val="2"/>
          <w:highlight w:val="none"/>
        </w:rPr>
        <w:t>》，以及对该文件的有效修改与补充。</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幸福99丰裕固收386天26146期理财</w:t>
      </w:r>
      <w:r>
        <w:rPr>
          <w:rFonts w:hint="eastAsia" w:ascii="宋体" w:hAnsi="宋体" w:cs="宋体"/>
          <w:bCs/>
          <w:color w:val="000000"/>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幸福99丰裕固收386天26146期理财</w:t>
      </w:r>
      <w:r>
        <w:rPr>
          <w:rFonts w:hint="eastAsia" w:ascii="宋体" w:hAnsi="宋体" w:cs="宋体"/>
          <w:bCs/>
          <w:color w:val="000000"/>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幸福99丰裕固收386天26146期理财</w:t>
      </w:r>
      <w:r>
        <w:rPr>
          <w:rFonts w:hint="eastAsia" w:ascii="宋体" w:hAnsi="宋体" w:cs="宋体"/>
          <w:bCs/>
          <w:color w:val="000000"/>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幸福99丰裕固收386天26146期理财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w:t>
      </w:r>
      <w:r>
        <w:rPr>
          <w:rFonts w:hint="eastAsia" w:ascii="宋体" w:hAnsi="宋体" w:cs="宋体"/>
          <w:bCs/>
          <w:color w:val="000000"/>
          <w:kern w:val="2"/>
          <w:highlight w:val="none"/>
        </w:rPr>
        <w:t>书》《投资者权益须知》《理财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17"/>
        <w:numPr>
          <w:ilvl w:val="0"/>
          <w:numId w:val="4"/>
        </w:numPr>
        <w:adjustRightInd/>
        <w:spacing w:line="360" w:lineRule="auto"/>
        <w:outlineLvl w:val="2"/>
        <w:rPr>
          <w:rFonts w:hint="eastAsia" w:ascii="宋体" w:hAnsi="宋体" w:cs="宋体"/>
          <w:b/>
          <w:color w:val="000000"/>
          <w:kern w:val="2"/>
          <w:highlight w:val="none"/>
        </w:rPr>
      </w:pPr>
      <w:r>
        <w:rPr>
          <w:rFonts w:hint="eastAsia" w:ascii="宋体" w:hAnsi="宋体" w:cs="宋体"/>
          <w:b/>
          <w:color w:val="000000"/>
          <w:kern w:val="2"/>
          <w:highlight w:val="none"/>
        </w:rPr>
        <w:t>理财产品用语</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幸福99丰裕固收386天26146期理财</w:t>
      </w:r>
      <w:r>
        <w:rPr>
          <w:rFonts w:hint="eastAsia" w:ascii="宋体" w:hAnsi="宋体" w:cs="宋体"/>
          <w:bCs/>
          <w:color w:val="000000"/>
          <w:highlight w:val="none"/>
        </w:rPr>
        <w:t>。</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理财计划份额/产品份额：</w:t>
      </w:r>
      <w:r>
        <w:rPr>
          <w:rFonts w:hint="eastAsia" w:ascii="宋体" w:hAnsi="宋体" w:cs="宋体"/>
          <w:bCs/>
          <w:color w:val="000000"/>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理财计划份额净值/产品份额净值：</w:t>
      </w:r>
      <w:r>
        <w:rPr>
          <w:rFonts w:hint="eastAsia" w:ascii="宋体" w:hAnsi="宋体" w:cs="宋体"/>
          <w:bCs/>
          <w:color w:val="000000"/>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理财计划份额累计净值/产品份额累计净值：</w:t>
      </w:r>
      <w:r>
        <w:rPr>
          <w:rFonts w:hint="eastAsia" w:ascii="宋体" w:hAnsi="宋体" w:cs="宋体"/>
          <w:bCs/>
          <w:color w:val="000000"/>
          <w:highlight w:val="none"/>
        </w:rPr>
        <w:t>指理财计划份额的单位净值与理财计划成立后历次累计单位收益分配的总和。</w:t>
      </w:r>
    </w:p>
    <w:p>
      <w:pPr>
        <w:pStyle w:val="17"/>
        <w:numPr>
          <w:ilvl w:val="0"/>
          <w:numId w:val="7"/>
        </w:numPr>
        <w:adjustRightInd/>
        <w:spacing w:line="360" w:lineRule="auto"/>
        <w:rPr>
          <w:rFonts w:hint="eastAsia" w:ascii="宋体" w:hAnsi="宋体" w:cs="宋体"/>
          <w:b/>
          <w:color w:val="000000"/>
          <w:highlight w:val="none"/>
        </w:rPr>
      </w:pPr>
      <w:r>
        <w:rPr>
          <w:rFonts w:hint="eastAsia" w:ascii="宋体" w:hAnsi="宋体" w:cs="宋体"/>
          <w:b/>
          <w:color w:val="000000"/>
          <w:highlight w:val="none"/>
        </w:rPr>
        <w:t>工作日：</w:t>
      </w:r>
      <w:r>
        <w:rPr>
          <w:rFonts w:hint="eastAsia" w:ascii="宋体" w:hAnsi="宋体" w:cs="宋体"/>
          <w:bCs/>
          <w:color w:val="000000"/>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color w:val="000000"/>
          <w:highlight w:val="none"/>
        </w:rPr>
      </w:pPr>
      <w:r>
        <w:rPr>
          <w:rFonts w:hint="eastAsia" w:ascii="宋体" w:hAnsi="宋体" w:cs="宋体"/>
          <w:b/>
          <w:color w:val="000000"/>
          <w:highlight w:val="none"/>
        </w:rPr>
        <w:t>交易日：</w:t>
      </w:r>
      <w:r>
        <w:rPr>
          <w:rFonts w:hint="eastAsia" w:ascii="宋体" w:hAnsi="宋体" w:cs="宋体"/>
          <w:bCs/>
          <w:color w:val="000000"/>
          <w:highlight w:val="none"/>
        </w:rPr>
        <w:t>指</w:t>
      </w:r>
      <w:r>
        <w:rPr>
          <w:rFonts w:hint="eastAsia" w:ascii="宋体" w:hAnsi="宋体" w:cs="宋体"/>
          <w:color w:val="000000"/>
          <w:szCs w:val="21"/>
          <w:highlight w:val="none"/>
        </w:rPr>
        <w:t>〖</w:t>
      </w:r>
      <w:r>
        <w:rPr>
          <w:rFonts w:hint="eastAsia" w:ascii="宋体" w:hAnsi="宋体" w:cs="宋体"/>
          <w:bCs/>
          <w:color w:val="000000"/>
          <w:highlight w:val="none"/>
        </w:rPr>
        <w:t>上海证券交易所、深圳证券交易所</w:t>
      </w:r>
      <w:r>
        <w:rPr>
          <w:rFonts w:hint="eastAsia" w:ascii="宋体" w:hAnsi="宋体" w:cs="宋体"/>
          <w:color w:val="000000"/>
          <w:szCs w:val="21"/>
          <w:highlight w:val="none"/>
        </w:rPr>
        <w:t>〗</w:t>
      </w:r>
      <w:r>
        <w:rPr>
          <w:rFonts w:hint="eastAsia" w:ascii="宋体" w:hAnsi="宋体" w:cs="宋体"/>
          <w:bCs/>
          <w:color w:val="000000"/>
          <w:highlight w:val="none"/>
        </w:rPr>
        <w:t>的正常交易日。</w:t>
      </w:r>
      <w:r>
        <w:rPr>
          <w:rFonts w:hint="eastAsia" w:ascii="宋体" w:hAnsi="宋体" w:cs="宋体"/>
          <w:bCs/>
          <w:color w:val="000000"/>
          <w:highlight w:val="none"/>
          <w:lang w:val="en-US" w:eastAsia="zh-CN"/>
        </w:rPr>
        <w:t>如涉及到监管条例部分，统一以监管条例表述替代。</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成立日：</w:t>
      </w:r>
      <w:r>
        <w:rPr>
          <w:rFonts w:hint="eastAsia" w:ascii="宋体" w:hAnsi="宋体" w:cs="宋体"/>
          <w:bCs/>
          <w:color w:val="000000"/>
          <w:highlight w:val="none"/>
        </w:rPr>
        <w:t>指理财计划完成首次募集发行后正式成立运作日。</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color w:val="000000"/>
          <w:highlight w:val="none"/>
        </w:rPr>
        <w:t>管理人行使提前终止权的日期，即本理财计划被提前终止、开始停止计算收益的日期。</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资金到账日：</w:t>
      </w:r>
      <w:r>
        <w:rPr>
          <w:rFonts w:hint="eastAsia" w:ascii="宋体" w:hAnsi="宋体" w:cs="宋体"/>
          <w:bCs/>
          <w:color w:val="000000"/>
          <w:highlight w:val="none"/>
        </w:rPr>
        <w:t>指理财计划终止运作后，资金返还至投资者账户的日期。</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理财计划费用/产品费用：</w:t>
      </w:r>
      <w:r>
        <w:rPr>
          <w:rFonts w:hint="eastAsia" w:ascii="宋体" w:hAnsi="宋体" w:cs="宋体"/>
          <w:bCs/>
          <w:color w:val="000000"/>
          <w:highlight w:val="none"/>
        </w:rPr>
        <w:t>指管理人为成立理财计划及处理理财计划事务而支出的所有费用，包括但不限于管理人收取的固定管理费、浮动管理费、</w:t>
      </w:r>
      <w:r>
        <w:rPr>
          <w:rFonts w:hint="eastAsia" w:ascii="宋体" w:hAnsi="宋体" w:cs="宋体"/>
          <w:bCs/>
          <w:color w:val="000000"/>
          <w:highlight w:val="none"/>
          <w:lang w:eastAsia="zh-CN"/>
        </w:rPr>
        <w:t>销售服务费</w:t>
      </w:r>
      <w:r>
        <w:rPr>
          <w:rFonts w:hint="eastAsia" w:ascii="宋体" w:hAnsi="宋体" w:cs="宋体"/>
          <w:bCs/>
          <w:color w:val="000000"/>
          <w:highlight w:val="none"/>
        </w:rPr>
        <w:t>、托管人收取的托管费、交易费用、执行费用等相关费用，具体以</w:t>
      </w:r>
      <w:r>
        <w:rPr>
          <w:rFonts w:hint="eastAsia" w:ascii="宋体" w:hAnsi="宋体" w:cs="宋体"/>
          <w:bCs/>
          <w:color w:val="000000"/>
          <w:highlight w:val="none"/>
          <w:lang w:eastAsia="zh-CN"/>
        </w:rPr>
        <w:t>实际发生</w:t>
      </w:r>
      <w:r>
        <w:rPr>
          <w:rFonts w:hint="eastAsia" w:ascii="宋体" w:hAnsi="宋体" w:cs="宋体"/>
          <w:bCs/>
          <w:color w:val="000000"/>
          <w:highlight w:val="none"/>
        </w:rPr>
        <w:t>为准。</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bCs w:val="0"/>
          <w:color w:val="000000"/>
          <w:highlight w:val="none"/>
          <w:lang w:eastAsia="zh-CN"/>
        </w:rPr>
        <w:t>其他费用：</w:t>
      </w:r>
      <w:r>
        <w:rPr>
          <w:rFonts w:hint="eastAsia" w:ascii="宋体" w:hAnsi="宋体" w:cs="宋体"/>
          <w:b w:val="0"/>
          <w:bCs/>
          <w:color w:val="000000"/>
          <w:highlight w:val="none"/>
          <w:lang w:eastAsia="zh-CN"/>
        </w:rPr>
        <w:t>指除理财计划费用以外，理财计划涉及的其他相关费用，包括但不限于认购费、申购费、赎回费、投顾费等，具体以</w:t>
      </w:r>
      <w:r>
        <w:rPr>
          <w:rFonts w:hint="eastAsia" w:ascii="宋体" w:hAnsi="宋体" w:cs="宋体"/>
          <w:bCs/>
          <w:color w:val="000000"/>
          <w:highlight w:val="none"/>
        </w:rPr>
        <w:t>本说明书第八条约定</w:t>
      </w:r>
      <w:r>
        <w:rPr>
          <w:rFonts w:hint="eastAsia" w:ascii="宋体" w:hAnsi="宋体" w:cs="宋体"/>
          <w:b w:val="0"/>
          <w:bCs/>
          <w:color w:val="000000"/>
          <w:highlight w:val="none"/>
          <w:lang w:eastAsia="zh-CN"/>
        </w:rPr>
        <w:t>为准。</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highlight w:val="none"/>
        </w:rPr>
        <w:t>理财计划估值：</w:t>
      </w:r>
      <w:r>
        <w:rPr>
          <w:rFonts w:hint="eastAsia" w:ascii="宋体" w:hAnsi="宋体" w:cs="宋体"/>
          <w:bCs/>
          <w:color w:val="000000"/>
          <w:highlight w:val="none"/>
        </w:rPr>
        <w:t>指计算评估理财计划资产以确定理财计划份额净值的过程。</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rPr>
          <w:rFonts w:hint="eastAsia" w:ascii="宋体" w:hAnsi="宋体" w:cs="宋体"/>
          <w:b/>
          <w:color w:val="000000"/>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17"/>
        <w:numPr>
          <w:ilvl w:val="0"/>
          <w:numId w:val="7"/>
        </w:numPr>
        <w:adjustRightInd/>
        <w:spacing w:line="360" w:lineRule="auto"/>
        <w:rPr>
          <w:rFonts w:hint="eastAsia" w:ascii="宋体" w:hAnsi="宋体" w:cs="宋体"/>
          <w:b/>
          <w:bCs w:val="0"/>
          <w:color w:val="000000"/>
          <w:kern w:val="2"/>
          <w:highlight w:val="none"/>
        </w:rPr>
      </w:pPr>
      <w:r>
        <w:rPr>
          <w:rFonts w:hint="eastAsia" w:ascii="宋体" w:hAnsi="宋体" w:cs="宋体"/>
          <w:b/>
          <w:bCs w:val="0"/>
          <w:color w:val="000000"/>
          <w:kern w:val="2"/>
          <w:highlight w:val="none"/>
          <w:lang w:val="en-US" w:eastAsia="zh-CN"/>
        </w:rPr>
        <w:t>流动性</w:t>
      </w:r>
      <w:r>
        <w:rPr>
          <w:rFonts w:hint="eastAsia"/>
          <w:b/>
          <w:bCs w:val="0"/>
          <w:color w:val="000000"/>
          <w:highlight w:val="none"/>
          <w:lang w:val="en-US" w:eastAsia="zh-CN"/>
        </w:rPr>
        <w:t>受限资产：</w:t>
      </w:r>
      <w:r>
        <w:rPr>
          <w:rFonts w:hint="eastAsia"/>
          <w:color w:val="000000"/>
          <w:highlight w:val="none"/>
          <w:lang w:val="en-US" w:eastAsia="zh-CN"/>
        </w:rPr>
        <w:t>是指由于法律法规、监管、合同或操作障碍等原因无法以合理价格予以变现的资产，包括到期日在</w:t>
      </w:r>
      <w:r>
        <w:rPr>
          <w:rFonts w:hint="eastAsia" w:ascii="宋体" w:hAnsi="宋体" w:eastAsia="宋体" w:cs="宋体"/>
          <w:color w:val="000000"/>
          <w:highlight w:val="none"/>
          <w:lang w:val="en-US" w:eastAsia="zh-CN"/>
        </w:rPr>
        <w:t>10</w:t>
      </w:r>
      <w:r>
        <w:rPr>
          <w:rFonts w:hint="eastAsia"/>
          <w:color w:val="000000"/>
          <w:highlight w:val="none"/>
          <w:lang w:val="en-US" w:eastAsia="zh-CN"/>
        </w:rPr>
        <w:t>个交易日以上的逆回购与银行定期存款（含协议约定有条件提前支取的银行存款）、距可赎回日在</w:t>
      </w:r>
      <w:r>
        <w:rPr>
          <w:rFonts w:hint="eastAsia" w:ascii="宋体" w:hAnsi="宋体" w:eastAsia="宋体" w:cs="宋体"/>
          <w:color w:val="000000"/>
          <w:highlight w:val="none"/>
          <w:lang w:val="en-US" w:eastAsia="zh-CN"/>
        </w:rPr>
        <w:t>10</w:t>
      </w:r>
      <w:r>
        <w:rPr>
          <w:rFonts w:hint="eastAsia"/>
          <w:color w:val="000000"/>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rPr>
          <w:rFonts w:hint="eastAsia" w:ascii="宋体" w:hAnsi="宋体" w:cs="宋体"/>
          <w:b/>
          <w:bCs w:val="0"/>
          <w:color w:val="000000"/>
          <w:kern w:val="2"/>
          <w:highlight w:val="none"/>
        </w:rPr>
      </w:pPr>
      <w:r>
        <w:rPr>
          <w:rFonts w:hint="eastAsia"/>
          <w:b/>
          <w:bCs/>
          <w:color w:val="000000"/>
          <w:highlight w:val="none"/>
          <w:lang w:val="en-US" w:eastAsia="zh-CN"/>
        </w:rPr>
        <w:t>投资退出期：</w:t>
      </w:r>
      <w:r>
        <w:rPr>
          <w:rFonts w:hint="eastAsia" w:ascii="Times New Roman" w:hAnsi="Times New Roman" w:eastAsia="宋体" w:cs="Times New Roman"/>
          <w:color w:val="000000"/>
          <w:highlight w:val="none"/>
          <w:lang w:val="en-US" w:eastAsia="zh-CN"/>
        </w:rPr>
        <w:t>是指理财计划临近到期前，管理人通过资产变现用以进行资金交割清算的准备期。</w:t>
      </w:r>
    </w:p>
    <w:p>
      <w:pPr>
        <w:pStyle w:val="17"/>
        <w:numPr>
          <w:ilvl w:val="0"/>
          <w:numId w:val="4"/>
        </w:numPr>
        <w:adjustRightInd/>
        <w:spacing w:line="360" w:lineRule="auto"/>
        <w:outlineLvl w:val="2"/>
        <w:rPr>
          <w:rFonts w:hint="eastAsia" w:ascii="宋体" w:hAnsi="宋体" w:cs="宋体"/>
          <w:b/>
          <w:color w:val="000000"/>
          <w:kern w:val="2"/>
          <w:highlight w:val="none"/>
        </w:rPr>
      </w:pPr>
      <w:r>
        <w:rPr>
          <w:rFonts w:hint="eastAsia" w:ascii="宋体" w:hAnsi="宋体" w:cs="宋体"/>
          <w:b/>
          <w:color w:val="000000"/>
          <w:kern w:val="2"/>
          <w:highlight w:val="none"/>
        </w:rPr>
        <w:t>相关事件用语</w:t>
      </w:r>
    </w:p>
    <w:p>
      <w:pPr>
        <w:pStyle w:val="17"/>
        <w:numPr>
          <w:ilvl w:val="0"/>
          <w:numId w:val="8"/>
        </w:numPr>
        <w:adjustRightInd/>
        <w:spacing w:line="360" w:lineRule="auto"/>
        <w:rPr>
          <w:rFonts w:hint="eastAsia" w:ascii="宋体" w:hAnsi="宋体" w:cs="宋体"/>
          <w:bCs/>
          <w:color w:val="000000"/>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color w:val="000000"/>
          <w:highlight w:val="none"/>
        </w:rPr>
      </w:pPr>
      <w:r>
        <w:rPr>
          <w:rFonts w:hint="eastAsia" w:ascii="宋体" w:hAnsi="宋体" w:cs="宋体"/>
          <w:bCs/>
          <w:color w:val="000000"/>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17"/>
        <w:adjustRightInd/>
        <w:spacing w:line="360" w:lineRule="auto"/>
        <w:rPr>
          <w:rFonts w:hint="eastAsia" w:ascii="宋体" w:hAnsi="宋体" w:cs="宋体"/>
          <w:bCs/>
          <w:color w:val="000000"/>
          <w:kern w:val="2"/>
          <w:highlight w:val="none"/>
        </w:rPr>
      </w:pPr>
    </w:p>
    <w:p>
      <w:pPr>
        <w:pStyle w:val="17"/>
        <w:numPr>
          <w:ilvl w:val="0"/>
          <w:numId w:val="9"/>
        </w:numPr>
        <w:adjustRightInd/>
        <w:spacing w:line="360" w:lineRule="auto"/>
        <w:outlineLvl w:val="1"/>
        <w:rPr>
          <w:rFonts w:hint="eastAsia" w:ascii="宋体" w:hAnsi="宋体" w:cs="宋体"/>
          <w:b/>
          <w:color w:val="000000"/>
          <w:kern w:val="2"/>
          <w:highlight w:val="none"/>
        </w:rPr>
      </w:pPr>
      <w:r>
        <w:rPr>
          <w:rFonts w:hint="eastAsia" w:ascii="宋体" w:hAnsi="宋体" w:cs="宋体"/>
          <w:b/>
          <w:color w:val="000000"/>
          <w:kern w:val="2"/>
          <w:highlight w:val="none"/>
        </w:rPr>
        <w:t>风险评级</w:t>
      </w:r>
    </w:p>
    <w:p>
      <w:pPr>
        <w:pStyle w:val="17"/>
        <w:adjustRightInd/>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8"/>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R1</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R2</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R3</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R4</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中高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R5</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rPr>
              <w:t>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000000"/>
                <w:kern w:val="2"/>
                <w:highlight w:val="none"/>
              </w:rPr>
            </w:pPr>
            <w:r>
              <w:rPr>
                <w:rFonts w:hint="eastAsia" w:ascii="宋体" w:hAnsi="宋体" w:cs="宋体"/>
                <w:bCs/>
                <w:color w:val="000000"/>
                <w:kern w:val="2"/>
                <w:highlight w:val="none"/>
                <w:lang w:eastAsia="zh-CN"/>
              </w:rPr>
              <w:t>激进型</w:t>
            </w:r>
          </w:p>
        </w:tc>
      </w:tr>
    </w:tbl>
    <w:p>
      <w:pPr>
        <w:pStyle w:val="17"/>
        <w:adjustRightInd/>
        <w:spacing w:line="360" w:lineRule="auto"/>
        <w:ind w:firstLine="480" w:firstLineChars="200"/>
        <w:rPr>
          <w:rFonts w:hint="default" w:ascii="宋体" w:hAnsi="宋体" w:cs="宋体"/>
          <w:bCs/>
          <w:color w:val="000000"/>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17"/>
        <w:adjustRightInd/>
        <w:spacing w:line="360" w:lineRule="auto"/>
        <w:rPr>
          <w:rFonts w:hint="eastAsia" w:ascii="宋体" w:hAnsi="宋体" w:cs="宋体"/>
          <w:bCs/>
          <w:color w:val="000000"/>
          <w:kern w:val="2"/>
          <w:highlight w:val="none"/>
          <w:lang w:eastAsia="zh-CN"/>
        </w:rPr>
      </w:pPr>
    </w:p>
    <w:p>
      <w:pPr>
        <w:pStyle w:val="17"/>
        <w:numPr>
          <w:ilvl w:val="0"/>
          <w:numId w:val="9"/>
        </w:numPr>
        <w:adjustRightInd/>
        <w:spacing w:line="360" w:lineRule="auto"/>
        <w:outlineLvl w:val="1"/>
        <w:rPr>
          <w:rFonts w:hint="eastAsia" w:ascii="宋体" w:hAnsi="宋体" w:cs="宋体"/>
          <w:b/>
          <w:color w:val="000000"/>
          <w:kern w:val="2"/>
          <w:highlight w:val="none"/>
        </w:rPr>
      </w:pPr>
      <w:r>
        <w:rPr>
          <w:rFonts w:hint="eastAsia" w:ascii="宋体" w:hAnsi="宋体" w:cs="宋体"/>
          <w:b/>
          <w:color w:val="000000"/>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幸福99丰裕固收386天26146期理财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丰裕固收26146期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FYG26146</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Z7002226000321</w:t>
            </w:r>
            <w:r>
              <w:rPr>
                <w:rFonts w:hint="eastAsia" w:ascii="宋体" w:hAnsi="宋体" w:cs="宋体"/>
                <w:color w:val="000000"/>
                <w:szCs w:val="21"/>
                <w:highlight w:val="none"/>
              </w:rPr>
              <w:t>〗，投资者可依据该编码在“中国理财网（www.chinawealth.com.cn）”查询本理财计划信息</w:t>
            </w:r>
            <w:r>
              <w:rPr>
                <w:rFonts w:hint="eastAsia" w:ascii="宋体" w:hAnsi="宋体" w:cs="宋体"/>
                <w:color w:val="000000"/>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Cs w:val="21"/>
                <w:highlight w:val="none"/>
              </w:rPr>
              <w:t>。</w:t>
            </w:r>
            <w:r>
              <w:rPr>
                <w:rFonts w:hint="eastAsia" w:ascii="宋体" w:hAnsi="宋体" w:cs="宋体"/>
                <w:bCs/>
                <w:color w:val="000000"/>
                <w:kern w:val="2"/>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其中：</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A份额（销售代码〖FYG26146A〗）：普通个人投资者和机构客户。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B份额（销售代码〖FYG26146B〗）：普通个人投资者和机构客户。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C份额（销售代码〖FYG26146C〗）：普通个人投资者和机构客户。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D份额（销售代码〖FYG26146D〗）：普通个人投资者和机构客户。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E份额（公司专属）（销售代码〖FYG26146E〗）：普通个人投资者和机构客户。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F份额惠享款（销售代码〖FYG26146F〗）：普通个人投资者和机构客户。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G份额（销售代码〖FYG26146G〗）：普通个人投资者和机构客户。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H份额（销售代码〖FYG26146H〗）：浙商银行特定分行个人客户。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I份额（爽盈优选）（销售代码〖FYG26146I〗）：普通个人投资者和机构客户。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J份额（销售代码〖FYG26146J〗）：普通个人投资者和机构客户。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K份额（销售代码〖FYG26146K〗）：普通个人投资者和机构客户。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M份额（天府·优选）（销售代码〖FYG26146M〗）：普通个人投资者和机构客户。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N份额惠享款（长长财富·鑫享）（销售代码〖FYG26146N〗）：普通个人投资者和机构客户。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O份额惠享款（销售代码〖FYG26146O〗）：普通个人投资者和机构客户。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P份额（芙蓉锦程·优选）（销售代码〖FYG26146P〗）：普通个人投资者和机构客户。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Q份额（销售代码〖FYG26146Q〗）：普通个人投资者和机构客户。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R份额惠享款吉行十二号（销售代码〖FYG26146R〗）：普通个人投资者和机构客户。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T份额惠享款（齐鲁-逢六有约）（销售代码〖FYG26146T〗）：普通个人投资者和机构客户。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W份额惠享款（销售代码〖FYG26146W〗）：普通个人投资者和机构客户。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X份额（销售代码〖FYG26146X〗）：普通个人投资者。</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Y份额惠享款（销售代码〖FYG26146Y〗）：普通个人投资者和机构客户。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Z份额惠享款（销售代码〖FYG26146Z〗）：普通个人投资者和机构客户。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ZA份额惠享款（销售代码〖FYG26146ZA〗）：普通个人投资者和机构客户。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ZC份额惠享款（长长财富·臻享）（销售代码〖FYG26146ZC〗）：普通个人投资者和机构客户。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ZD份额惠享款（湖北银行专属）（销售代码〖FYG26146ZD〗）：普通个人投资者和机构客户。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ZE份额惠享款（销售代码〖FYG26146ZE〗）：普通个人投资者和机构客户。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ZF份额惠享款（销售代码〖FYG26146ZF〗）：普通个人投资者和机构客户。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ZG份额惠享款（销售代码〖FYG26146ZG〗）：普通个人投资者和机构客户。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ZI份额（浙江农信中秋佳节专属款）（销售代码〖FYG26146ZI〗）：普通个人投资者和机构客户。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ZJ份额惠享款（代发专属）（销售代码〖FYG26146ZJ〗）：普通个人投资者和机构客户。</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ZL份额惠享款（销售代码〖FYG26146ZL〗）：普通个人投资者和机构客户。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可通过</w:t>
            </w:r>
            <w:r>
              <w:rPr>
                <w:rFonts w:hint="eastAsia" w:ascii="宋体" w:hAnsi="宋体" w:cs="宋体"/>
                <w:color w:val="000000"/>
                <w:szCs w:val="21"/>
                <w:highlight w:val="none"/>
                <w:lang w:eastAsia="zh-CN"/>
              </w:rPr>
              <w:t>杭银理财直销渠道和代理</w:t>
            </w:r>
            <w:r>
              <w:rPr>
                <w:rFonts w:hint="eastAsia" w:ascii="宋体" w:hAnsi="宋体" w:cs="宋体"/>
                <w:color w:val="000000"/>
                <w:szCs w:val="21"/>
                <w:highlight w:val="none"/>
              </w:rPr>
              <w:t>销售机构的〖营业网点、网上银行、手机银行〗等渠道购买</w:t>
            </w:r>
            <w:r>
              <w:rPr>
                <w:rFonts w:hint="eastAsia" w:ascii="宋体" w:hAnsi="宋体" w:cs="宋体"/>
                <w:color w:val="000000"/>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〖80〗亿元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22</w:t>
            </w:r>
            <w:r>
              <w:rPr>
                <w:rFonts w:hint="eastAsia" w:ascii="宋体" w:hAnsi="宋体" w:cs="宋体"/>
                <w:color w:val="000000"/>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28</w:t>
            </w:r>
            <w:r>
              <w:rPr>
                <w:rFonts w:hint="eastAsia" w:ascii="宋体" w:hAnsi="宋体" w:cs="宋体"/>
                <w:color w:val="000000"/>
                <w:szCs w:val="21"/>
                <w:highlight w:val="none"/>
              </w:rPr>
              <w:t>〗日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认购期首日〖9：00〗至认购结束日〖17：00〗</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29</w:t>
            </w:r>
            <w:r>
              <w:rPr>
                <w:rFonts w:hint="eastAsia" w:ascii="宋体" w:hAnsi="宋体" w:cs="宋体"/>
                <w:color w:val="00000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到期日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20</w:t>
            </w:r>
            <w:r>
              <w:rPr>
                <w:rFonts w:hint="eastAsia" w:ascii="宋体" w:hAnsi="宋体" w:cs="宋体"/>
                <w:color w:val="000000"/>
                <w:szCs w:val="21"/>
                <w:highlight w:val="none"/>
              </w:rPr>
              <w:t>〗日，若到期日为非工作日则顺延至下一个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386</w:t>
            </w:r>
            <w:r>
              <w:rPr>
                <w:rFonts w:hint="eastAsia" w:ascii="宋体" w:hAnsi="宋体" w:cs="宋体"/>
                <w:color w:val="000000"/>
                <w:szCs w:val="21"/>
                <w:highlight w:val="none"/>
              </w:rPr>
              <w:t>〗天（实际理财期限受制于管理人提前终止权等条款）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〖F份额〗起点〖1〗元整，超过认购起点部分，应为〖1〗元的整数倍。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〖M份额〗起点〖1〗元整，超过认购起点部分，应为〖1〗元的整数倍。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〖O份额〗起点〖1〗元整，超过认购起点部分，应为〖1〗元的整数倍。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〖R份额〗起点〖1〗元整，超过认购起点部分，应为〖1〗元的整数倍。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〖T份额〗起点〖1〗元整，超过认购起点部分，应为〖1〗元的整数倍。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〖ZC份额〗起点〖30〗万元整，超过认购起点部分，应为〖1〗元的整数倍。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〖ZD份额〗起点〖20〗万元整，超过认购起点部分，应为〖1〗元的整数倍。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〖ZF份额〗起点〖1〗元整，超过认购起点部分，应为〖1〗元的整数倍。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〖ZG份额〗起点〖1〗元整，超过认购起点部分，应为〖1〗元的整数倍。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〖ZI份额〗起点〖20〗万元整，超过认购起点部分，应为〖1〗元的整数倍。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〖ZL份额〗起点〖1〗元整，超过认购起点部分，应为〖1〗元的整数倍。</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val="en-US" w:eastAsia="zh-CN"/>
              </w:rPr>
            </w:pPr>
            <w:r>
              <w:rPr>
                <w:rFonts w:hint="eastAsia" w:ascii="宋体" w:hAnsi="宋体" w:cs="宋体"/>
                <w:color w:val="000000"/>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Cs w:val="21"/>
                <w:highlight w:val="none"/>
              </w:rPr>
              <w:t>理财计划总份额，</w:t>
            </w:r>
            <w:r>
              <w:rPr>
                <w:rFonts w:hint="eastAsia" w:ascii="宋体" w:hAnsi="宋体" w:eastAsia="宋体" w:cs="宋体"/>
                <w:color w:val="000000"/>
                <w:kern w:val="2"/>
                <w:sz w:val="21"/>
                <w:szCs w:val="21"/>
                <w:highlight w:val="none"/>
                <w:lang w:val="en-US" w:eastAsia="zh-CN" w:bidi="ar-SA"/>
              </w:rPr>
              <w:t>单位净值〖保留小数点后四位〗，〖四位后四舍五入〗</w:t>
            </w:r>
            <w:r>
              <w:rPr>
                <w:rFonts w:hint="eastAsia" w:ascii="宋体" w:hAnsi="宋体" w:cs="宋体"/>
                <w:color w:val="000000"/>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理财计划总净值=理财计划认购总额+理财计划所获总收益-理财计划总费用（包括但不限于管理费、托管费、</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资金与收益支付方式</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Cs w:val="21"/>
                <w:highlight w:val="none"/>
              </w:rPr>
            </w:pPr>
            <w:r>
              <w:rPr>
                <w:rFonts w:hint="eastAsia" w:ascii="宋体" w:hAnsi="宋体" w:cs="宋体"/>
                <w:color w:val="000000"/>
                <w:szCs w:val="21"/>
                <w:highlight w:val="none"/>
              </w:rPr>
              <w:t>理财计划到期后，最快</w:t>
            </w:r>
            <w:r>
              <w:rPr>
                <w:rFonts w:hint="eastAsia" w:ascii="宋体" w:hAnsi="宋体" w:eastAsia="宋体" w:cs="宋体"/>
                <w:color w:val="000000"/>
                <w:kern w:val="2"/>
                <w:sz w:val="21"/>
                <w:szCs w:val="21"/>
                <w:lang w:val="en-US" w:eastAsia="zh-CN" w:bidi="ar"/>
              </w:rPr>
              <w:t>〖1〗个〖工作日〗</w:t>
            </w:r>
            <w:r>
              <w:rPr>
                <w:rFonts w:hint="eastAsia" w:ascii="宋体" w:hAnsi="宋体" w:cs="宋体"/>
                <w:color w:val="000000"/>
                <w:szCs w:val="21"/>
                <w:highlight w:val="none"/>
              </w:rPr>
              <w:t>，最晚</w:t>
            </w:r>
            <w:r>
              <w:rPr>
                <w:rFonts w:hint="eastAsia" w:ascii="宋体" w:hAnsi="宋体" w:eastAsia="宋体" w:cs="宋体"/>
                <w:color w:val="000000"/>
                <w:kern w:val="2"/>
                <w:sz w:val="21"/>
                <w:szCs w:val="21"/>
                <w:lang w:val="en-US" w:eastAsia="zh-CN" w:bidi="ar"/>
              </w:rPr>
              <w:t>〖3〗个〖工作日〗内</w:t>
            </w:r>
            <w:r>
              <w:rPr>
                <w:rFonts w:hint="eastAsia" w:ascii="宋体" w:hAnsi="宋体" w:cs="宋体"/>
                <w:color w:val="000000"/>
                <w:szCs w:val="21"/>
                <w:highlight w:val="none"/>
              </w:rPr>
              <w:t>（遇节假日顺延）支付。如遇资金在途或法定工作日调整，实际资金到账日以公告为准。</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color w:val="000000"/>
                <w:szCs w:val="21"/>
                <w:highlight w:val="none"/>
              </w:rPr>
            </w:pPr>
            <w:r>
              <w:rPr>
                <w:rFonts w:hint="eastAsia" w:ascii="宋体" w:hAnsi="宋体" w:cs="宋体"/>
                <w:color w:val="000000"/>
                <w:szCs w:val="21"/>
                <w:highlight w:val="none"/>
              </w:rPr>
              <w:t>在满足收益分配基准日理财计划份额净值大于1元的情况下，管理人将〖</w:t>
            </w:r>
            <w:r>
              <w:rPr>
                <w:rFonts w:hint="eastAsia" w:ascii="宋体" w:hAnsi="宋体" w:cs="宋体"/>
                <w:color w:val="000000"/>
                <w:szCs w:val="21"/>
                <w:highlight w:val="none"/>
                <w:lang w:eastAsia="zh-CN"/>
              </w:rPr>
              <w:t>不</w:t>
            </w:r>
            <w:r>
              <w:rPr>
                <w:rFonts w:hint="eastAsia" w:ascii="宋体" w:hAnsi="宋体" w:cs="宋体"/>
                <w:color w:val="000000"/>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本理财计划〖A份额〗业绩比较基准为〖2.35%-2.55%〗（年化）。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本理财计划〖B份额〗业绩比较基准为〖2.45%-2.65%〗（年化）。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本理财计划〖C份额〗业绩比较基准为〖2.55%-2.75%〗（年化）。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本理财计划〖D份额〗业绩比较基准为〖2.50%-2.70%〗（年化）。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本理财计划〖E份额〗业绩比较基准为〖2.20%-2.40%〗（年化）。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本理财计划〖F份额〗业绩比较基准为〖2.25%-2.45%〗（年化）。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本理财计划〖G份额〗业绩比较基准为〖2.60%-2.80%〗（年化）。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本理财计划〖H份额〗业绩比较基准为〖2.65%-2.85%〗（年化）。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本理财计划〖I份额〗业绩比较基准为〖2.35%-2.55%〗（年化）。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本理财计划〖J份额〗业绩比较基准为〖2.60%-2.80%〗（年化）。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本理财计划〖K份额〗业绩比较基准为〖2.45%-2.65%〗（年化）。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本理财计划〖M份额〗业绩比较基准为〖2.60%-2.80%〗（年化）。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本理财计划〖N份额〗业绩比较基准为〖2.45%-2.65%〗（年化）。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本理财计划〖O份额〗业绩比较基准为〖2.35%-2.55%〗（年化）。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本理财计划〖P份额〗业绩比较基准为〖2.60%-2.80%〗（年化）。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本理财计划〖Q份额〗业绩比较基准为〖2.40%-2.60%〗（年化）。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本理财计划〖R份额〗业绩比较基准为〖2.45%-2.65%〗（年化）。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本理财计划〖T份额〗业绩比较基准为〖2.50%-2.70%〗（年化）。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本理财计划〖W份额〗业绩比较基准为〖2.35%-2.55%〗（年化）。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本理财计划〖X份额〗业绩比较基准为〖2.60%-2.80%〗（年化）。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本理财计划〖Y份额〗业绩比较基准为〖2.45%-2.65%〗（年化）。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本理财计划〖Z份额〗业绩比较基准为〖2.55%-2.75%〗（年化）。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本理财计划〖ZA份额〗业绩比较基准为〖2.50%-2.70%〗（年化）。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本理财计划〖ZC份额〗业绩比较基准为〖2.50%-2.70%〗（年化）。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本理财计划〖ZD份额〗业绩比较基准为〖2.60%-2.80%〗（年化）。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本理财计划〖ZE份额〗业绩比较基准为〖2.40%-2.60%〗（年化）。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本理财计划〖ZF份额〗业绩比较基准为〖2.40%-2.60%〗（年化）。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本理财计划〖ZG份额〗业绩比较基准为〖2.50%-2.70%〗（年化）。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本理财计划〖ZI份额〗业绩比较基准为〖2.65%-2.85%〗（年化）。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本理财计划〖ZJ份额〗业绩比较基准为〖2.45%-2.65%〗（年化）。</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本理财计划〖ZL份额〗业绩比较基准为〖2.60%-2.80%〗（年化）。</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color w:val="000000"/>
                <w:szCs w:val="21"/>
                <w:highlight w:val="none"/>
              </w:rPr>
            </w:pPr>
            <w:r>
              <w:rPr>
                <w:rFonts w:hint="eastAsia" w:ascii="宋体" w:hAnsi="宋体" w:cs="宋体"/>
                <w:b/>
                <w:bCs/>
                <w:color w:val="000000"/>
                <w:szCs w:val="21"/>
                <w:highlight w:val="none"/>
              </w:rPr>
              <w:t>业绩基准测算依据：</w:t>
            </w:r>
            <w:r>
              <w:rPr>
                <w:rFonts w:hint="eastAsia" w:ascii="宋体" w:hAnsi="宋体" w:eastAsia="宋体" w:cs="宋体"/>
                <w:b/>
                <w:bCs/>
                <w:color w:val="000000"/>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b/>
                <w:color w:val="000000"/>
                <w:szCs w:val="21"/>
                <w:highlight w:val="none"/>
              </w:rPr>
              <w:t>本理财计划为净值型理财产品，其业绩表现将随市场波动具有不确定性。本公司提醒投资者关注，业绩比较基准</w:t>
            </w:r>
            <w:r>
              <w:rPr>
                <w:rFonts w:hint="eastAsia" w:ascii="宋体" w:hAnsi="宋体" w:cs="宋体"/>
                <w:b/>
                <w:color w:val="000000"/>
                <w:szCs w:val="21"/>
                <w:highlight w:val="none"/>
                <w:lang w:eastAsia="zh-CN"/>
              </w:rPr>
              <w:t>不是预期收益率，</w:t>
            </w:r>
            <w:r>
              <w:rPr>
                <w:rFonts w:hint="eastAsia" w:ascii="宋体" w:hAnsi="宋体" w:cs="宋体"/>
                <w:b/>
                <w:color w:val="000000"/>
                <w:szCs w:val="21"/>
                <w:highlight w:val="none"/>
              </w:rPr>
              <w:t>并不代表</w:t>
            </w:r>
            <w:r>
              <w:rPr>
                <w:rFonts w:hint="eastAsia" w:ascii="宋体" w:hAnsi="宋体" w:cs="宋体"/>
                <w:b/>
                <w:color w:val="000000"/>
                <w:szCs w:val="21"/>
                <w:highlight w:val="none"/>
                <w:lang w:eastAsia="zh-CN"/>
              </w:rPr>
              <w:t>理财计划的未来表现和</w:t>
            </w:r>
            <w:r>
              <w:rPr>
                <w:rFonts w:hint="eastAsia" w:ascii="宋体" w:hAnsi="宋体" w:cs="宋体"/>
                <w:b/>
                <w:color w:val="000000"/>
                <w:szCs w:val="21"/>
                <w:highlight w:val="none"/>
              </w:rPr>
              <w:t>实际收益率</w:t>
            </w:r>
            <w:r>
              <w:rPr>
                <w:rFonts w:hint="eastAsia" w:ascii="宋体" w:hAnsi="宋体" w:cs="宋体"/>
                <w:b/>
                <w:color w:val="000000"/>
                <w:szCs w:val="21"/>
                <w:highlight w:val="none"/>
                <w:lang w:eastAsia="zh-CN"/>
              </w:rPr>
              <w:t>，不构成对理财计划收益的承诺</w:t>
            </w:r>
            <w:r>
              <w:rPr>
                <w:rFonts w:hint="eastAsia" w:ascii="宋体" w:hAnsi="宋体" w:cs="宋体"/>
                <w:b/>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〖C份额〗收取年化〖0.10%〗的销售服务费, 〖D份额〗收取年化〖0.15%〗的销售服务费, 〖E份额〗收取年化〖0.40%〗的销售服务费, 〖F份额〗收取年化〖0.40%〗的销售服务费, 〖G份额〗收取年化〖0.05%〗的销售服务费, 〖H份额〗收取年化〖0.05%〗的销售服务费, 〖I份额〗收取年化〖0.30%〗的销售服务费, 〖J份额〗收取年化〖0.05%〗的销售服务费, 〖K份额〗收取年化〖0.25%〗的销售服务费, 〖M份额〗收取年化〖0.15%〗的销售服务费, 〖N份额〗收取年化〖0.20%〗的销售服务费, 〖O份额〗收取年化〖0.30%〗的销售服务费, 〖P份额〗收取年化〖0.15%〗的销售服务费, 〖Q份额〗收取年化〖0.25%〗的销售服务费, 〖R份额〗收取年化〖0.20%〗的销售服务费, 〖T份额〗收取年化〖0.20%〗的销售服务费, 〖W份额〗收取年化〖0.30%〗的销售服务费, 〖X份额〗收取年化〖0.05%〗的销售服务费, 〖Y份额〗收取年化〖0.20%〗的销售服务费, 〖Z份额〗收取年化〖0.10%〗的销售服务费, 〖ZA份额〗收取年化〖0.15%〗的销售服务费, 〖ZC份额〗收取年化〖0.15%〗的销售服务费, 〖ZD份额〗收取年化〖0.05%〗的销售服务费, 〖ZE份额〗收取年化〖0.25%〗的销售服务费, 〖ZF份额〗收取年化〖0.25%〗的销售服务费, 〖ZG份额〗收取年化〖0.20%〗的销售服务费, 〖ZI份额〗收取年化〖0.01%〗的销售服务费, 〖ZJ份额〗收取年化〖0.20%〗的销售服务费, 〖ZL份额〗收取年化〖0.05%〗的销售服务费。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〖A份额〗收取年化〖0.10%〗的固定管理费, 〖B份额〗收取年化〖0.10%〗的固定管理费, 〖C份额〗收取年化〖0.10%〗的固定管理费, 〖D份额〗收取年化〖0.10%〗的固定管理费, 〖E份额〗收取年化〖0.15%〗的固定管理费, 〖F份额〗收取年化〖0.10%〗的固定管理费, 〖G份额〗收取年化〖0.10%〗的固定管理费, 〖H份额〗收取年化〖0.05%〗的固定管理费, 〖I份额〗收取年化〖0.10%〗的固定管理费, 〖J份额〗收取年化〖0.10%〗的固定管理费, 〖K份额〗收取年化〖0.05%〗的固定管理费, 〖M份额〗收取年化〖0.00%〗的固定管理费, 〖N份额〗收取年化〖0.10%〗的固定管理费, 〖O份额〗收取年化〖0.10%〗的固定管理费, 〖P份额〗收取年化〖0.00%〗的固定管理费, 〖Q份额〗收取年化〖0.10%〗的固定管理费, 〖R份额〗收取年化〖0.10%〗的固定管理费, 〖T份额〗收取年化〖0.05%〗的固定管理费, 〖W份额〗收取年化〖0.10%〗的固定管理费, 〖X份额〗收取年化〖0.10%〗的固定管理费, 〖Y份额〗收取年化〖0.10%〗的固定管理费, 〖Z份额〗收取年化〖0.10%〗的固定管理费, 〖ZA份额〗收取年化〖0.10%〗的固定管理费, 〖ZC份额〗收取年化〖0.10%〗的固定管理费, 〖ZD份额〗收取年化〖0.10%〗的固定管理费, 〖ZE份额〗收取年化〖0.10%〗的固定管理费, 〖ZF份额〗收取年化〖0.10%〗的固定管理费, 〖ZG份额〗收取年化〖0.05%〗的固定管理费, 〖ZI份额〗收取年化〖0.09%〗的固定管理费, 〖ZJ份额〗收取年化〖0.10%〗的固定管理费, 〖ZL份额〗收取年化〖0.10%〗的固定管理费。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Cs w:val="21"/>
                <w:highlight w:val="none"/>
              </w:rPr>
              <w:t>5.浮动管理费</w:t>
            </w:r>
            <w:r>
              <w:rPr>
                <w:rFonts w:hint="eastAsia" w:ascii="宋体" w:hAnsi="宋体" w:cs="宋体"/>
                <w:color w:val="000000"/>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O、ZJ份额）到期日（提前终止日）的折合年化收益率在〖业绩比较基准下限（含）至业绩比较基准上限（含）〗的部分，管理人提取〖50%〗作为浮动管理费，在折合年化收益率超过〖业绩比较基准上限〗的部分，管理人提取〖80%〗作为浮动管理费；〖O份额〗到期日（提前终止日）的折合年化收益率在〖业绩比较基准下限（含）至业绩比较基准中枢（含）〗的部分，管理人提取〖50%〗作为浮动管理费，在折合年化收益率超过〖业绩比较基准中枢〗的部分，管理人提取〖60%〗作为浮动管理费；〖ZJ份额〗到期日（提前终止日）的折合年化收益率在〖业绩比较基准下限（含）至业绩比较基准中枢（含）〗的部分，管理人提取〖50%〗作为浮动管理费，在折合年化收益率超过〖业绩比较基准中枢〗的部分，管理人提取〖60%〗作为浮动管理费。</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
              </w:rPr>
              <w:t>6.信息技术服务费：收取年化〖0.002%〗的信息技术服务费。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Cs w:val="21"/>
                <w:highlight w:val="none"/>
              </w:rPr>
            </w:pPr>
            <w:r>
              <w:rPr>
                <w:rFonts w:hint="eastAsia" w:ascii="宋体" w:hAnsi="宋体" w:cs="宋体"/>
                <w:color w:val="000000"/>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Cs w:val="21"/>
                <w:highlight w:val="none"/>
              </w:rPr>
            </w:pPr>
            <w:r>
              <w:rPr>
                <w:rFonts w:hint="eastAsia" w:ascii="宋体" w:hAnsi="宋体" w:cs="宋体"/>
                <w:color w:val="000000"/>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Cs w:val="21"/>
                <w:highlight w:val="none"/>
              </w:rPr>
            </w:pPr>
            <w:r>
              <w:rPr>
                <w:rFonts w:hint="eastAsia" w:ascii="宋体" w:hAnsi="宋体" w:cs="宋体"/>
                <w:b/>
                <w:color w:val="000000"/>
                <w:szCs w:val="21"/>
                <w:highlight w:val="none"/>
              </w:rPr>
              <w:t>投资者在理财期限内不能提前</w:t>
            </w:r>
            <w:r>
              <w:rPr>
                <w:rFonts w:hint="eastAsia" w:ascii="宋体" w:hAnsi="宋体" w:cs="宋体"/>
                <w:b/>
                <w:color w:val="000000"/>
                <w:szCs w:val="21"/>
                <w:highlight w:val="none"/>
                <w:lang w:eastAsia="zh-CN"/>
              </w:rPr>
              <w:t>赎回</w:t>
            </w:r>
            <w:r>
              <w:rPr>
                <w:rFonts w:hint="eastAsia" w:ascii="宋体" w:hAnsi="宋体" w:cs="宋体"/>
                <w:b/>
                <w:color w:val="000000"/>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kern w:val="0"/>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0"/>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本理财计划主要投资于符合监管要求的各类资产：</w:t>
      </w:r>
    </w:p>
    <w:p>
      <w:pPr>
        <w:keepNext w:val="0"/>
        <w:keepLines w:val="0"/>
        <w:widowControl w:val="0"/>
        <w:suppressLineNumbers w:val="0"/>
        <w:spacing w:before="0" w:beforeAutospacing="0" w:after="0" w:afterAutospacing="0" w:line="360" w:lineRule="auto"/>
        <w:ind w:left="-1" w:right="-1" w:firstLine="480"/>
        <w:jc w:val="left"/>
        <w:rPr>
          <w:rFonts w:hint="eastAsia" w:ascii="宋体" w:hAnsi="宋体" w:eastAsia="宋体" w:cs="宋体"/>
          <w:color w:val="000000"/>
          <w:kern w:val="2"/>
          <w:position w:val="0"/>
          <w:sz w:val="24"/>
          <w:szCs w:val="24"/>
          <w:highlight w:val="none"/>
        </w:rPr>
      </w:pPr>
      <w:r>
        <w:rPr>
          <w:rFonts w:hint="eastAsia" w:ascii="宋体" w:hAnsi="宋体" w:eastAsia="宋体" w:cs="宋体"/>
          <w:color w:val="000000"/>
          <w:kern w:val="2"/>
          <w:position w:val="0"/>
          <w:sz w:val="24"/>
          <w:szCs w:val="24"/>
          <w:highlight w:val="none"/>
          <w:lang w:val="en-US" w:eastAsia="zh-CN" w:bidi="ar"/>
        </w:rPr>
        <w:t>包括但不限于各类债券、存款、货币市场金融工具、债券基金、质押式及买断式回购、非标准化债权类资产，其他符合监管要求的固定收益类资产及资产管理产品。</w:t>
      </w:r>
    </w:p>
    <w:p>
      <w:pPr>
        <w:keepNext w:val="0"/>
        <w:keepLines w:val="0"/>
        <w:widowControl w:val="0"/>
        <w:suppressLineNumbers w:val="0"/>
        <w:spacing w:before="0" w:beforeAutospacing="0" w:after="0" w:afterAutospacing="0"/>
        <w:ind w:left="0" w:leftChars="0" w:right="0" w:firstLine="480" w:firstLineChars="200"/>
        <w:jc w:val="both"/>
        <w:rPr>
          <w:rFonts w:hint="eastAsia" w:ascii="宋体" w:hAnsi="宋体" w:eastAsia="宋体" w:cs="宋体"/>
          <w:color w:val="000000"/>
          <w:highlight w:val="none"/>
        </w:rPr>
      </w:pPr>
      <w:r>
        <w:rPr>
          <w:rFonts w:hint="eastAsia" w:ascii="宋体" w:hAnsi="宋体" w:eastAsia="宋体" w:cs="宋体"/>
          <w:color w:val="000000"/>
          <w:kern w:val="2"/>
          <w:position w:val="0"/>
          <w:sz w:val="24"/>
          <w:szCs w:val="24"/>
          <w:highlight w:val="none"/>
          <w:lang w:val="en-US" w:eastAsia="zh-CN" w:bidi="ar"/>
        </w:rPr>
        <w:t>法律法规或监管机构允许投资的符合本理财产品投资性质的其他金融资产。</w:t>
      </w:r>
    </w:p>
    <w:p>
      <w:pPr>
        <w:numPr>
          <w:ilvl w:val="0"/>
          <w:numId w:val="11"/>
        </w:numPr>
        <w:spacing w:line="360" w:lineRule="auto"/>
        <w:jc w:val="left"/>
        <w:outlineLvl w:val="2"/>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投资比例</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本理财计划各投资资产占</w:t>
      </w:r>
      <w:r>
        <w:rPr>
          <w:rFonts w:hint="eastAsia" w:ascii="宋体" w:hAnsi="宋体" w:eastAsia="宋体" w:cs="宋体"/>
          <w:bCs/>
          <w:color w:val="000000"/>
          <w:sz w:val="24"/>
          <w:highlight w:val="none"/>
          <w:lang w:eastAsia="zh-CN"/>
        </w:rPr>
        <w:t>总</w:t>
      </w:r>
      <w:r>
        <w:rPr>
          <w:rFonts w:hint="eastAsia" w:ascii="宋体" w:hAnsi="宋体" w:eastAsia="宋体" w:cs="宋体"/>
          <w:bCs/>
          <w:color w:val="000000"/>
          <w:sz w:val="24"/>
          <w:highlight w:val="none"/>
        </w:rPr>
        <w:t>资产的配置比例如下：</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szCs w:val="24"/>
          <w:highlight w:val="none"/>
        </w:rPr>
      </w:pPr>
      <w:r>
        <w:rPr>
          <w:rFonts w:hint="eastAsia" w:ascii="宋体" w:hAnsi="宋体" w:eastAsia="宋体" w:cs="宋体"/>
          <w:color w:val="000000"/>
          <w:kern w:val="2"/>
          <w:sz w:val="24"/>
          <w:szCs w:val="24"/>
          <w:lang w:val="en-US" w:eastAsia="zh-CN" w:bidi="ar"/>
        </w:rPr>
        <w:t>本理财产品投资于固定收益类资产的比例不低于80%，投资于非标准化债权类资产的比例不高于50%。</w:t>
      </w:r>
    </w:p>
    <w:p>
      <w:pPr>
        <w:pStyle w:val="17"/>
        <w:numPr>
          <w:ilvl w:val="0"/>
          <w:numId w:val="12"/>
        </w:numPr>
        <w:adjustRightInd/>
        <w:spacing w:line="360" w:lineRule="auto"/>
        <w:ind w:firstLine="456" w:firstLineChars="190"/>
        <w:rPr>
          <w:rFonts w:hint="eastAsia" w:ascii="宋体" w:hAnsi="宋体" w:eastAsia="宋体" w:cs="宋体"/>
          <w:bCs/>
          <w:color w:val="000000"/>
          <w:kern w:val="2"/>
          <w:highlight w:val="none"/>
        </w:rPr>
      </w:pPr>
      <w:r>
        <w:rPr>
          <w:rFonts w:hint="eastAsia" w:ascii="宋体" w:hAnsi="宋体" w:eastAsia="宋体" w:cs="宋体"/>
          <w:bCs/>
          <w:color w:val="000000"/>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2"/>
        </w:numPr>
        <w:adjustRightInd/>
        <w:spacing w:line="360" w:lineRule="auto"/>
        <w:ind w:firstLine="456" w:firstLineChars="190"/>
        <w:rPr>
          <w:rFonts w:hint="eastAsia" w:ascii="宋体" w:hAnsi="宋体" w:eastAsia="宋体" w:cs="宋体"/>
          <w:bCs/>
          <w:color w:val="000000"/>
          <w:kern w:val="2"/>
          <w:highlight w:val="none"/>
        </w:rPr>
      </w:pPr>
      <w:r>
        <w:rPr>
          <w:rFonts w:hint="eastAsia" w:ascii="宋体" w:hAnsi="宋体" w:eastAsia="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2"/>
        </w:numPr>
        <w:adjustRightInd/>
        <w:spacing w:line="360" w:lineRule="auto"/>
        <w:ind w:firstLine="456" w:firstLineChars="190"/>
        <w:rPr>
          <w:rFonts w:hint="eastAsia" w:ascii="宋体" w:hAnsi="宋体" w:eastAsia="宋体" w:cs="宋体"/>
          <w:bCs/>
          <w:color w:val="000000"/>
          <w:kern w:val="2"/>
          <w:highlight w:val="none"/>
        </w:rPr>
      </w:pPr>
      <w:r>
        <w:rPr>
          <w:rFonts w:hint="eastAsia" w:ascii="宋体" w:hAnsi="宋体" w:eastAsia="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2"/>
        </w:numPr>
        <w:adjustRightInd/>
        <w:spacing w:line="360" w:lineRule="auto"/>
        <w:ind w:firstLine="458" w:firstLineChars="190"/>
        <w:rPr>
          <w:rFonts w:hint="eastAsia" w:ascii="宋体" w:hAnsi="宋体" w:cs="宋体"/>
          <w:bCs/>
          <w:color w:val="000000"/>
          <w:kern w:val="2"/>
          <w:highlight w:val="none"/>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投资策略</w:t>
      </w:r>
    </w:p>
    <w:p>
      <w:pPr>
        <w:pStyle w:val="17"/>
        <w:numPr>
          <w:ilvl w:val="0"/>
          <w:numId w:val="13"/>
        </w:numPr>
        <w:adjustRightInd/>
        <w:spacing w:line="360" w:lineRule="auto"/>
        <w:rPr>
          <w:rFonts w:hint="eastAsia" w:ascii="宋体" w:hAnsi="宋体" w:cs="宋体"/>
          <w:bCs/>
          <w:color w:val="000000"/>
          <w:kern w:val="2"/>
          <w:highlight w:val="none"/>
        </w:rPr>
      </w:pPr>
      <w:r>
        <w:rPr>
          <w:rFonts w:hint="eastAsia" w:ascii="宋体" w:hAnsi="宋体" w:cs="宋体"/>
          <w:bCs/>
          <w:color w:val="000000"/>
          <w:kern w:val="2"/>
          <w:highlight w:val="none"/>
        </w:rPr>
        <w:t>资产配置策略</w:t>
      </w:r>
    </w:p>
    <w:p>
      <w:pPr>
        <w:pStyle w:val="17"/>
        <w:adjustRightInd/>
        <w:spacing w:line="360" w:lineRule="auto"/>
        <w:rPr>
          <w:rFonts w:ascii="宋体" w:cs="宋体"/>
          <w:color w:val="000000"/>
          <w:sz w:val="21"/>
          <w:szCs w:val="21"/>
          <w:highlight w:val="none"/>
        </w:rPr>
      </w:pPr>
      <w:r>
        <w:rPr>
          <w:rFonts w:hint="eastAsia" w:ascii="宋体" w:hAnsi="宋体" w:cs="宋体"/>
          <w:bCs/>
          <w:color w:val="000000"/>
          <w:kern w:val="2"/>
          <w:highlight w:val="none"/>
        </w:rPr>
        <w:t xml:space="preserve">    将通过对宏观经济形势、各项国家政策、及证券市场环境的分析来判断经济周期目前的位置，主动判断市场时机进行资产配置，确定在各类资产上的投资比例。</w:t>
      </w:r>
    </w:p>
    <w:p>
      <w:pPr>
        <w:numPr>
          <w:ilvl w:val="0"/>
          <w:numId w:val="1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债券投资策略</w:t>
      </w:r>
    </w:p>
    <w:p>
      <w:pPr>
        <w:pStyle w:val="17"/>
        <w:adjustRightInd/>
        <w:spacing w:line="360" w:lineRule="auto"/>
        <w:ind w:firstLine="480" w:firstLineChars="200"/>
        <w:rPr>
          <w:rFonts w:hint="eastAsia" w:ascii="宋体" w:hAnsi="宋体" w:cs="宋体"/>
          <w:bCs/>
          <w:color w:val="000000"/>
          <w:highlight w:val="none"/>
        </w:rPr>
      </w:pPr>
      <w:r>
        <w:rPr>
          <w:rFonts w:hint="eastAsia" w:ascii="宋体" w:hAnsi="宋体" w:cs="宋体"/>
          <w:bCs/>
          <w:color w:val="000000"/>
          <w:kern w:val="2"/>
          <w:highlight w:val="none"/>
        </w:rPr>
        <w:t>管理人本着稳健投资的理念，采用安全性和流动性优先、优选投资品种，采取久期策略和信用策略来获取稳定收益。</w:t>
      </w:r>
    </w:p>
    <w:p>
      <w:pPr>
        <w:keepNext w:val="0"/>
        <w:keepLines w:val="0"/>
        <w:widowControl w:val="0"/>
        <w:numPr>
          <w:ilvl w:val="0"/>
          <w:numId w:val="14"/>
        </w:numPr>
        <w:suppressLineNumbers w:val="0"/>
        <w:spacing w:before="0" w:beforeAutospacing="0" w:after="0" w:afterAutospacing="0" w:line="360" w:lineRule="auto"/>
        <w:ind w:left="0" w:right="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kern w:val="2"/>
          <w:highlight w:val="none"/>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color w:val="000000"/>
          <w:sz w:val="24"/>
          <w:highlight w:val="none"/>
          <w:lang w:eastAsia="zh-CN"/>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投资集中度限制</w:t>
      </w:r>
    </w:p>
    <w:p>
      <w:pPr>
        <w:numPr>
          <w:ilvl w:val="0"/>
          <w:numId w:val="1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6"/>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本理财计划投资的非标准化债权类资产到期日不得晚于理财计划到期日。</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本理财计划的总资产不得超过净资产的200%。</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lang w:eastAsia="zh-CN"/>
        </w:rPr>
        <w:t>拟</w:t>
      </w:r>
      <w:r>
        <w:rPr>
          <w:rFonts w:hint="eastAsia" w:ascii="宋体" w:hAnsi="宋体" w:cs="宋体"/>
          <w:b/>
          <w:bCs w:val="0"/>
          <w:color w:val="000000"/>
          <w:sz w:val="24"/>
          <w:highlight w:val="none"/>
          <w:lang w:eastAsia="zh-CN"/>
        </w:rPr>
        <w:t>投资市场、资产的流动性风险评估</w:t>
      </w:r>
    </w:p>
    <w:p>
      <w:pPr>
        <w:numPr>
          <w:ilvl w:val="0"/>
          <w:numId w:val="0"/>
        </w:numPr>
        <w:spacing w:line="360" w:lineRule="auto"/>
        <w:ind w:left="420" w:leftChars="0"/>
        <w:jc w:val="left"/>
        <w:rPr>
          <w:rFonts w:hint="eastAsia" w:ascii="宋体" w:hAnsi="宋体" w:cs="宋体"/>
          <w:b w:val="0"/>
          <w:bCs/>
          <w:color w:val="000000"/>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1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color w:val="000000"/>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合作机构及主要职责</w:t>
      </w:r>
    </w:p>
    <w:p>
      <w:pPr>
        <w:numPr>
          <w:ilvl w:val="0"/>
          <w:numId w:val="19"/>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托管人</w:t>
      </w:r>
    </w:p>
    <w:tbl>
      <w:tblPr>
        <w:tblStyle w:val="8"/>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Cs w:val="21"/>
                <w:highlight w:val="none"/>
              </w:rPr>
            </w:pPr>
            <w:r>
              <w:rPr>
                <w:rFonts w:hint="eastAsia" w:ascii="宋体" w:hAnsi="宋体" w:cs="宋体"/>
                <w:bCs/>
                <w:color w:val="000000"/>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color w:val="000000"/>
                <w:szCs w:val="21"/>
                <w:highlight w:val="none"/>
              </w:rPr>
            </w:pPr>
            <w:r>
              <w:rPr>
                <w:rFonts w:hint="default"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Cs w:val="21"/>
                <w:highlight w:val="none"/>
              </w:rPr>
            </w:pPr>
            <w:r>
              <w:rPr>
                <w:rFonts w:hint="eastAsia" w:ascii="宋体" w:hAnsi="宋体" w:cs="宋体"/>
                <w:bCs/>
                <w:color w:val="000000"/>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eastAsia="宋体" w:cs="宋体"/>
                <w:bCs/>
                <w:color w:val="000000"/>
                <w:szCs w:val="21"/>
                <w:highlight w:val="none"/>
                <w:lang w:val="en-US" w:eastAsia="zh-CN"/>
              </w:rPr>
            </w:pPr>
            <w:r>
              <w:rPr>
                <w:rFonts w:hint="eastAsia" w:ascii="宋体" w:hAnsi="宋体" w:eastAsia="宋体" w:cs="宋体"/>
                <w:bCs/>
                <w:color w:val="000000"/>
                <w:kern w:val="2"/>
                <w:sz w:val="21"/>
                <w:szCs w:val="21"/>
                <w:highlight w:val="none"/>
                <w:lang w:val="en-US" w:eastAsia="zh-CN" w:bidi="ar-SA"/>
              </w:rPr>
              <w:t>浙江省杭州市上城区解放东路168号，95398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color w:val="000000"/>
                <w:szCs w:val="21"/>
                <w:highlight w:val="none"/>
              </w:rPr>
            </w:pPr>
            <w:r>
              <w:rPr>
                <w:rFonts w:hint="eastAsia" w:ascii="宋体" w:hAnsi="宋体" w:cs="宋体"/>
                <w:bCs/>
                <w:color w:val="000000"/>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color w:val="000000"/>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0"/>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销售机构</w:t>
      </w:r>
    </w:p>
    <w:tbl>
      <w:tblPr>
        <w:tblStyle w:val="8"/>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东山县农村信用合作联社</w:t>
            </w:r>
          </w:p>
        </w:tc>
        <w:tc>
          <w:tcPr>
            <w:tcW w:w="1200" w:type="dxa"/>
            <w:vAlign w:val="center"/>
          </w:tcPr>
          <w:p>
            <w:pPr>
              <w:jc w:val="left"/>
            </w:pPr>
            <w:r>
              <w:t>住所</w:t>
            </w:r>
          </w:p>
        </w:tc>
        <w:tc>
          <w:tcPr>
            <w:tcW w:w="3800" w:type="dxa"/>
            <w:vAlign w:val="center"/>
          </w:tcPr>
          <w:p>
            <w:pPr>
              <w:jc w:val="center"/>
            </w:pPr>
            <w:r>
              <w:t>东山县西埔镇白石街泽园路348号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东莞农村商业银行股份有限公司</w:t>
            </w:r>
          </w:p>
        </w:tc>
        <w:tc>
          <w:tcPr>
            <w:tcW w:w="1200" w:type="dxa"/>
            <w:vAlign w:val="center"/>
          </w:tcPr>
          <w:p>
            <w:pPr>
              <w:jc w:val="left"/>
            </w:pPr>
            <w:r>
              <w:t>住所</w:t>
            </w:r>
          </w:p>
        </w:tc>
        <w:tc>
          <w:tcPr>
            <w:tcW w:w="3800" w:type="dxa"/>
            <w:vAlign w:val="center"/>
          </w:tcPr>
          <w:p>
            <w:pPr>
              <w:jc w:val="center"/>
            </w:pPr>
            <w: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中山农村商业银行股份有限公司</w:t>
            </w:r>
          </w:p>
        </w:tc>
        <w:tc>
          <w:tcPr>
            <w:tcW w:w="1200" w:type="dxa"/>
            <w:vAlign w:val="center"/>
          </w:tcPr>
          <w:p>
            <w:pPr>
              <w:jc w:val="left"/>
            </w:pPr>
            <w:r>
              <w:t>住所</w:t>
            </w:r>
          </w:p>
        </w:tc>
        <w:tc>
          <w:tcPr>
            <w:tcW w:w="3800" w:type="dxa"/>
            <w:vAlign w:val="center"/>
          </w:tcPr>
          <w:p>
            <w:pPr>
              <w:jc w:val="center"/>
            </w:pPr>
            <w:r>
              <w:t>中山市东区中山三路26号之一</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0760-23327126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乌鲁木齐银行股份有限公司</w:t>
            </w:r>
          </w:p>
        </w:tc>
        <w:tc>
          <w:tcPr>
            <w:tcW w:w="1200" w:type="dxa"/>
            <w:vAlign w:val="center"/>
          </w:tcPr>
          <w:p>
            <w:pPr>
              <w:jc w:val="left"/>
            </w:pPr>
            <w:r>
              <w:t>住所</w:t>
            </w:r>
          </w:p>
        </w:tc>
        <w:tc>
          <w:tcPr>
            <w:tcW w:w="3800" w:type="dxa"/>
            <w:vAlign w:val="center"/>
          </w:tcPr>
          <w:p>
            <w:pPr>
              <w:jc w:val="center"/>
            </w:pPr>
            <w:r>
              <w:t>新疆乌鲁木齐市水磨沟区会展大道599号新疆财富中心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云南红塔银行股份有限公司</w:t>
            </w:r>
          </w:p>
        </w:tc>
        <w:tc>
          <w:tcPr>
            <w:tcW w:w="1200" w:type="dxa"/>
            <w:vAlign w:val="center"/>
          </w:tcPr>
          <w:p>
            <w:pPr>
              <w:jc w:val="left"/>
            </w:pPr>
            <w:r>
              <w:t>住所</w:t>
            </w:r>
          </w:p>
        </w:tc>
        <w:tc>
          <w:tcPr>
            <w:tcW w:w="3800" w:type="dxa"/>
            <w:vAlign w:val="center"/>
          </w:tcPr>
          <w:p>
            <w:pPr>
              <w:jc w:val="center"/>
            </w:pPr>
            <w:r>
              <w:t>云南省玉溪市东风南路2号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0871-65236622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华安县农村信用合作联社</w:t>
            </w:r>
          </w:p>
        </w:tc>
        <w:tc>
          <w:tcPr>
            <w:tcW w:w="1200" w:type="dxa"/>
            <w:vAlign w:val="center"/>
          </w:tcPr>
          <w:p>
            <w:pPr>
              <w:jc w:val="left"/>
            </w:pPr>
            <w:r>
              <w:t>住所</w:t>
            </w:r>
          </w:p>
        </w:tc>
        <w:tc>
          <w:tcPr>
            <w:tcW w:w="3800" w:type="dxa"/>
            <w:vAlign w:val="center"/>
          </w:tcPr>
          <w:p>
            <w:pPr>
              <w:jc w:val="center"/>
            </w:pPr>
            <w:r>
              <w:t>华安县城关大同路66号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南京银行股份有限公司</w:t>
            </w:r>
          </w:p>
        </w:tc>
        <w:tc>
          <w:tcPr>
            <w:tcW w:w="1200" w:type="dxa"/>
            <w:vAlign w:val="center"/>
          </w:tcPr>
          <w:p>
            <w:pPr>
              <w:jc w:val="left"/>
            </w:pPr>
            <w:r>
              <w:t>住所</w:t>
            </w:r>
          </w:p>
        </w:tc>
        <w:tc>
          <w:tcPr>
            <w:tcW w:w="3800" w:type="dxa"/>
            <w:vAlign w:val="center"/>
          </w:tcPr>
          <w:p>
            <w:pPr>
              <w:jc w:val="center"/>
            </w:pPr>
            <w:r>
              <w:t>南京市建邺区江山大街88号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95302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南平市建阳区农村信用合作联社</w:t>
            </w:r>
          </w:p>
        </w:tc>
        <w:tc>
          <w:tcPr>
            <w:tcW w:w="1200" w:type="dxa"/>
            <w:vAlign w:val="center"/>
          </w:tcPr>
          <w:p>
            <w:pPr>
              <w:jc w:val="left"/>
            </w:pPr>
            <w:r>
              <w:t>住所</w:t>
            </w:r>
          </w:p>
        </w:tc>
        <w:tc>
          <w:tcPr>
            <w:tcW w:w="3800" w:type="dxa"/>
            <w:vAlign w:val="center"/>
          </w:tcPr>
          <w:p>
            <w:pPr>
              <w:jc w:val="center"/>
            </w:pPr>
            <w:r>
              <w:t>南平市建阳区人民路11号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南靖县农村信用合作联社</w:t>
            </w:r>
          </w:p>
        </w:tc>
        <w:tc>
          <w:tcPr>
            <w:tcW w:w="1200" w:type="dxa"/>
            <w:vAlign w:val="center"/>
          </w:tcPr>
          <w:p>
            <w:pPr>
              <w:jc w:val="left"/>
            </w:pPr>
            <w:r>
              <w:t>住所</w:t>
            </w:r>
          </w:p>
        </w:tc>
        <w:tc>
          <w:tcPr>
            <w:tcW w:w="3800" w:type="dxa"/>
            <w:vAlign w:val="center"/>
          </w:tcPr>
          <w:p>
            <w:pPr>
              <w:jc w:val="center"/>
            </w:pPr>
            <w:r>
              <w:t>南靖县山城镇中山北路47号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厦门农村商业银行股份有限公司</w:t>
            </w:r>
          </w:p>
        </w:tc>
        <w:tc>
          <w:tcPr>
            <w:tcW w:w="1200" w:type="dxa"/>
            <w:vAlign w:val="center"/>
          </w:tcPr>
          <w:p>
            <w:pPr>
              <w:jc w:val="left"/>
            </w:pPr>
            <w:r>
              <w:t>住所</w:t>
            </w:r>
          </w:p>
        </w:tc>
        <w:tc>
          <w:tcPr>
            <w:tcW w:w="3800" w:type="dxa"/>
            <w:vAlign w:val="center"/>
          </w:tcPr>
          <w:p>
            <w:pPr>
              <w:jc w:val="center"/>
            </w:pPr>
            <w:r>
              <w:t>中国(福建)自由贸易试验区厦门片区东港北路31号(1层、17层、19层、27-28层、30-31层)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厦门国际银行股份有限公司</w:t>
            </w:r>
          </w:p>
        </w:tc>
        <w:tc>
          <w:tcPr>
            <w:tcW w:w="1200" w:type="dxa"/>
            <w:vAlign w:val="center"/>
          </w:tcPr>
          <w:p>
            <w:pPr>
              <w:jc w:val="left"/>
            </w:pPr>
            <w:r>
              <w:t>住所</w:t>
            </w:r>
          </w:p>
        </w:tc>
        <w:tc>
          <w:tcPr>
            <w:tcW w:w="3800" w:type="dxa"/>
            <w:vAlign w:val="center"/>
          </w:tcPr>
          <w:p>
            <w:pPr>
              <w:jc w:val="center"/>
            </w:pPr>
            <w: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厦门银行股份有限公司</w:t>
            </w:r>
          </w:p>
        </w:tc>
        <w:tc>
          <w:tcPr>
            <w:tcW w:w="1200" w:type="dxa"/>
            <w:vAlign w:val="center"/>
          </w:tcPr>
          <w:p>
            <w:pPr>
              <w:jc w:val="left"/>
            </w:pPr>
            <w:r>
              <w:t>住所</w:t>
            </w:r>
          </w:p>
        </w:tc>
        <w:tc>
          <w:tcPr>
            <w:tcW w:w="3800" w:type="dxa"/>
            <w:vAlign w:val="center"/>
          </w:tcPr>
          <w:p>
            <w:pPr>
              <w:jc w:val="center"/>
            </w:pPr>
            <w:r>
              <w:t>厦门市思明区湖滨北路101号商业银行大厦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400-858-8888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古田县农村信用合作联社</w:t>
            </w:r>
          </w:p>
        </w:tc>
        <w:tc>
          <w:tcPr>
            <w:tcW w:w="1200" w:type="dxa"/>
            <w:vAlign w:val="center"/>
          </w:tcPr>
          <w:p>
            <w:pPr>
              <w:jc w:val="left"/>
            </w:pPr>
            <w:r>
              <w:t>住所</w:t>
            </w:r>
          </w:p>
        </w:tc>
        <w:tc>
          <w:tcPr>
            <w:tcW w:w="3800" w:type="dxa"/>
            <w:vAlign w:val="center"/>
          </w:tcPr>
          <w:p>
            <w:pPr>
              <w:jc w:val="center"/>
            </w:pPr>
            <w:r>
              <w:t>古田县城东解放路192号B</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哈密市商业银行股份有限公司</w:t>
            </w:r>
          </w:p>
        </w:tc>
        <w:tc>
          <w:tcPr>
            <w:tcW w:w="1200" w:type="dxa"/>
            <w:vAlign w:val="center"/>
          </w:tcPr>
          <w:p>
            <w:pPr>
              <w:jc w:val="left"/>
            </w:pPr>
            <w:r>
              <w:t>住所</w:t>
            </w:r>
          </w:p>
        </w:tc>
        <w:tc>
          <w:tcPr>
            <w:tcW w:w="3800" w:type="dxa"/>
            <w:vAlign w:val="center"/>
          </w:tcPr>
          <w:p>
            <w:pPr>
              <w:jc w:val="center"/>
            </w:pPr>
            <w:r>
              <w:t>新疆哈密市伊州区天山北路52号哈建大厦1-4层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0902-2365763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大田县农村信用合作联社</w:t>
            </w:r>
          </w:p>
        </w:tc>
        <w:tc>
          <w:tcPr>
            <w:tcW w:w="1200" w:type="dxa"/>
            <w:vAlign w:val="center"/>
          </w:tcPr>
          <w:p>
            <w:pPr>
              <w:jc w:val="left"/>
            </w:pPr>
            <w:r>
              <w:t>住所</w:t>
            </w:r>
          </w:p>
        </w:tc>
        <w:tc>
          <w:tcPr>
            <w:tcW w:w="3800" w:type="dxa"/>
            <w:vAlign w:val="center"/>
          </w:tcPr>
          <w:p>
            <w:pPr>
              <w:jc w:val="center"/>
            </w:pPr>
            <w:r>
              <w:t>福建省三明市大田县均溪镇赤岩山路2号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大连银行股份有限公司</w:t>
            </w:r>
          </w:p>
        </w:tc>
        <w:tc>
          <w:tcPr>
            <w:tcW w:w="1200" w:type="dxa"/>
            <w:vAlign w:val="center"/>
          </w:tcPr>
          <w:p>
            <w:pPr>
              <w:jc w:val="left"/>
            </w:pPr>
            <w:r>
              <w:t>住所</w:t>
            </w:r>
          </w:p>
        </w:tc>
        <w:tc>
          <w:tcPr>
            <w:tcW w:w="3800" w:type="dxa"/>
            <w:vAlign w:val="center"/>
          </w:tcPr>
          <w:p>
            <w:pPr>
              <w:jc w:val="center"/>
            </w:pPr>
            <w: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宁化县农村信用合作联社</w:t>
            </w:r>
          </w:p>
        </w:tc>
        <w:tc>
          <w:tcPr>
            <w:tcW w:w="1200" w:type="dxa"/>
            <w:vAlign w:val="center"/>
          </w:tcPr>
          <w:p>
            <w:pPr>
              <w:jc w:val="left"/>
            </w:pPr>
            <w:r>
              <w:t>住所</w:t>
            </w:r>
          </w:p>
        </w:tc>
        <w:tc>
          <w:tcPr>
            <w:tcW w:w="3800" w:type="dxa"/>
            <w:vAlign w:val="center"/>
          </w:tcPr>
          <w:p>
            <w:pPr>
              <w:jc w:val="center"/>
            </w:pPr>
            <w:r>
              <w:t>宁化县翠江镇中环南路中环花园4幢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寿宁县农村信用合作联社</w:t>
            </w:r>
          </w:p>
        </w:tc>
        <w:tc>
          <w:tcPr>
            <w:tcW w:w="1200" w:type="dxa"/>
            <w:vAlign w:val="center"/>
          </w:tcPr>
          <w:p>
            <w:pPr>
              <w:jc w:val="left"/>
            </w:pPr>
            <w:r>
              <w:t>住所</w:t>
            </w:r>
          </w:p>
        </w:tc>
        <w:tc>
          <w:tcPr>
            <w:tcW w:w="3800" w:type="dxa"/>
            <w:vAlign w:val="center"/>
          </w:tcPr>
          <w:p>
            <w:pPr>
              <w:jc w:val="center"/>
            </w:pPr>
            <w:r>
              <w:t>福建省宁德市寿宁县鳌阳镇东区梦龙街5号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将乐县农村信用合作联社</w:t>
            </w:r>
          </w:p>
        </w:tc>
        <w:tc>
          <w:tcPr>
            <w:tcW w:w="1200" w:type="dxa"/>
            <w:vAlign w:val="center"/>
          </w:tcPr>
          <w:p>
            <w:pPr>
              <w:jc w:val="left"/>
            </w:pPr>
            <w:r>
              <w:t>住所</w:t>
            </w:r>
          </w:p>
        </w:tc>
        <w:tc>
          <w:tcPr>
            <w:tcW w:w="3800" w:type="dxa"/>
            <w:vAlign w:val="center"/>
          </w:tcPr>
          <w:p>
            <w:pPr>
              <w:jc w:val="center"/>
            </w:pPr>
            <w:r>
              <w:t>将乐县三华南路27号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尤溪县农村信用合作联社</w:t>
            </w:r>
          </w:p>
        </w:tc>
        <w:tc>
          <w:tcPr>
            <w:tcW w:w="1200" w:type="dxa"/>
            <w:vAlign w:val="center"/>
          </w:tcPr>
          <w:p>
            <w:pPr>
              <w:jc w:val="left"/>
            </w:pPr>
            <w:r>
              <w:t>住所</w:t>
            </w:r>
          </w:p>
        </w:tc>
        <w:tc>
          <w:tcPr>
            <w:tcW w:w="3800" w:type="dxa"/>
            <w:vAlign w:val="center"/>
          </w:tcPr>
          <w:p>
            <w:pPr>
              <w:jc w:val="center"/>
            </w:pPr>
            <w:r>
              <w:t>尤溪县城关解放路39号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屏南县农村信用合作联社</w:t>
            </w:r>
          </w:p>
        </w:tc>
        <w:tc>
          <w:tcPr>
            <w:tcW w:w="1200" w:type="dxa"/>
            <w:vAlign w:val="center"/>
          </w:tcPr>
          <w:p>
            <w:pPr>
              <w:jc w:val="left"/>
            </w:pPr>
            <w:r>
              <w:t>住所</w:t>
            </w:r>
          </w:p>
        </w:tc>
        <w:tc>
          <w:tcPr>
            <w:tcW w:w="3800" w:type="dxa"/>
            <w:vAlign w:val="center"/>
          </w:tcPr>
          <w:p>
            <w:pPr>
              <w:jc w:val="center"/>
            </w:pPr>
            <w:r>
              <w:t>屏南县古峰镇翠屏南路135号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山西银行股份有限公司</w:t>
            </w:r>
          </w:p>
        </w:tc>
        <w:tc>
          <w:tcPr>
            <w:tcW w:w="1200" w:type="dxa"/>
            <w:vAlign w:val="center"/>
          </w:tcPr>
          <w:p>
            <w:pPr>
              <w:jc w:val="left"/>
            </w:pPr>
            <w:r>
              <w:t>住所</w:t>
            </w:r>
          </w:p>
        </w:tc>
        <w:tc>
          <w:tcPr>
            <w:tcW w:w="3800" w:type="dxa"/>
            <w:vAlign w:val="center"/>
          </w:tcPr>
          <w:p>
            <w:pPr>
              <w:jc w:val="center"/>
            </w:pPr>
            <w:r>
              <w:t>山西转型综合改革示范区学府产业园高新街15号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0351-96588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广发银行股份有限公司</w:t>
            </w:r>
          </w:p>
        </w:tc>
        <w:tc>
          <w:tcPr>
            <w:tcW w:w="1200" w:type="dxa"/>
            <w:vAlign w:val="center"/>
          </w:tcPr>
          <w:p>
            <w:pPr>
              <w:jc w:val="left"/>
            </w:pPr>
            <w:r>
              <w:t>住所</w:t>
            </w:r>
          </w:p>
        </w:tc>
        <w:tc>
          <w:tcPr>
            <w:tcW w:w="3800" w:type="dxa"/>
            <w:vAlign w:val="center"/>
          </w:tcPr>
          <w:p>
            <w:pPr>
              <w:jc w:val="center"/>
            </w:pPr>
            <w:r>
              <w:t>广州市越秀区东风东路713号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02038322606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广州农村商业银行股份有限公司</w:t>
            </w:r>
          </w:p>
        </w:tc>
        <w:tc>
          <w:tcPr>
            <w:tcW w:w="1200" w:type="dxa"/>
            <w:vAlign w:val="center"/>
          </w:tcPr>
          <w:p>
            <w:pPr>
              <w:jc w:val="left"/>
            </w:pPr>
            <w:r>
              <w:t>住所</w:t>
            </w:r>
          </w:p>
        </w:tc>
        <w:tc>
          <w:tcPr>
            <w:tcW w:w="3800" w:type="dxa"/>
            <w:vAlign w:val="center"/>
          </w:tcPr>
          <w:p>
            <w:pPr>
              <w:jc w:val="center"/>
            </w:pPr>
            <w:r>
              <w:t>广州市黄埔区映日路9号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德化县农村信用合作联社</w:t>
            </w:r>
          </w:p>
        </w:tc>
        <w:tc>
          <w:tcPr>
            <w:tcW w:w="1200" w:type="dxa"/>
            <w:vAlign w:val="center"/>
          </w:tcPr>
          <w:p>
            <w:pPr>
              <w:jc w:val="left"/>
            </w:pPr>
            <w:r>
              <w:t>住所</w:t>
            </w:r>
          </w:p>
        </w:tc>
        <w:tc>
          <w:tcPr>
            <w:tcW w:w="3800" w:type="dxa"/>
            <w:vAlign w:val="center"/>
          </w:tcPr>
          <w:p>
            <w:pPr>
              <w:jc w:val="center"/>
            </w:pPr>
            <w:r>
              <w:t>福建省泉州市德化县浔中镇浔东北路中段福万通大厦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惠安县农村信用合作联社</w:t>
            </w:r>
          </w:p>
        </w:tc>
        <w:tc>
          <w:tcPr>
            <w:tcW w:w="1200" w:type="dxa"/>
            <w:vAlign w:val="center"/>
          </w:tcPr>
          <w:p>
            <w:pPr>
              <w:jc w:val="left"/>
            </w:pPr>
            <w:r>
              <w:t>住所</w:t>
            </w:r>
          </w:p>
        </w:tc>
        <w:tc>
          <w:tcPr>
            <w:tcW w:w="3800" w:type="dxa"/>
            <w:vAlign w:val="center"/>
          </w:tcPr>
          <w:p>
            <w:pPr>
              <w:jc w:val="center"/>
            </w:pPr>
            <w:r>
              <w:t>螺城镇建设南路118号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成都农村商业银行股份有限公司</w:t>
            </w:r>
          </w:p>
        </w:tc>
        <w:tc>
          <w:tcPr>
            <w:tcW w:w="1200" w:type="dxa"/>
            <w:vAlign w:val="center"/>
          </w:tcPr>
          <w:p>
            <w:pPr>
              <w:jc w:val="left"/>
            </w:pPr>
            <w:r>
              <w:t>住所</w:t>
            </w:r>
          </w:p>
        </w:tc>
        <w:tc>
          <w:tcPr>
            <w:tcW w:w="3800" w:type="dxa"/>
            <w:vAlign w:val="center"/>
          </w:tcPr>
          <w:p>
            <w:pPr>
              <w:jc w:val="center"/>
            </w:pPr>
            <w: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政和县农村信用合作联社</w:t>
            </w:r>
          </w:p>
        </w:tc>
        <w:tc>
          <w:tcPr>
            <w:tcW w:w="1200" w:type="dxa"/>
            <w:vAlign w:val="center"/>
          </w:tcPr>
          <w:p>
            <w:pPr>
              <w:jc w:val="left"/>
            </w:pPr>
            <w:r>
              <w:t>住所</w:t>
            </w:r>
          </w:p>
        </w:tc>
        <w:tc>
          <w:tcPr>
            <w:tcW w:w="3800" w:type="dxa"/>
            <w:vAlign w:val="center"/>
          </w:tcPr>
          <w:p>
            <w:pPr>
              <w:jc w:val="center"/>
            </w:pPr>
            <w:r>
              <w:t>政和县城关西大街为民路4号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新疆银行股份有限公司</w:t>
            </w:r>
          </w:p>
        </w:tc>
        <w:tc>
          <w:tcPr>
            <w:tcW w:w="1200" w:type="dxa"/>
            <w:vAlign w:val="center"/>
          </w:tcPr>
          <w:p>
            <w:pPr>
              <w:jc w:val="left"/>
            </w:pPr>
            <w:r>
              <w:t>住所</w:t>
            </w:r>
          </w:p>
        </w:tc>
        <w:tc>
          <w:tcPr>
            <w:tcW w:w="3800" w:type="dxa"/>
            <w:vAlign w:val="center"/>
          </w:tcPr>
          <w:p>
            <w:pPr>
              <w:jc w:val="center"/>
            </w:pPr>
            <w:r>
              <w:t>新疆乌鲁木齐市天山区新华南路338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0991-96559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新韩银行（中国）有限公司</w:t>
            </w:r>
          </w:p>
        </w:tc>
        <w:tc>
          <w:tcPr>
            <w:tcW w:w="1200" w:type="dxa"/>
            <w:vAlign w:val="center"/>
          </w:tcPr>
          <w:p>
            <w:pPr>
              <w:jc w:val="left"/>
            </w:pPr>
            <w:r>
              <w:t>住所</w:t>
            </w:r>
          </w:p>
        </w:tc>
        <w:tc>
          <w:tcPr>
            <w:tcW w:w="3800" w:type="dxa"/>
            <w:vAlign w:val="center"/>
          </w:tcPr>
          <w:p>
            <w:pPr>
              <w:jc w:val="center"/>
            </w:pPr>
            <w: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无锡农村商业银行股份有限公司</w:t>
            </w:r>
          </w:p>
        </w:tc>
        <w:tc>
          <w:tcPr>
            <w:tcW w:w="1200" w:type="dxa"/>
            <w:vAlign w:val="center"/>
          </w:tcPr>
          <w:p>
            <w:pPr>
              <w:jc w:val="left"/>
            </w:pPr>
            <w:r>
              <w:t>住所</w:t>
            </w:r>
          </w:p>
        </w:tc>
        <w:tc>
          <w:tcPr>
            <w:tcW w:w="3800" w:type="dxa"/>
            <w:vAlign w:val="center"/>
          </w:tcPr>
          <w:p>
            <w:pPr>
              <w:jc w:val="center"/>
            </w:pPr>
            <w:r>
              <w:t>江苏省无锡市锡山区延庆街11号、丹山路66-3、66-1301号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昆仑银行股份有限公司</w:t>
            </w:r>
          </w:p>
        </w:tc>
        <w:tc>
          <w:tcPr>
            <w:tcW w:w="1200" w:type="dxa"/>
            <w:vAlign w:val="center"/>
          </w:tcPr>
          <w:p>
            <w:pPr>
              <w:jc w:val="left"/>
            </w:pPr>
            <w:r>
              <w:t>住所</w:t>
            </w:r>
          </w:p>
        </w:tc>
        <w:tc>
          <w:tcPr>
            <w:tcW w:w="3800" w:type="dxa"/>
            <w:vAlign w:val="center"/>
          </w:tcPr>
          <w:p>
            <w:pPr>
              <w:jc w:val="center"/>
            </w:pPr>
            <w:r>
              <w:t>新疆克拉玛依市世纪大道7号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95379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明溪县农村信用合作联社</w:t>
            </w:r>
          </w:p>
        </w:tc>
        <w:tc>
          <w:tcPr>
            <w:tcW w:w="1200" w:type="dxa"/>
            <w:vAlign w:val="center"/>
          </w:tcPr>
          <w:p>
            <w:pPr>
              <w:jc w:val="left"/>
            </w:pPr>
            <w:r>
              <w:t>住所</w:t>
            </w:r>
          </w:p>
        </w:tc>
        <w:tc>
          <w:tcPr>
            <w:tcW w:w="3800" w:type="dxa"/>
            <w:vAlign w:val="center"/>
          </w:tcPr>
          <w:p>
            <w:pPr>
              <w:jc w:val="center"/>
            </w:pPr>
            <w:r>
              <w:t>明溪县雪峰镇河滨北路339号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晋商银行股份有限公司</w:t>
            </w:r>
          </w:p>
        </w:tc>
        <w:tc>
          <w:tcPr>
            <w:tcW w:w="1200" w:type="dxa"/>
            <w:vAlign w:val="center"/>
          </w:tcPr>
          <w:p>
            <w:pPr>
              <w:jc w:val="left"/>
            </w:pPr>
            <w:r>
              <w:t>住所</w:t>
            </w:r>
          </w:p>
        </w:tc>
        <w:tc>
          <w:tcPr>
            <w:tcW w:w="3800" w:type="dxa"/>
            <w:vAlign w:val="center"/>
          </w:tcPr>
          <w:p>
            <w:pPr>
              <w:jc w:val="center"/>
            </w:pPr>
            <w: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曲靖市商业银行股份有限公司</w:t>
            </w:r>
          </w:p>
        </w:tc>
        <w:tc>
          <w:tcPr>
            <w:tcW w:w="1200" w:type="dxa"/>
            <w:vAlign w:val="center"/>
          </w:tcPr>
          <w:p>
            <w:pPr>
              <w:jc w:val="left"/>
            </w:pPr>
            <w:r>
              <w:t>住所</w:t>
            </w:r>
          </w:p>
        </w:tc>
        <w:tc>
          <w:tcPr>
            <w:tcW w:w="3800" w:type="dxa"/>
            <w:vAlign w:val="center"/>
          </w:tcPr>
          <w:p>
            <w:pPr>
              <w:jc w:val="center"/>
            </w:pPr>
            <w:r>
              <w:t>云南省曲靖市麒麟区南宁西路21号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0874-8981222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松溪县农村信用合作联社</w:t>
            </w:r>
          </w:p>
        </w:tc>
        <w:tc>
          <w:tcPr>
            <w:tcW w:w="1200" w:type="dxa"/>
            <w:vAlign w:val="center"/>
          </w:tcPr>
          <w:p>
            <w:pPr>
              <w:jc w:val="left"/>
            </w:pPr>
            <w:r>
              <w:t>住所</w:t>
            </w:r>
          </w:p>
        </w:tc>
        <w:tc>
          <w:tcPr>
            <w:tcW w:w="3800" w:type="dxa"/>
            <w:vAlign w:val="center"/>
          </w:tcPr>
          <w:p>
            <w:pPr>
              <w:jc w:val="center"/>
            </w:pPr>
            <w:r>
              <w:t>松溪县工农东路1号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柘荣县农村信用合作联社股份有限公司</w:t>
            </w:r>
          </w:p>
        </w:tc>
        <w:tc>
          <w:tcPr>
            <w:tcW w:w="1200" w:type="dxa"/>
            <w:vAlign w:val="center"/>
          </w:tcPr>
          <w:p>
            <w:pPr>
              <w:jc w:val="left"/>
            </w:pPr>
            <w:r>
              <w:t>住所</w:t>
            </w:r>
          </w:p>
        </w:tc>
        <w:tc>
          <w:tcPr>
            <w:tcW w:w="3800" w:type="dxa"/>
            <w:vAlign w:val="center"/>
          </w:tcPr>
          <w:p>
            <w:pPr>
              <w:jc w:val="center"/>
            </w:pPr>
            <w:r>
              <w:t>柘荣县615西路2号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武平县农村信用合作联社</w:t>
            </w:r>
          </w:p>
        </w:tc>
        <w:tc>
          <w:tcPr>
            <w:tcW w:w="1200" w:type="dxa"/>
            <w:vAlign w:val="center"/>
          </w:tcPr>
          <w:p>
            <w:pPr>
              <w:jc w:val="left"/>
            </w:pPr>
            <w:r>
              <w:t>住所</w:t>
            </w:r>
          </w:p>
        </w:tc>
        <w:tc>
          <w:tcPr>
            <w:tcW w:w="3800" w:type="dxa"/>
            <w:vAlign w:val="center"/>
          </w:tcPr>
          <w:p>
            <w:pPr>
              <w:jc w:val="center"/>
            </w:pPr>
            <w:r>
              <w:t>福建省龙岩市武平县武平大道18号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永春县农村信用合作联社</w:t>
            </w:r>
          </w:p>
        </w:tc>
        <w:tc>
          <w:tcPr>
            <w:tcW w:w="1200" w:type="dxa"/>
            <w:vAlign w:val="center"/>
          </w:tcPr>
          <w:p>
            <w:pPr>
              <w:jc w:val="left"/>
            </w:pPr>
            <w:r>
              <w:t>住所</w:t>
            </w:r>
          </w:p>
        </w:tc>
        <w:tc>
          <w:tcPr>
            <w:tcW w:w="3800" w:type="dxa"/>
            <w:vAlign w:val="center"/>
          </w:tcPr>
          <w:p>
            <w:pPr>
              <w:jc w:val="center"/>
            </w:pPr>
            <w:r>
              <w:t>永春县桃城镇湖滨路301号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永泰县农村信用合作联社</w:t>
            </w:r>
          </w:p>
        </w:tc>
        <w:tc>
          <w:tcPr>
            <w:tcW w:w="1200" w:type="dxa"/>
            <w:vAlign w:val="center"/>
          </w:tcPr>
          <w:p>
            <w:pPr>
              <w:jc w:val="left"/>
            </w:pPr>
            <w:r>
              <w:t>住所</w:t>
            </w:r>
          </w:p>
        </w:tc>
        <w:tc>
          <w:tcPr>
            <w:tcW w:w="3800" w:type="dxa"/>
            <w:vAlign w:val="center"/>
          </w:tcPr>
          <w:p>
            <w:pPr>
              <w:jc w:val="center"/>
            </w:pPr>
            <w:r>
              <w:t>福建省永泰县樟城镇南湖花园E区9号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江苏丹阳农村商业银行股份有限公司</w:t>
            </w:r>
          </w:p>
        </w:tc>
        <w:tc>
          <w:tcPr>
            <w:tcW w:w="1200" w:type="dxa"/>
            <w:vAlign w:val="center"/>
          </w:tcPr>
          <w:p>
            <w:pPr>
              <w:jc w:val="left"/>
            </w:pPr>
            <w:r>
              <w:t>住所</w:t>
            </w:r>
          </w:p>
        </w:tc>
        <w:tc>
          <w:tcPr>
            <w:tcW w:w="3800" w:type="dxa"/>
            <w:vAlign w:val="center"/>
          </w:tcPr>
          <w:p>
            <w:pPr>
              <w:jc w:val="center"/>
            </w:pPr>
            <w:r>
              <w:t>镇江市丹阳金陵西路152号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江苏仪征农村商业银行股份有限公司</w:t>
            </w:r>
          </w:p>
        </w:tc>
        <w:tc>
          <w:tcPr>
            <w:tcW w:w="1200" w:type="dxa"/>
            <w:vAlign w:val="center"/>
          </w:tcPr>
          <w:p>
            <w:pPr>
              <w:jc w:val="left"/>
            </w:pPr>
            <w:r>
              <w:t>住所</w:t>
            </w:r>
          </w:p>
        </w:tc>
        <w:tc>
          <w:tcPr>
            <w:tcW w:w="3800" w:type="dxa"/>
            <w:vAlign w:val="center"/>
          </w:tcPr>
          <w:p>
            <w:pPr>
              <w:jc w:val="center"/>
            </w:pPr>
            <w:r>
              <w:t>江苏省仪征市真州镇解放东路818号金融集聚区</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江苏启东农村商业银行股份有限公司</w:t>
            </w:r>
          </w:p>
        </w:tc>
        <w:tc>
          <w:tcPr>
            <w:tcW w:w="1200" w:type="dxa"/>
            <w:vAlign w:val="center"/>
          </w:tcPr>
          <w:p>
            <w:pPr>
              <w:jc w:val="left"/>
            </w:pPr>
            <w:r>
              <w:t>住所</w:t>
            </w:r>
          </w:p>
        </w:tc>
        <w:tc>
          <w:tcPr>
            <w:tcW w:w="3800" w:type="dxa"/>
            <w:vAlign w:val="center"/>
          </w:tcPr>
          <w:p>
            <w:pPr>
              <w:jc w:val="center"/>
            </w:pPr>
            <w:r>
              <w:t>江苏省启东市汇龙镇金沙江路1688号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0513-83929017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江苏如皋农村商业银行股份有限公司</w:t>
            </w:r>
          </w:p>
        </w:tc>
        <w:tc>
          <w:tcPr>
            <w:tcW w:w="1200" w:type="dxa"/>
            <w:vAlign w:val="center"/>
          </w:tcPr>
          <w:p>
            <w:pPr>
              <w:jc w:val="left"/>
            </w:pPr>
            <w:r>
              <w:t>住所</w:t>
            </w:r>
          </w:p>
        </w:tc>
        <w:tc>
          <w:tcPr>
            <w:tcW w:w="3800" w:type="dxa"/>
            <w:vAlign w:val="center"/>
          </w:tcPr>
          <w:p>
            <w:pPr>
              <w:jc w:val="center"/>
            </w:pPr>
            <w:r>
              <w:t>如皋市如城街道海阳南路999号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江苏宝应农村商业银行股份有限公司</w:t>
            </w:r>
          </w:p>
        </w:tc>
        <w:tc>
          <w:tcPr>
            <w:tcW w:w="1200" w:type="dxa"/>
            <w:vAlign w:val="center"/>
          </w:tcPr>
          <w:p>
            <w:pPr>
              <w:jc w:val="left"/>
            </w:pPr>
            <w:r>
              <w:t>住所</w:t>
            </w:r>
          </w:p>
        </w:tc>
        <w:tc>
          <w:tcPr>
            <w:tcW w:w="3800" w:type="dxa"/>
            <w:vAlign w:val="center"/>
          </w:tcPr>
          <w:p>
            <w:pPr>
              <w:jc w:val="center"/>
            </w:pPr>
            <w:r>
              <w:t>江苏省宝应县文津路1号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江苏扬中农村商业银行股份有限公司</w:t>
            </w:r>
          </w:p>
        </w:tc>
        <w:tc>
          <w:tcPr>
            <w:tcW w:w="1200" w:type="dxa"/>
            <w:vAlign w:val="center"/>
          </w:tcPr>
          <w:p>
            <w:pPr>
              <w:jc w:val="left"/>
            </w:pPr>
            <w:r>
              <w:t>住所</w:t>
            </w:r>
          </w:p>
        </w:tc>
        <w:tc>
          <w:tcPr>
            <w:tcW w:w="3800" w:type="dxa"/>
            <w:vAlign w:val="center"/>
          </w:tcPr>
          <w:p>
            <w:pPr>
              <w:jc w:val="center"/>
            </w:pPr>
            <w:r>
              <w:t>江苏省扬中市扬子西路79号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江苏扬州农村商业银行股份有限公司</w:t>
            </w:r>
          </w:p>
        </w:tc>
        <w:tc>
          <w:tcPr>
            <w:tcW w:w="1200" w:type="dxa"/>
            <w:vAlign w:val="center"/>
          </w:tcPr>
          <w:p>
            <w:pPr>
              <w:jc w:val="left"/>
            </w:pPr>
            <w:r>
              <w:t>住所</w:t>
            </w:r>
          </w:p>
        </w:tc>
        <w:tc>
          <w:tcPr>
            <w:tcW w:w="3800" w:type="dxa"/>
            <w:vAlign w:val="center"/>
          </w:tcPr>
          <w:p>
            <w:pPr>
              <w:jc w:val="center"/>
            </w:pPr>
            <w:r>
              <w:t>江苏省扬州市同泰路107号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江苏民丰农村商业银行股份有限公司</w:t>
            </w:r>
          </w:p>
        </w:tc>
        <w:tc>
          <w:tcPr>
            <w:tcW w:w="1200" w:type="dxa"/>
            <w:vAlign w:val="center"/>
          </w:tcPr>
          <w:p>
            <w:pPr>
              <w:jc w:val="left"/>
            </w:pPr>
            <w:r>
              <w:t>住所</w:t>
            </w:r>
          </w:p>
        </w:tc>
        <w:tc>
          <w:tcPr>
            <w:tcW w:w="3800" w:type="dxa"/>
            <w:vAlign w:val="center"/>
          </w:tcPr>
          <w:p>
            <w:pPr>
              <w:jc w:val="center"/>
            </w:pPr>
            <w:r>
              <w:t>江苏省宿迁市宿城区高宝湖路1号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江苏泗阳农村商业银行股份有限公司</w:t>
            </w:r>
          </w:p>
        </w:tc>
        <w:tc>
          <w:tcPr>
            <w:tcW w:w="1200" w:type="dxa"/>
            <w:vAlign w:val="center"/>
          </w:tcPr>
          <w:p>
            <w:pPr>
              <w:jc w:val="left"/>
            </w:pPr>
            <w:r>
              <w:t>住所</w:t>
            </w:r>
          </w:p>
        </w:tc>
        <w:tc>
          <w:tcPr>
            <w:tcW w:w="3800" w:type="dxa"/>
            <w:vAlign w:val="center"/>
          </w:tcPr>
          <w:p>
            <w:pPr>
              <w:jc w:val="center"/>
            </w:pPr>
            <w:r>
              <w:t>江苏省泗阳县众兴镇北京中路21号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江苏滨海农村商业银行股份有限公司</w:t>
            </w:r>
          </w:p>
        </w:tc>
        <w:tc>
          <w:tcPr>
            <w:tcW w:w="1200" w:type="dxa"/>
            <w:vAlign w:val="center"/>
          </w:tcPr>
          <w:p>
            <w:pPr>
              <w:jc w:val="left"/>
            </w:pPr>
            <w:r>
              <w:t>住所</w:t>
            </w:r>
          </w:p>
        </w:tc>
        <w:tc>
          <w:tcPr>
            <w:tcW w:w="3800" w:type="dxa"/>
            <w:vAlign w:val="center"/>
          </w:tcPr>
          <w:p>
            <w:pPr>
              <w:jc w:val="center"/>
            </w:pPr>
            <w:r>
              <w:t>滨海县城迎宾中路1号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江苏灌南农村商业银行股份有限公司</w:t>
            </w:r>
          </w:p>
        </w:tc>
        <w:tc>
          <w:tcPr>
            <w:tcW w:w="1200" w:type="dxa"/>
            <w:vAlign w:val="center"/>
          </w:tcPr>
          <w:p>
            <w:pPr>
              <w:jc w:val="left"/>
            </w:pPr>
            <w:r>
              <w:t>住所</w:t>
            </w:r>
          </w:p>
        </w:tc>
        <w:tc>
          <w:tcPr>
            <w:tcW w:w="3800" w:type="dxa"/>
            <w:vAlign w:val="center"/>
          </w:tcPr>
          <w:p>
            <w:pPr>
              <w:jc w:val="center"/>
            </w:pPr>
            <w:r>
              <w:t>江苏省连云港市灌南县人民路29号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江苏紫金农村商业银行股份有限公司</w:t>
            </w:r>
          </w:p>
        </w:tc>
        <w:tc>
          <w:tcPr>
            <w:tcW w:w="1200" w:type="dxa"/>
            <w:vAlign w:val="center"/>
          </w:tcPr>
          <w:p>
            <w:pPr>
              <w:jc w:val="left"/>
            </w:pPr>
            <w:r>
              <w:t>住所</w:t>
            </w:r>
          </w:p>
        </w:tc>
        <w:tc>
          <w:tcPr>
            <w:tcW w:w="3800" w:type="dxa"/>
            <w:vAlign w:val="center"/>
          </w:tcPr>
          <w:p>
            <w:pPr>
              <w:jc w:val="center"/>
            </w:pPr>
            <w:r>
              <w:t>南京市建邺区江东中路381号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025-88866792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江苏苏州农村商业银行股份有限公司</w:t>
            </w:r>
          </w:p>
        </w:tc>
        <w:tc>
          <w:tcPr>
            <w:tcW w:w="1200" w:type="dxa"/>
            <w:vAlign w:val="center"/>
          </w:tcPr>
          <w:p>
            <w:pPr>
              <w:jc w:val="left"/>
            </w:pPr>
            <w:r>
              <w:t>住所</w:t>
            </w:r>
          </w:p>
        </w:tc>
        <w:tc>
          <w:tcPr>
            <w:tcW w:w="3800" w:type="dxa"/>
            <w:vAlign w:val="center"/>
          </w:tcPr>
          <w:p>
            <w:pPr>
              <w:jc w:val="center"/>
            </w:pPr>
            <w:r>
              <w:t>江苏省苏州市吴江区中山南路1777号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江苏镇江农村商业银行股份有限公司</w:t>
            </w:r>
          </w:p>
        </w:tc>
        <w:tc>
          <w:tcPr>
            <w:tcW w:w="1200" w:type="dxa"/>
            <w:vAlign w:val="center"/>
          </w:tcPr>
          <w:p>
            <w:pPr>
              <w:jc w:val="left"/>
            </w:pPr>
            <w:r>
              <w:t>住所</w:t>
            </w:r>
          </w:p>
        </w:tc>
        <w:tc>
          <w:tcPr>
            <w:tcW w:w="3800" w:type="dxa"/>
            <w:vAlign w:val="center"/>
          </w:tcPr>
          <w:p>
            <w:pPr>
              <w:jc w:val="center"/>
            </w:pPr>
            <w:r>
              <w:t>江苏省镇江市润州区长江路97号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江苏高邮农村商业银行股份有限公司</w:t>
            </w:r>
          </w:p>
        </w:tc>
        <w:tc>
          <w:tcPr>
            <w:tcW w:w="1200" w:type="dxa"/>
            <w:vAlign w:val="center"/>
          </w:tcPr>
          <w:p>
            <w:pPr>
              <w:jc w:val="left"/>
            </w:pPr>
            <w:r>
              <w:t>住所</w:t>
            </w:r>
          </w:p>
        </w:tc>
        <w:tc>
          <w:tcPr>
            <w:tcW w:w="3800" w:type="dxa"/>
            <w:vAlign w:val="center"/>
          </w:tcPr>
          <w:p>
            <w:pPr>
              <w:jc w:val="center"/>
            </w:pPr>
            <w:r>
              <w:t>高邮市文游中路28号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泉州农村商业银行股份有限公司</w:t>
            </w:r>
          </w:p>
        </w:tc>
        <w:tc>
          <w:tcPr>
            <w:tcW w:w="1200" w:type="dxa"/>
            <w:vAlign w:val="center"/>
          </w:tcPr>
          <w:p>
            <w:pPr>
              <w:jc w:val="left"/>
            </w:pPr>
            <w:r>
              <w:t>住所</w:t>
            </w:r>
          </w:p>
        </w:tc>
        <w:tc>
          <w:tcPr>
            <w:tcW w:w="3800" w:type="dxa"/>
            <w:vAlign w:val="center"/>
          </w:tcPr>
          <w:p>
            <w:pPr>
              <w:jc w:val="center"/>
            </w:pPr>
            <w:r>
              <w:t>泉州市丰泽区滨海街222号香槟中心1层靠府东路区域、10层、11层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泰宁县农村信用合作联社</w:t>
            </w:r>
          </w:p>
        </w:tc>
        <w:tc>
          <w:tcPr>
            <w:tcW w:w="1200" w:type="dxa"/>
            <w:vAlign w:val="center"/>
          </w:tcPr>
          <w:p>
            <w:pPr>
              <w:jc w:val="left"/>
            </w:pPr>
            <w:r>
              <w:t>住所</w:t>
            </w:r>
          </w:p>
        </w:tc>
        <w:tc>
          <w:tcPr>
            <w:tcW w:w="3800" w:type="dxa"/>
            <w:vAlign w:val="center"/>
          </w:tcPr>
          <w:p>
            <w:pPr>
              <w:jc w:val="center"/>
            </w:pPr>
            <w:r>
              <w:t>福建省泰宁县杉城镇水南西街13号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浙商银行股份有限公司</w:t>
            </w:r>
          </w:p>
        </w:tc>
        <w:tc>
          <w:tcPr>
            <w:tcW w:w="1200" w:type="dxa"/>
            <w:vAlign w:val="center"/>
          </w:tcPr>
          <w:p>
            <w:pPr>
              <w:jc w:val="left"/>
            </w:pPr>
            <w:r>
              <w:t>住所</w:t>
            </w:r>
          </w:p>
        </w:tc>
        <w:tc>
          <w:tcPr>
            <w:tcW w:w="3800" w:type="dxa"/>
            <w:vAlign w:val="center"/>
          </w:tcPr>
          <w:p>
            <w:pPr>
              <w:jc w:val="center"/>
            </w:pPr>
            <w: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浦城县农村信用合作联社</w:t>
            </w:r>
          </w:p>
        </w:tc>
        <w:tc>
          <w:tcPr>
            <w:tcW w:w="1200" w:type="dxa"/>
            <w:vAlign w:val="center"/>
          </w:tcPr>
          <w:p>
            <w:pPr>
              <w:jc w:val="left"/>
            </w:pPr>
            <w:r>
              <w:t>住所</w:t>
            </w:r>
          </w:p>
        </w:tc>
        <w:tc>
          <w:tcPr>
            <w:tcW w:w="3800" w:type="dxa"/>
            <w:vAlign w:val="center"/>
          </w:tcPr>
          <w:p>
            <w:pPr>
              <w:jc w:val="center"/>
            </w:pPr>
            <w:r>
              <w:t>浦城县兴浦路235号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湖北银行股份有限公司</w:t>
            </w:r>
          </w:p>
        </w:tc>
        <w:tc>
          <w:tcPr>
            <w:tcW w:w="1200" w:type="dxa"/>
            <w:vAlign w:val="center"/>
          </w:tcPr>
          <w:p>
            <w:pPr>
              <w:jc w:val="left"/>
            </w:pPr>
            <w:r>
              <w:t>住所</w:t>
            </w:r>
          </w:p>
        </w:tc>
        <w:tc>
          <w:tcPr>
            <w:tcW w:w="3800" w:type="dxa"/>
            <w:vAlign w:val="center"/>
          </w:tcPr>
          <w:p>
            <w:pPr>
              <w:jc w:val="center"/>
            </w:pPr>
            <w:r>
              <w:t>武汉市武昌区水果湖街中北路86号汉街总部国际8栋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4008596599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漳州市长泰区农村信用合作联社</w:t>
            </w:r>
          </w:p>
        </w:tc>
        <w:tc>
          <w:tcPr>
            <w:tcW w:w="1200" w:type="dxa"/>
            <w:vAlign w:val="center"/>
          </w:tcPr>
          <w:p>
            <w:pPr>
              <w:jc w:val="left"/>
            </w:pPr>
            <w:r>
              <w:t>住所</w:t>
            </w:r>
          </w:p>
        </w:tc>
        <w:tc>
          <w:tcPr>
            <w:tcW w:w="3800" w:type="dxa"/>
            <w:vAlign w:val="center"/>
          </w:tcPr>
          <w:p>
            <w:pPr>
              <w:jc w:val="center"/>
            </w:pPr>
            <w:r>
              <w:t>福建省漳州市长泰区武安镇人民西路206号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珠海农村商业银行股份有限公司</w:t>
            </w:r>
          </w:p>
        </w:tc>
        <w:tc>
          <w:tcPr>
            <w:tcW w:w="1200" w:type="dxa"/>
            <w:vAlign w:val="center"/>
          </w:tcPr>
          <w:p>
            <w:pPr>
              <w:jc w:val="left"/>
            </w:pPr>
            <w:r>
              <w:t>住所</w:t>
            </w:r>
          </w:p>
        </w:tc>
        <w:tc>
          <w:tcPr>
            <w:tcW w:w="3800" w:type="dxa"/>
            <w:vAlign w:val="center"/>
          </w:tcPr>
          <w:p>
            <w:pPr>
              <w:jc w:val="center"/>
            </w:pPr>
            <w:r>
              <w:t>珠海市香洲兴业路223号农信金融大厦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96138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珠海华润银行股份有限公司</w:t>
            </w:r>
          </w:p>
        </w:tc>
        <w:tc>
          <w:tcPr>
            <w:tcW w:w="1200" w:type="dxa"/>
            <w:vAlign w:val="center"/>
          </w:tcPr>
          <w:p>
            <w:pPr>
              <w:jc w:val="left"/>
            </w:pPr>
            <w:r>
              <w:t>住所</w:t>
            </w:r>
          </w:p>
        </w:tc>
        <w:tc>
          <w:tcPr>
            <w:tcW w:w="3800" w:type="dxa"/>
            <w:vAlign w:val="center"/>
          </w:tcPr>
          <w:p>
            <w:pPr>
              <w:jc w:val="center"/>
            </w:pPr>
            <w:r>
              <w:t>广东省珠海市高新区北城东三路88号1栋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0756-96588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福安市农村信用合作联社</w:t>
            </w:r>
          </w:p>
        </w:tc>
        <w:tc>
          <w:tcPr>
            <w:tcW w:w="1200" w:type="dxa"/>
            <w:vAlign w:val="center"/>
          </w:tcPr>
          <w:p>
            <w:pPr>
              <w:jc w:val="left"/>
            </w:pPr>
            <w:r>
              <w:t>住所</w:t>
            </w:r>
          </w:p>
        </w:tc>
        <w:tc>
          <w:tcPr>
            <w:tcW w:w="3800" w:type="dxa"/>
            <w:vAlign w:val="center"/>
          </w:tcPr>
          <w:p>
            <w:pPr>
              <w:jc w:val="center"/>
            </w:pPr>
            <w:r>
              <w:t>福安市城北新华中路103、107号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福建三明农村商业银行股份有限公司</w:t>
            </w:r>
          </w:p>
        </w:tc>
        <w:tc>
          <w:tcPr>
            <w:tcW w:w="1200" w:type="dxa"/>
            <w:vAlign w:val="center"/>
          </w:tcPr>
          <w:p>
            <w:pPr>
              <w:jc w:val="left"/>
            </w:pPr>
            <w:r>
              <w:t>住所</w:t>
            </w:r>
          </w:p>
        </w:tc>
        <w:tc>
          <w:tcPr>
            <w:tcW w:w="3800" w:type="dxa"/>
            <w:vAlign w:val="center"/>
          </w:tcPr>
          <w:p>
            <w:pPr>
              <w:jc w:val="center"/>
            </w:pPr>
            <w:r>
              <w:t>福建省三明市三元区东新三路68号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福建上杭农村商业银行股份有限公司</w:t>
            </w:r>
          </w:p>
        </w:tc>
        <w:tc>
          <w:tcPr>
            <w:tcW w:w="1200" w:type="dxa"/>
            <w:vAlign w:val="center"/>
          </w:tcPr>
          <w:p>
            <w:pPr>
              <w:jc w:val="left"/>
            </w:pPr>
            <w:r>
              <w:t>住所</w:t>
            </w:r>
          </w:p>
        </w:tc>
        <w:tc>
          <w:tcPr>
            <w:tcW w:w="3800" w:type="dxa"/>
            <w:vAlign w:val="center"/>
          </w:tcPr>
          <w:p>
            <w:pPr>
              <w:jc w:val="center"/>
            </w:pPr>
            <w:r>
              <w:t>上杭县临江镇振兴路171号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福建仙游农村商业银行股份有限公司</w:t>
            </w:r>
          </w:p>
        </w:tc>
        <w:tc>
          <w:tcPr>
            <w:tcW w:w="1200" w:type="dxa"/>
            <w:vAlign w:val="center"/>
          </w:tcPr>
          <w:p>
            <w:pPr>
              <w:jc w:val="left"/>
            </w:pPr>
            <w:r>
              <w:t>住所</w:t>
            </w:r>
          </w:p>
        </w:tc>
        <w:tc>
          <w:tcPr>
            <w:tcW w:w="3800" w:type="dxa"/>
            <w:vAlign w:val="center"/>
          </w:tcPr>
          <w:p>
            <w:pPr>
              <w:jc w:val="center"/>
            </w:pPr>
            <w:r>
              <w:t>福建省仙游县鲤城街道党校街1188号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福建南安农村商业银行股份有限公司</w:t>
            </w:r>
          </w:p>
        </w:tc>
        <w:tc>
          <w:tcPr>
            <w:tcW w:w="1200" w:type="dxa"/>
            <w:vAlign w:val="center"/>
          </w:tcPr>
          <w:p>
            <w:pPr>
              <w:jc w:val="left"/>
            </w:pPr>
            <w:r>
              <w:t>住所</w:t>
            </w:r>
          </w:p>
        </w:tc>
        <w:tc>
          <w:tcPr>
            <w:tcW w:w="3800" w:type="dxa"/>
            <w:vAlign w:val="center"/>
          </w:tcPr>
          <w:p>
            <w:pPr>
              <w:jc w:val="center"/>
            </w:pPr>
            <w:r>
              <w:t>福建省南安市成功街889号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福建宁德农村商业银行股份有限公司</w:t>
            </w:r>
          </w:p>
        </w:tc>
        <w:tc>
          <w:tcPr>
            <w:tcW w:w="1200" w:type="dxa"/>
            <w:vAlign w:val="center"/>
          </w:tcPr>
          <w:p>
            <w:pPr>
              <w:jc w:val="left"/>
            </w:pPr>
            <w:r>
              <w:t>住所</w:t>
            </w:r>
          </w:p>
        </w:tc>
        <w:tc>
          <w:tcPr>
            <w:tcW w:w="3800" w:type="dxa"/>
            <w:vAlign w:val="center"/>
          </w:tcPr>
          <w:p>
            <w:pPr>
              <w:jc w:val="center"/>
            </w:pPr>
            <w:r>
              <w:t>宁德市蕉城区万安西路21号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福建安溪农村商业银行股份有限公司</w:t>
            </w:r>
          </w:p>
        </w:tc>
        <w:tc>
          <w:tcPr>
            <w:tcW w:w="1200" w:type="dxa"/>
            <w:vAlign w:val="center"/>
          </w:tcPr>
          <w:p>
            <w:pPr>
              <w:jc w:val="left"/>
            </w:pPr>
            <w:r>
              <w:t>住所</w:t>
            </w:r>
          </w:p>
        </w:tc>
        <w:tc>
          <w:tcPr>
            <w:tcW w:w="3800" w:type="dxa"/>
            <w:vAlign w:val="center"/>
          </w:tcPr>
          <w:p>
            <w:pPr>
              <w:jc w:val="center"/>
            </w:pPr>
            <w:r>
              <w:t>福建省泉州市安溪县建安大道230号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福建平和农村商业银行股份有限公司</w:t>
            </w:r>
          </w:p>
        </w:tc>
        <w:tc>
          <w:tcPr>
            <w:tcW w:w="1200" w:type="dxa"/>
            <w:vAlign w:val="center"/>
          </w:tcPr>
          <w:p>
            <w:pPr>
              <w:jc w:val="left"/>
            </w:pPr>
            <w:r>
              <w:t>住所</w:t>
            </w:r>
          </w:p>
        </w:tc>
        <w:tc>
          <w:tcPr>
            <w:tcW w:w="3800" w:type="dxa"/>
            <w:vAlign w:val="center"/>
          </w:tcPr>
          <w:p>
            <w:pPr>
              <w:jc w:val="center"/>
            </w:pPr>
            <w:r>
              <w:t>福建省漳州市平和县小溪镇北环路86号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福建平潭农村商业银行股份有限公司</w:t>
            </w:r>
          </w:p>
        </w:tc>
        <w:tc>
          <w:tcPr>
            <w:tcW w:w="1200" w:type="dxa"/>
            <w:vAlign w:val="center"/>
          </w:tcPr>
          <w:p>
            <w:pPr>
              <w:jc w:val="left"/>
            </w:pPr>
            <w:r>
              <w:t>住所</w:t>
            </w:r>
          </w:p>
        </w:tc>
        <w:tc>
          <w:tcPr>
            <w:tcW w:w="3800" w:type="dxa"/>
            <w:vAlign w:val="center"/>
          </w:tcPr>
          <w:p>
            <w:pPr>
              <w:jc w:val="center"/>
            </w:pPr>
            <w:r>
              <w:t>平潭县潭城镇龙里路西侧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福建建瓯农村商业银行股份有限公司</w:t>
            </w:r>
          </w:p>
        </w:tc>
        <w:tc>
          <w:tcPr>
            <w:tcW w:w="1200" w:type="dxa"/>
            <w:vAlign w:val="center"/>
          </w:tcPr>
          <w:p>
            <w:pPr>
              <w:jc w:val="left"/>
            </w:pPr>
            <w:r>
              <w:t>住所</w:t>
            </w:r>
          </w:p>
        </w:tc>
        <w:tc>
          <w:tcPr>
            <w:tcW w:w="3800" w:type="dxa"/>
            <w:vAlign w:val="center"/>
          </w:tcPr>
          <w:p>
            <w:pPr>
              <w:jc w:val="center"/>
            </w:pPr>
            <w:r>
              <w:t>福建省建瓯市中山路463号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福建晋江农村商业银行股份有限公司</w:t>
            </w:r>
          </w:p>
        </w:tc>
        <w:tc>
          <w:tcPr>
            <w:tcW w:w="1200" w:type="dxa"/>
            <w:vAlign w:val="center"/>
          </w:tcPr>
          <w:p>
            <w:pPr>
              <w:jc w:val="left"/>
            </w:pPr>
            <w:r>
              <w:t>住所</w:t>
            </w:r>
          </w:p>
        </w:tc>
        <w:tc>
          <w:tcPr>
            <w:tcW w:w="3800" w:type="dxa"/>
            <w:vAlign w:val="center"/>
          </w:tcPr>
          <w:p>
            <w:pPr>
              <w:jc w:val="center"/>
            </w:pPr>
            <w:r>
              <w:t>晋江市青阳崇德路196号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福建武夷山农村商业银行股份有限公司</w:t>
            </w:r>
          </w:p>
        </w:tc>
        <w:tc>
          <w:tcPr>
            <w:tcW w:w="1200" w:type="dxa"/>
            <w:vAlign w:val="center"/>
          </w:tcPr>
          <w:p>
            <w:pPr>
              <w:jc w:val="left"/>
            </w:pPr>
            <w:r>
              <w:t>住所</w:t>
            </w:r>
          </w:p>
        </w:tc>
        <w:tc>
          <w:tcPr>
            <w:tcW w:w="3800" w:type="dxa"/>
            <w:vAlign w:val="center"/>
          </w:tcPr>
          <w:p>
            <w:pPr>
              <w:jc w:val="center"/>
            </w:pPr>
            <w:r>
              <w:t>福建省武夷山市环岛西路76号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福建永安农村商业银行股份有限公司</w:t>
            </w:r>
          </w:p>
        </w:tc>
        <w:tc>
          <w:tcPr>
            <w:tcW w:w="1200" w:type="dxa"/>
            <w:vAlign w:val="center"/>
          </w:tcPr>
          <w:p>
            <w:pPr>
              <w:jc w:val="left"/>
            </w:pPr>
            <w:r>
              <w:t>住所</w:t>
            </w:r>
          </w:p>
        </w:tc>
        <w:tc>
          <w:tcPr>
            <w:tcW w:w="3800" w:type="dxa"/>
            <w:vAlign w:val="center"/>
          </w:tcPr>
          <w:p>
            <w:pPr>
              <w:jc w:val="center"/>
            </w:pPr>
            <w:r>
              <w:t>福建省永安市江滨路688号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福建沙县农村商业银行股份有限公司</w:t>
            </w:r>
          </w:p>
        </w:tc>
        <w:tc>
          <w:tcPr>
            <w:tcW w:w="1200" w:type="dxa"/>
            <w:vAlign w:val="center"/>
          </w:tcPr>
          <w:p>
            <w:pPr>
              <w:jc w:val="left"/>
            </w:pPr>
            <w:r>
              <w:t>住所</w:t>
            </w:r>
          </w:p>
        </w:tc>
        <w:tc>
          <w:tcPr>
            <w:tcW w:w="3800" w:type="dxa"/>
            <w:vAlign w:val="center"/>
          </w:tcPr>
          <w:p>
            <w:pPr>
              <w:jc w:val="center"/>
            </w:pPr>
            <w:r>
              <w:t>沙县李纲中路100号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福建海峡银行股份有限公司</w:t>
            </w:r>
          </w:p>
        </w:tc>
        <w:tc>
          <w:tcPr>
            <w:tcW w:w="1200" w:type="dxa"/>
            <w:vAlign w:val="center"/>
          </w:tcPr>
          <w:p>
            <w:pPr>
              <w:jc w:val="left"/>
            </w:pPr>
            <w:r>
              <w:t>住所</w:t>
            </w:r>
          </w:p>
        </w:tc>
        <w:tc>
          <w:tcPr>
            <w:tcW w:w="3800" w:type="dxa"/>
            <w:vAlign w:val="center"/>
          </w:tcPr>
          <w:p>
            <w:pPr>
              <w:jc w:val="center"/>
            </w:pPr>
            <w:r>
              <w:t>福建省福州市台江区江滨中大道358号海峡银行大厦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4008939999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福建漳州农村商业银行股份有限公司</w:t>
            </w:r>
          </w:p>
        </w:tc>
        <w:tc>
          <w:tcPr>
            <w:tcW w:w="1200" w:type="dxa"/>
            <w:vAlign w:val="center"/>
          </w:tcPr>
          <w:p>
            <w:pPr>
              <w:jc w:val="left"/>
            </w:pPr>
            <w:r>
              <w:t>住所</w:t>
            </w:r>
          </w:p>
        </w:tc>
        <w:tc>
          <w:tcPr>
            <w:tcW w:w="3800" w:type="dxa"/>
            <w:vAlign w:val="center"/>
          </w:tcPr>
          <w:p>
            <w:pPr>
              <w:jc w:val="center"/>
            </w:pPr>
            <w:r>
              <w:t>福建省漳州市芗城区水仙大街53号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福建漳平农村商业银行股份有限公司</w:t>
            </w:r>
          </w:p>
        </w:tc>
        <w:tc>
          <w:tcPr>
            <w:tcW w:w="1200" w:type="dxa"/>
            <w:vAlign w:val="center"/>
          </w:tcPr>
          <w:p>
            <w:pPr>
              <w:jc w:val="left"/>
            </w:pPr>
            <w:r>
              <w:t>住所</w:t>
            </w:r>
          </w:p>
        </w:tc>
        <w:tc>
          <w:tcPr>
            <w:tcW w:w="3800" w:type="dxa"/>
            <w:vAlign w:val="center"/>
          </w:tcPr>
          <w:p>
            <w:pPr>
              <w:jc w:val="center"/>
            </w:pPr>
            <w:r>
              <w:t>福建省龙岩市漳平市桂林街道桂林路59号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福建漳浦农村商业银行股份有限公司</w:t>
            </w:r>
          </w:p>
        </w:tc>
        <w:tc>
          <w:tcPr>
            <w:tcW w:w="1200" w:type="dxa"/>
            <w:vAlign w:val="center"/>
          </w:tcPr>
          <w:p>
            <w:pPr>
              <w:jc w:val="left"/>
            </w:pPr>
            <w:r>
              <w:t>住所</w:t>
            </w:r>
          </w:p>
        </w:tc>
        <w:tc>
          <w:tcPr>
            <w:tcW w:w="3800" w:type="dxa"/>
            <w:vAlign w:val="center"/>
          </w:tcPr>
          <w:p>
            <w:pPr>
              <w:jc w:val="center"/>
            </w:pPr>
            <w:r>
              <w:t>福建漳浦县绥安镇朝阳大道东296号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福建石狮农村商业银行股份有限公司</w:t>
            </w:r>
          </w:p>
        </w:tc>
        <w:tc>
          <w:tcPr>
            <w:tcW w:w="1200" w:type="dxa"/>
            <w:vAlign w:val="center"/>
          </w:tcPr>
          <w:p>
            <w:pPr>
              <w:jc w:val="left"/>
            </w:pPr>
            <w:r>
              <w:t>住所</w:t>
            </w:r>
          </w:p>
        </w:tc>
        <w:tc>
          <w:tcPr>
            <w:tcW w:w="3800" w:type="dxa"/>
            <w:vAlign w:val="center"/>
          </w:tcPr>
          <w:p>
            <w:pPr>
              <w:jc w:val="center"/>
            </w:pPr>
            <w:r>
              <w:t>福建省石狮市八七路2128-2150号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福建福州农村商业银行股份有限公司</w:t>
            </w:r>
          </w:p>
        </w:tc>
        <w:tc>
          <w:tcPr>
            <w:tcW w:w="1200" w:type="dxa"/>
            <w:vAlign w:val="center"/>
          </w:tcPr>
          <w:p>
            <w:pPr>
              <w:jc w:val="left"/>
            </w:pPr>
            <w:r>
              <w:t>住所</w:t>
            </w:r>
          </w:p>
        </w:tc>
        <w:tc>
          <w:tcPr>
            <w:tcW w:w="3800" w:type="dxa"/>
            <w:vAlign w:val="center"/>
          </w:tcPr>
          <w:p>
            <w:pPr>
              <w:jc w:val="center"/>
            </w:pPr>
            <w:r>
              <w:t>福州市鼓楼区五凤街道福飞路118号心连心金融大厦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福建福清汇通农村商业银行股份有限公司</w:t>
            </w:r>
          </w:p>
        </w:tc>
        <w:tc>
          <w:tcPr>
            <w:tcW w:w="1200" w:type="dxa"/>
            <w:vAlign w:val="center"/>
          </w:tcPr>
          <w:p>
            <w:pPr>
              <w:jc w:val="left"/>
            </w:pPr>
            <w:r>
              <w:t>住所</w:t>
            </w:r>
          </w:p>
        </w:tc>
        <w:tc>
          <w:tcPr>
            <w:tcW w:w="3800" w:type="dxa"/>
            <w:vAlign w:val="center"/>
          </w:tcPr>
          <w:p>
            <w:pPr>
              <w:jc w:val="center"/>
            </w:pPr>
            <w:r>
              <w:t>福建省福清市音西街道福和路88号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福建莆田农村商业银行股份有限公司</w:t>
            </w:r>
          </w:p>
        </w:tc>
        <w:tc>
          <w:tcPr>
            <w:tcW w:w="1200" w:type="dxa"/>
            <w:vAlign w:val="center"/>
          </w:tcPr>
          <w:p>
            <w:pPr>
              <w:jc w:val="left"/>
            </w:pPr>
            <w:r>
              <w:t>住所</w:t>
            </w:r>
          </w:p>
        </w:tc>
        <w:tc>
          <w:tcPr>
            <w:tcW w:w="3800" w:type="dxa"/>
            <w:vAlign w:val="center"/>
          </w:tcPr>
          <w:p>
            <w:pPr>
              <w:jc w:val="center"/>
            </w:pPr>
            <w:r>
              <w:t>福建省莆田市城厢区霞林街道南园西路266号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福建连江农村商业银行股份有限公司</w:t>
            </w:r>
          </w:p>
        </w:tc>
        <w:tc>
          <w:tcPr>
            <w:tcW w:w="1200" w:type="dxa"/>
            <w:vAlign w:val="center"/>
          </w:tcPr>
          <w:p>
            <w:pPr>
              <w:jc w:val="left"/>
            </w:pPr>
            <w:r>
              <w:t>住所</w:t>
            </w:r>
          </w:p>
        </w:tc>
        <w:tc>
          <w:tcPr>
            <w:tcW w:w="3800" w:type="dxa"/>
            <w:vAlign w:val="center"/>
          </w:tcPr>
          <w:p>
            <w:pPr>
              <w:jc w:val="center"/>
            </w:pPr>
            <w:r>
              <w:t>福建省福州市连江县凤城镇丹凤东路30号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福建邵武农村商业银行股份有限公司</w:t>
            </w:r>
          </w:p>
        </w:tc>
        <w:tc>
          <w:tcPr>
            <w:tcW w:w="1200" w:type="dxa"/>
            <w:vAlign w:val="center"/>
          </w:tcPr>
          <w:p>
            <w:pPr>
              <w:jc w:val="left"/>
            </w:pPr>
            <w:r>
              <w:t>住所</w:t>
            </w:r>
          </w:p>
        </w:tc>
        <w:tc>
          <w:tcPr>
            <w:tcW w:w="3800" w:type="dxa"/>
            <w:vAlign w:val="center"/>
          </w:tcPr>
          <w:p>
            <w:pPr>
              <w:jc w:val="center"/>
            </w:pPr>
            <w:r>
              <w:t>邵武市熙春中路248号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福建长乐农村商业银行股份有限公司</w:t>
            </w:r>
          </w:p>
        </w:tc>
        <w:tc>
          <w:tcPr>
            <w:tcW w:w="1200" w:type="dxa"/>
            <w:vAlign w:val="center"/>
          </w:tcPr>
          <w:p>
            <w:pPr>
              <w:jc w:val="left"/>
            </w:pPr>
            <w:r>
              <w:t>住所</w:t>
            </w:r>
          </w:p>
        </w:tc>
        <w:tc>
          <w:tcPr>
            <w:tcW w:w="3800" w:type="dxa"/>
            <w:vAlign w:val="center"/>
          </w:tcPr>
          <w:p>
            <w:pPr>
              <w:jc w:val="center"/>
            </w:pPr>
            <w:r>
              <w:t>福建省福州市长乐市吴航街道朝阳中路193号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福建龙岩农村商业银行股份有限公司</w:t>
            </w:r>
          </w:p>
        </w:tc>
        <w:tc>
          <w:tcPr>
            <w:tcW w:w="1200" w:type="dxa"/>
            <w:vAlign w:val="center"/>
          </w:tcPr>
          <w:p>
            <w:pPr>
              <w:jc w:val="left"/>
            </w:pPr>
            <w:r>
              <w:t>住所</w:t>
            </w:r>
          </w:p>
        </w:tc>
        <w:tc>
          <w:tcPr>
            <w:tcW w:w="3800" w:type="dxa"/>
            <w:vAlign w:val="center"/>
          </w:tcPr>
          <w:p>
            <w:pPr>
              <w:jc w:val="center"/>
            </w:pPr>
            <w:r>
              <w:t>龙岩市新罗区西城西安南路295号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福建龙海农村商业银行股份有限公司</w:t>
            </w:r>
          </w:p>
        </w:tc>
        <w:tc>
          <w:tcPr>
            <w:tcW w:w="1200" w:type="dxa"/>
            <w:vAlign w:val="center"/>
          </w:tcPr>
          <w:p>
            <w:pPr>
              <w:jc w:val="left"/>
            </w:pPr>
            <w:r>
              <w:t>住所</w:t>
            </w:r>
          </w:p>
        </w:tc>
        <w:tc>
          <w:tcPr>
            <w:tcW w:w="3800" w:type="dxa"/>
            <w:vAlign w:val="center"/>
          </w:tcPr>
          <w:p>
            <w:pPr>
              <w:jc w:val="center"/>
            </w:pPr>
            <w:r>
              <w:t>龙海市石码镇港林路17号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福鼎市农村信用合作联社</w:t>
            </w:r>
          </w:p>
        </w:tc>
        <w:tc>
          <w:tcPr>
            <w:tcW w:w="1200" w:type="dxa"/>
            <w:vAlign w:val="center"/>
          </w:tcPr>
          <w:p>
            <w:pPr>
              <w:jc w:val="left"/>
            </w:pPr>
            <w:r>
              <w:t>住所</w:t>
            </w:r>
          </w:p>
        </w:tc>
        <w:tc>
          <w:tcPr>
            <w:tcW w:w="3800" w:type="dxa"/>
            <w:vAlign w:val="center"/>
          </w:tcPr>
          <w:p>
            <w:pPr>
              <w:jc w:val="center"/>
            </w:pPr>
            <w:r>
              <w:t>福鼎市太姥商厦A幢</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罗源县农村信用合作联社</w:t>
            </w:r>
          </w:p>
        </w:tc>
        <w:tc>
          <w:tcPr>
            <w:tcW w:w="1200" w:type="dxa"/>
            <w:vAlign w:val="center"/>
          </w:tcPr>
          <w:p>
            <w:pPr>
              <w:jc w:val="left"/>
            </w:pPr>
            <w:r>
              <w:t>住所</w:t>
            </w:r>
          </w:p>
        </w:tc>
        <w:tc>
          <w:tcPr>
            <w:tcW w:w="3800" w:type="dxa"/>
            <w:vAlign w:val="center"/>
          </w:tcPr>
          <w:p>
            <w:pPr>
              <w:jc w:val="center"/>
            </w:pPr>
            <w:r>
              <w:t>罗源县凤山镇北大路11号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贵阳银行股份有限公司</w:t>
            </w:r>
          </w:p>
        </w:tc>
        <w:tc>
          <w:tcPr>
            <w:tcW w:w="1200" w:type="dxa"/>
            <w:vAlign w:val="center"/>
          </w:tcPr>
          <w:p>
            <w:pPr>
              <w:jc w:val="left"/>
            </w:pPr>
            <w:r>
              <w:t>住所</w:t>
            </w:r>
          </w:p>
        </w:tc>
        <w:tc>
          <w:tcPr>
            <w:tcW w:w="3800" w:type="dxa"/>
            <w:vAlign w:val="center"/>
          </w:tcPr>
          <w:p>
            <w:pPr>
              <w:jc w:val="center"/>
            </w:pPr>
            <w:r>
              <w:t>贵州省贵阳市观山湖区长岭北路中天·会展城B区金融商务区东区1-6栋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辽宁农村商业银行股份有限公司</w:t>
            </w:r>
          </w:p>
        </w:tc>
        <w:tc>
          <w:tcPr>
            <w:tcW w:w="1200" w:type="dxa"/>
            <w:vAlign w:val="center"/>
          </w:tcPr>
          <w:p>
            <w:pPr>
              <w:jc w:val="left"/>
            </w:pPr>
            <w:r>
              <w:t>住所</w:t>
            </w:r>
          </w:p>
        </w:tc>
        <w:tc>
          <w:tcPr>
            <w:tcW w:w="3800" w:type="dxa"/>
            <w:vAlign w:val="center"/>
          </w:tcPr>
          <w:p>
            <w:pPr>
              <w:jc w:val="center"/>
            </w:pPr>
            <w:r>
              <w:t>辽宁省沈阳市浑南区王滨街道王滨沟村</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连城县农村信用合作联社</w:t>
            </w:r>
          </w:p>
        </w:tc>
        <w:tc>
          <w:tcPr>
            <w:tcW w:w="1200" w:type="dxa"/>
            <w:vAlign w:val="center"/>
          </w:tcPr>
          <w:p>
            <w:pPr>
              <w:jc w:val="left"/>
            </w:pPr>
            <w:r>
              <w:t>住所</w:t>
            </w:r>
          </w:p>
        </w:tc>
        <w:tc>
          <w:tcPr>
            <w:tcW w:w="3800" w:type="dxa"/>
            <w:vAlign w:val="center"/>
          </w:tcPr>
          <w:p>
            <w:pPr>
              <w:jc w:val="center"/>
            </w:pPr>
            <w:r>
              <w:t>连城县莲峰镇北大东路64号（百花金城小区1号楼）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郑州银行股份有限公司</w:t>
            </w:r>
          </w:p>
        </w:tc>
        <w:tc>
          <w:tcPr>
            <w:tcW w:w="1200" w:type="dxa"/>
            <w:vAlign w:val="center"/>
          </w:tcPr>
          <w:p>
            <w:pPr>
              <w:jc w:val="left"/>
            </w:pPr>
            <w:r>
              <w:t>住所</w:t>
            </w:r>
          </w:p>
        </w:tc>
        <w:tc>
          <w:tcPr>
            <w:tcW w:w="3800" w:type="dxa"/>
            <w:vAlign w:val="center"/>
          </w:tcPr>
          <w:p>
            <w:pPr>
              <w:jc w:val="center"/>
            </w:pPr>
            <w: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长汀县农村信用合作联社</w:t>
            </w:r>
          </w:p>
        </w:tc>
        <w:tc>
          <w:tcPr>
            <w:tcW w:w="1200" w:type="dxa"/>
            <w:vAlign w:val="center"/>
          </w:tcPr>
          <w:p>
            <w:pPr>
              <w:jc w:val="left"/>
            </w:pPr>
            <w:r>
              <w:t>住所</w:t>
            </w:r>
          </w:p>
        </w:tc>
        <w:tc>
          <w:tcPr>
            <w:tcW w:w="3800" w:type="dxa"/>
            <w:vAlign w:val="center"/>
          </w:tcPr>
          <w:p>
            <w:pPr>
              <w:jc w:val="center"/>
            </w:pPr>
            <w:r>
              <w:t>长汀县汀州镇兆征路148号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闽侯县农村信用合作联社</w:t>
            </w:r>
          </w:p>
        </w:tc>
        <w:tc>
          <w:tcPr>
            <w:tcW w:w="1200" w:type="dxa"/>
            <w:vAlign w:val="center"/>
          </w:tcPr>
          <w:p>
            <w:pPr>
              <w:jc w:val="left"/>
            </w:pPr>
            <w:r>
              <w:t>住所</w:t>
            </w:r>
          </w:p>
        </w:tc>
        <w:tc>
          <w:tcPr>
            <w:tcW w:w="3800" w:type="dxa"/>
            <w:vAlign w:val="center"/>
          </w:tcPr>
          <w:p>
            <w:pPr>
              <w:jc w:val="center"/>
            </w:pPr>
            <w:r>
              <w:t>闽侯县甘蔗镇入城路北侧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闽清县农村信用合作联社</w:t>
            </w:r>
          </w:p>
        </w:tc>
        <w:tc>
          <w:tcPr>
            <w:tcW w:w="1200" w:type="dxa"/>
            <w:vAlign w:val="center"/>
          </w:tcPr>
          <w:p>
            <w:pPr>
              <w:jc w:val="left"/>
            </w:pPr>
            <w:r>
              <w:t>住所</w:t>
            </w:r>
          </w:p>
        </w:tc>
        <w:tc>
          <w:tcPr>
            <w:tcW w:w="3800" w:type="dxa"/>
            <w:vAlign w:val="center"/>
          </w:tcPr>
          <w:p>
            <w:pPr>
              <w:jc w:val="center"/>
            </w:pPr>
            <w:r>
              <w:t>福建省福州市闽清县梅城镇西门街196号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霞浦县农村信用合作联社</w:t>
            </w:r>
          </w:p>
        </w:tc>
        <w:tc>
          <w:tcPr>
            <w:tcW w:w="1200" w:type="dxa"/>
            <w:vAlign w:val="center"/>
          </w:tcPr>
          <w:p>
            <w:pPr>
              <w:jc w:val="left"/>
            </w:pPr>
            <w:r>
              <w:t>住所</w:t>
            </w:r>
          </w:p>
        </w:tc>
        <w:tc>
          <w:tcPr>
            <w:tcW w:w="3800" w:type="dxa"/>
            <w:vAlign w:val="center"/>
          </w:tcPr>
          <w:p>
            <w:pPr>
              <w:jc w:val="center"/>
            </w:pPr>
            <w:r>
              <w:t>霞浦县赤岸大道11号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青海大通农村商业银行股份有限公司</w:t>
            </w:r>
          </w:p>
        </w:tc>
        <w:tc>
          <w:tcPr>
            <w:tcW w:w="1200" w:type="dxa"/>
            <w:vAlign w:val="center"/>
          </w:tcPr>
          <w:p>
            <w:pPr>
              <w:jc w:val="left"/>
            </w:pPr>
            <w:r>
              <w:t>住所</w:t>
            </w:r>
          </w:p>
        </w:tc>
        <w:tc>
          <w:tcPr>
            <w:tcW w:w="3800" w:type="dxa"/>
            <w:vAlign w:val="center"/>
          </w:tcPr>
          <w:p>
            <w:pPr>
              <w:jc w:val="center"/>
            </w:pPr>
            <w:r>
              <w:t>青海省西宁市大通回族土族自治县桥头镇人民路112号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0971-96888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青海西宁农村商业银行股份有限公司</w:t>
            </w:r>
          </w:p>
        </w:tc>
        <w:tc>
          <w:tcPr>
            <w:tcW w:w="1200" w:type="dxa"/>
            <w:vAlign w:val="center"/>
          </w:tcPr>
          <w:p>
            <w:pPr>
              <w:jc w:val="left"/>
            </w:pPr>
            <w:r>
              <w:t>住所</w:t>
            </w:r>
          </w:p>
        </w:tc>
        <w:tc>
          <w:tcPr>
            <w:tcW w:w="3800" w:type="dxa"/>
            <w:vAlign w:val="center"/>
          </w:tcPr>
          <w:p>
            <w:pPr>
              <w:jc w:val="center"/>
            </w:pPr>
            <w:r>
              <w:t>青海省西宁市城西区海晏路81号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0971-96888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青海银行股份有限公司</w:t>
            </w:r>
          </w:p>
        </w:tc>
        <w:tc>
          <w:tcPr>
            <w:tcW w:w="1200" w:type="dxa"/>
            <w:vAlign w:val="center"/>
          </w:tcPr>
          <w:p>
            <w:pPr>
              <w:jc w:val="left"/>
            </w:pPr>
            <w:r>
              <w:t>住所</w:t>
            </w:r>
          </w:p>
        </w:tc>
        <w:tc>
          <w:tcPr>
            <w:tcW w:w="3800" w:type="dxa"/>
            <w:vAlign w:val="center"/>
          </w:tcPr>
          <w:p>
            <w:pPr>
              <w:jc w:val="center"/>
            </w:pPr>
            <w:r>
              <w:t>青海省西宁市城西区西关大街130号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96399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顺昌县农村信用合作联社</w:t>
            </w:r>
          </w:p>
        </w:tc>
        <w:tc>
          <w:tcPr>
            <w:tcW w:w="1200" w:type="dxa"/>
            <w:vAlign w:val="center"/>
          </w:tcPr>
          <w:p>
            <w:pPr>
              <w:jc w:val="left"/>
            </w:pPr>
            <w:r>
              <w:t>住所</w:t>
            </w:r>
          </w:p>
        </w:tc>
        <w:tc>
          <w:tcPr>
            <w:tcW w:w="3800" w:type="dxa"/>
            <w:vAlign w:val="center"/>
          </w:tcPr>
          <w:p>
            <w:pPr>
              <w:jc w:val="center"/>
            </w:pPr>
            <w:r>
              <w:t>顺昌县双溪中山中路53号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龙岩市永定区农村信用合作联社</w:t>
            </w:r>
          </w:p>
        </w:tc>
        <w:tc>
          <w:tcPr>
            <w:tcW w:w="1200" w:type="dxa"/>
            <w:vAlign w:val="center"/>
          </w:tcPr>
          <w:p>
            <w:pPr>
              <w:jc w:val="left"/>
            </w:pPr>
            <w:r>
              <w:t>住所</w:t>
            </w:r>
          </w:p>
        </w:tc>
        <w:tc>
          <w:tcPr>
            <w:tcW w:w="3800" w:type="dxa"/>
            <w:vAlign w:val="center"/>
          </w:tcPr>
          <w:p>
            <w:pPr>
              <w:jc w:val="center"/>
            </w:pPr>
            <w:r>
              <w:t>福建省龙岩市永定区凤城街道沿河北路北198号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0591-96336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eastAsia="宋体" w:cs="宋体"/>
          <w:b/>
          <w:bCs/>
          <w:color w:val="000000"/>
          <w:kern w:val="2"/>
          <w:sz w:val="24"/>
          <w:szCs w:val="24"/>
          <w:highlight w:val="none"/>
          <w:lang w:val="en-US" w:eastAsia="zh-CN" w:bidi="ar-SA"/>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numPr>
          <w:ilvl w:val="0"/>
          <w:numId w:val="20"/>
        </w:numPr>
        <w:spacing w:line="360" w:lineRule="auto"/>
        <w:jc w:val="left"/>
        <w:outlineLvl w:val="2"/>
        <w:rPr>
          <w:rFonts w:hint="eastAsia" w:ascii="宋体" w:hAnsi="宋体" w:cs="宋体"/>
          <w:b/>
          <w:color w:val="000000"/>
          <w:sz w:val="24"/>
          <w:highlight w:val="none"/>
          <w:lang w:val="en-US" w:eastAsia="zh-CN"/>
        </w:rPr>
      </w:pPr>
      <w:r>
        <w:rPr>
          <w:rFonts w:hint="eastAsia" w:ascii="宋体" w:hAnsi="宋体" w:cs="宋体"/>
          <w:b/>
          <w:color w:val="000000"/>
          <w:sz w:val="24"/>
          <w:highlight w:val="none"/>
          <w:lang w:val="en-US" w:eastAsia="zh-CN"/>
        </w:rPr>
        <w:t>关联关系方</w:t>
      </w:r>
    </w:p>
    <w:tbl>
      <w:tblPr>
        <w:tblStyle w:val="8"/>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900"/>
        <w:gridCol w:w="3800"/>
        <w:gridCol w:w="19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900" w:type="dxa"/>
            <w:vAlign w:val="center"/>
          </w:tcPr>
          <w:p>
            <w:pPr>
              <w:jc w:val="center"/>
            </w:pPr>
            <w:r>
              <w:rPr>
                <w:rFonts w:ascii="宋体" w:hAnsi="宋体" w:eastAsia="宋体"/>
                <w:sz w:val="22"/>
              </w:rPr>
              <w:t>关联方类型</w:t>
            </w:r>
          </w:p>
        </w:tc>
        <w:tc>
          <w:tcPr>
            <w:tcW w:w="3800" w:type="dxa"/>
            <w:vAlign w:val="center"/>
          </w:tcPr>
          <w:p>
            <w:pPr>
              <w:jc w:val="center"/>
            </w:pPr>
            <w:r>
              <w:rPr>
                <w:rFonts w:ascii="宋体" w:hAnsi="宋体" w:eastAsia="宋体"/>
                <w:sz w:val="22"/>
              </w:rPr>
              <w:t>关联方机构名称</w:t>
            </w:r>
          </w:p>
        </w:tc>
        <w:tc>
          <w:tcPr>
            <w:tcW w:w="1900" w:type="dxa"/>
            <w:vAlign w:val="center"/>
          </w:tcPr>
          <w:p>
            <w:pPr>
              <w:jc w:val="center"/>
            </w:pPr>
            <w:r>
              <w:rPr>
                <w:rFonts w:ascii="宋体" w:hAnsi="宋体" w:eastAsia="宋体"/>
                <w:sz w:val="22"/>
              </w:rPr>
              <w:t>关联情况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900" w:type="dxa"/>
            <w:vAlign w:val="center"/>
          </w:tcPr>
          <w:p>
            <w:pPr>
              <w:jc w:val="center"/>
            </w:pPr>
            <w:r>
              <w:rPr>
                <w:rFonts w:ascii="宋体" w:hAnsi="宋体" w:eastAsia="宋体"/>
                <w:sz w:val="22"/>
              </w:rPr>
              <w:t>托管机构</w:t>
            </w:r>
          </w:p>
        </w:tc>
        <w:tc>
          <w:tcPr>
            <w:tcW w:w="3800" w:type="dxa"/>
            <w:vAlign w:val="center"/>
          </w:tcPr>
          <w:p>
            <w:pPr>
              <w:jc w:val="center"/>
            </w:pPr>
            <w:r>
              <w:rPr>
                <w:rFonts w:ascii="宋体" w:hAnsi="宋体" w:eastAsia="宋体"/>
                <w:sz w:val="22"/>
              </w:rPr>
              <w:t>杭州银行股份有限公司</w:t>
            </w:r>
          </w:p>
        </w:tc>
        <w:tc>
          <w:tcPr>
            <w:tcW w:w="1900" w:type="dxa"/>
            <w:vAlign w:val="center"/>
          </w:tcPr>
          <w:p>
            <w:pPr>
              <w:jc w:val="center"/>
            </w:pPr>
            <w:r>
              <w:rPr>
                <w:rFonts w:ascii="宋体" w:hAnsi="宋体" w:eastAsia="宋体"/>
                <w:sz w:val="22"/>
              </w:rPr>
              <w:t>控股股东</w:t>
            </w:r>
          </w:p>
        </w:tc>
      </w:tr>
    </w:tbl>
    <w:p>
      <w:pPr>
        <w:spacing w:line="360" w:lineRule="auto"/>
        <w:jc w:val="left"/>
        <w:rPr>
          <w:rFonts w:ascii="宋体" w:hAnsi="宋体" w:cs="宋体"/>
          <w:bCs/>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估值</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w:t>
      </w:r>
      <w:r>
        <w:rPr>
          <w:rFonts w:hint="eastAsia" w:ascii="宋体" w:hAnsi="宋体" w:cs="宋体"/>
          <w:bCs/>
          <w:color w:val="000000"/>
          <w:sz w:val="24"/>
          <w:highlight w:val="none"/>
        </w:rPr>
        <w:t>日，定期由理财管理人和理财托管人核对估值结果并向投资者披露，具体日期以管理人公告为准。</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color w:val="000000"/>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color w:val="000000"/>
          <w:kern w:val="2"/>
          <w:highlight w:val="none"/>
          <w:lang w:eastAsia="zh-CN"/>
        </w:rPr>
      </w:pPr>
      <w:r>
        <w:rPr>
          <w:rFonts w:hint="eastAsia" w:ascii="宋体" w:hAnsi="宋体" w:cs="宋体"/>
          <w:bCs/>
          <w:color w:val="000000"/>
          <w:kern w:val="2"/>
          <w:highlight w:val="none"/>
          <w:lang w:eastAsia="zh-CN"/>
        </w:rPr>
        <w:t>银行存款</w:t>
      </w:r>
      <w:r>
        <w:rPr>
          <w:rFonts w:hint="eastAsia" w:ascii="宋体" w:hAnsi="宋体" w:cs="宋体"/>
          <w:bCs/>
          <w:color w:val="000000"/>
          <w:kern w:val="2"/>
          <w:highlight w:val="none"/>
        </w:rPr>
        <w:t>及回购，以本金列示，按商定利率在实际持有期间内逐日计提利息。</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以收取</w:t>
      </w:r>
      <w:r>
        <w:rPr>
          <w:rFonts w:hint="eastAsia" w:ascii="宋体" w:hAnsi="宋体" w:cs="宋体"/>
          <w:bCs/>
          <w:color w:val="000000"/>
          <w:sz w:val="24"/>
          <w:highlight w:val="none"/>
        </w:rPr>
        <w:t>合同现金流量为目的并持有到期的债券及同业存单类资产，按摊余成本法进行计量。其余债券及同业存单类资产，按市价法估值。市价法不能确定公允价值的，采用估值技术进行估值。</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lang w:val="en-US" w:eastAsia="zh-CN"/>
        </w:rPr>
        <w:t xml:space="preserve">    对于</w:t>
      </w:r>
      <w:r>
        <w:rPr>
          <w:rFonts w:hint="eastAsia" w:ascii="宋体" w:hAnsi="宋体" w:cs="宋体"/>
          <w:bCs/>
          <w:color w:val="000000"/>
          <w:sz w:val="24"/>
          <w:highlight w:val="none"/>
        </w:rPr>
        <w:t>符合监管要求的债权类资产，按照摊余成本法进行计量。其余债权类资产，按市价法估值。市价法不能确定其公允价值的，采用估值技术进行估值。</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rPr>
          <w:rFonts w:hint="eastAsia" w:ascii="宋体" w:hAnsi="宋体"/>
          <w:color w:val="000000"/>
          <w:sz w:val="24"/>
          <w:highlight w:val="none"/>
        </w:rPr>
      </w:pPr>
      <w:r>
        <w:rPr>
          <w:rFonts w:hint="eastAsia" w:ascii="宋体" w:hAnsi="宋体" w:cs="宋体"/>
          <w:bCs/>
          <w:color w:val="000000"/>
          <w:sz w:val="24"/>
          <w:highlight w:val="none"/>
          <w:lang w:val="en-US" w:eastAsia="zh-CN"/>
        </w:rPr>
        <w:t xml:space="preserve">      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 xml:space="preserve">      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 xml:space="preserve">      3）</w:t>
      </w:r>
      <w:r>
        <w:rPr>
          <w:rFonts w:hint="eastAsia" w:ascii="宋体" w:hAnsi="宋体"/>
          <w:color w:val="000000"/>
          <w:sz w:val="24"/>
          <w:highlight w:val="none"/>
        </w:rPr>
        <w:t>首次发行未上市的股票，按发行价格进行估值；</w:t>
      </w:r>
    </w:p>
    <w:p>
      <w:pPr>
        <w:numPr>
          <w:ilvl w:val="0"/>
          <w:numId w:val="0"/>
        </w:num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 xml:space="preserve">      4）</w:t>
      </w:r>
      <w:r>
        <w:rPr>
          <w:rFonts w:hint="eastAsia" w:ascii="宋体" w:hAnsi="宋体"/>
          <w:color w:val="000000"/>
          <w:sz w:val="24"/>
          <w:highlight w:val="none"/>
        </w:rPr>
        <w:t>因持有股票而享有的配股权，采用估值技术确定公允价值。</w:t>
      </w:r>
    </w:p>
    <w:p>
      <w:pPr>
        <w:numPr>
          <w:ilvl w:val="0"/>
          <w:numId w:val="2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color w:val="000000"/>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2"/>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color w:val="000000"/>
          <w:kern w:val="2"/>
          <w:highlight w:val="none"/>
          <w:lang w:eastAsia="zh-CN"/>
        </w:rPr>
        <w:t>按最能反映公允价值的价格估值，</w:t>
      </w:r>
      <w:r>
        <w:rPr>
          <w:rFonts w:hint="eastAsia" w:ascii="宋体" w:hAnsi="宋体" w:cs="宋体"/>
          <w:bCs/>
          <w:color w:val="000000"/>
          <w:kern w:val="2"/>
          <w:highlight w:val="none"/>
        </w:rPr>
        <w:t>并自协商一致日后执行。</w:t>
      </w:r>
    </w:p>
    <w:p>
      <w:pPr>
        <w:pStyle w:val="17"/>
        <w:tabs>
          <w:tab w:val="left" w:pos="0"/>
        </w:tabs>
        <w:spacing w:line="360" w:lineRule="auto"/>
        <w:ind w:firstLine="480" w:firstLineChars="200"/>
        <w:rPr>
          <w:rFonts w:hint="eastAsia" w:ascii="宋体" w:hAnsi="宋体" w:cs="宋体"/>
          <w:bCs/>
          <w:color w:val="000000"/>
          <w:kern w:val="2"/>
          <w:highlight w:val="none"/>
        </w:rPr>
      </w:pPr>
      <w:r>
        <w:rPr>
          <w:rFonts w:hint="eastAsia" w:ascii="宋体" w:hAnsi="宋体" w:cs="宋体"/>
          <w:bCs/>
          <w:color w:val="000000"/>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暂停估值情形</w:t>
      </w:r>
    </w:p>
    <w:p>
      <w:pPr>
        <w:numPr>
          <w:ilvl w:val="0"/>
          <w:numId w:val="2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4"/>
        </w:numPr>
        <w:spacing w:line="360" w:lineRule="auto"/>
        <w:jc w:val="left"/>
        <w:rPr>
          <w:rFonts w:hint="eastAsia" w:ascii="宋体" w:hAnsi="宋体" w:cs="宋体"/>
          <w:b/>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费用及税收</w:t>
      </w:r>
    </w:p>
    <w:p>
      <w:pPr>
        <w:numPr>
          <w:ilvl w:val="0"/>
          <w:numId w:val="25"/>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、托管费、固定管理费、认购费、浮动管理费以及理财计划运作和清算中产生的其他费用等。</w:t>
      </w:r>
    </w:p>
    <w:p>
      <w:pPr>
        <w:numPr>
          <w:ilvl w:val="0"/>
          <w:numId w:val="25"/>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费用计提方法、标准及支付方式</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C份额〗、〖D份额〗、〖E份额〗、〖G份额〗、〖H份额〗、〖I份额〗、〖J份额〗、〖K份额〗、〖M份额〗、〖P份额〗、〖Q份额〗、〖X份额〗、〖ZI份额〗和销售服务费于产品成立日一次性收取的〖F份额〗、〖N份额〗、〖O份额〗、〖R份额〗、〖T份额〗、〖W份额〗、〖Y份额〗、〖Z份额〗、〖ZA份额〗、〖ZC份额〗、〖ZD份额〗、〖ZE份额〗、〖ZF份额〗、〖ZG份额〗、〖ZJ份额〗、〖ZL份额〗。A份额的年化销售服务费率为〖0.30%〗, B份额的年化销售服务费率为〖0.20%〗, C份额的年化销售服务费率为〖0.10%〗, D份额的年化销售服务费率为〖0.15%〗, E份额的年化销售服务费率为〖0.40%〗, F份额的年化销售服务费率为〖0.40%〗, G份额的年化销售服务费率为〖0.05%〗, H份额的年化销售服务费率为〖0.05%〗, I份额的年化销售服务费率为〖0.30%〗, J份额的年化销售服务费率为〖0.05%〗, K份额的年化销售服务费率为〖0.25%〗, M份额的年化销售服务费率为〖0.15%〗, N份额的年化销售服务费率为〖0.20%〗, O份额的年化销售服务费率为〖0.30%〗, P份额的年化销售服务费率为〖0.15%〗, Q份额的年化销售服务费率为〖0.25%〗, R份额的年化销售服务费率为〖0.20%〗, T份额的年化销售服务费率为〖0.20%〗, W份额的年化销售服务费率为〖0.30%〗, X份额的年化销售服务费率为〖0.05%〗, Y份额的年化销售服务费率为〖0.20%〗, Z份额的年化销售服务费率为〖0.10%〗, ZA份额的年化销售服务费率为〖0.15%〗, ZC份额的年化销售服务费率为〖0.15%〗, ZD份额的年化销售服务费率为〖0.05%〗, ZE份额的年化销售服务费率为〖0.25%〗, ZF份额的年化销售服务费率为〖0.25%〗, ZG份额的年化销售服务费率为〖0.20%〗, ZI份额的年化销售服务费率为〖0.01%〗, ZJ份额的年化销售服务费率为〖0.20%〗, ZL份额的年化销售服务费率为〖0.05%〗。两种计算方法如下：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（1）销售服务费按日计提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（2）销售服务费一次性收取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H2＝E2×〖0.40%〗×P2÷365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H2为〖F份额〗应计提的销售服务费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E2为〖F份额〗成立日产品份额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P2为产品投资期限天数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bCs/>
          <w:color w:val="000000"/>
          <w:kern w:val="2"/>
          <w:sz w:val="24"/>
          <w:szCs w:val="24"/>
          <w:highlight w:val="none"/>
          <w:lang w:val="en-US" w:eastAsia="zh-CN"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4"/>
          <w:szCs w:val="24"/>
          <w:highlight w:val="none"/>
          <w:lang w:eastAsia="zh-CN"/>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A份额的年化固定管理费率为〖0.10%〗, B份额的年化固定管理费率为〖0.10%〗, C份额的年化固定管理费率为〖0.10%〗, D份额的年化固定管理费率为〖0.10%〗, E份额的年化固定管理费率为〖0.15%〗, F份额的年化固定管理费率为〖0.10%〗, G份额的年化固定管理费率为〖0.10%〗, H份额的年化固定管理费率为〖0.05%〗, I份额的年化固定管理费率为〖0.10%〗, J份额的年化固定管理费率为〖0.10%〗, K份额的年化固定管理费率为〖0.05%〗, M份额的年化固定管理费率为〖0.00%〗, N份额的年化固定管理费率为〖0.10%〗, O份额的年化固定管理费率为〖0.10%〗, P份额的年化固定管理费率为〖0.00%〗, Q份额的年化固定管理费率为〖0.10%〗, R份额的年化固定管理费率为〖0.10%〗, T份额的年化固定管理费率为〖0.05%〗, W份额的年化固定管理费率为〖0.10%〗, X份额的年化固定管理费率为〖0.10%〗, Y份额的年化固定管理费率为〖0.10%〗, Z份额的年化固定管理费率为〖0.10%〗, ZA份额的年化固定管理费率为〖0.10%〗, ZC份额的年化固定管理费率为〖0.10%〗, ZD份额的年化固定管理费率为〖0.10%〗, ZE份额的年化固定管理费率为〖0.10%〗, ZF份额的年化固定管理费率为〖0.10%〗, ZG份额的年化固定管理费率为〖0.05%〗, ZI份额的年化固定管理费率为〖0.09%〗, ZJ份额的年化固定管理费率为〖0.10%〗, ZL份额的年化固定管理费率为〖0.10%〗, 以〖A份额〗</w:t>
      </w:r>
      <w:r>
        <w:rPr>
          <w:rFonts w:hint="eastAsia" w:ascii="宋体" w:hAnsi="宋体" w:cs="宋体"/>
          <w:bCs/>
          <w:color w:val="000000"/>
          <w:sz w:val="24"/>
          <w:highlight w:val="none"/>
        </w:rPr>
        <w:t>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0.10</w:t>
      </w:r>
      <w:r>
        <w:rPr>
          <w:rFonts w:hint="eastAsia" w:ascii="宋体" w:hAnsi="宋体" w:cs="宋体"/>
          <w:bCs/>
          <w:color w:val="000000"/>
          <w:kern w:val="2"/>
          <w:sz w:val="24"/>
          <w:szCs w:val="24"/>
          <w:highlight w:val="none"/>
          <w:lang w:val="en-US" w:eastAsia="zh-CN" w:bidi="ar-SA"/>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color w:val="000000"/>
          <w:lang w:eastAsia="zh-CN"/>
        </w:rPr>
        <w:t>。</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理财管理人根据理财计划投资情况计算浮动管理费，浮动管理费原则上按估值日计提，到期收取。以〖A份额〗为例，具体计算方法如下：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（1）若本理财计划到期日（提前终止日）的折合年化收益率超过业绩比较基准下限但未达到业绩比较基准上限，则超过业绩比较基准下限的部分管理人收取〖50%〗作为浮动管理费，即：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H为理财计划到期（提前终止）时应收取浮动管理费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NAV0为理财计划成立日之初的单位净值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NAV1为理财计划到期日未扣除浮动管理费前的单位净值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R为理财计划业绩比较基准上限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S为理财计划业绩比较基准下限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N为理财计划份额成立日（含）至估值日（含）的区间天数</w:t>
      </w:r>
    </w:p>
    <w:p>
      <w:pPr>
        <w:spacing w:line="360" w:lineRule="auto"/>
        <w:ind w:firstLine="480" w:firstLineChars="200"/>
        <w:jc w:val="left"/>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color w:val="000000"/>
          <w:kern w:val="2"/>
          <w:sz w:val="24"/>
          <w:szCs w:val="24"/>
          <w:lang w:val="en-US" w:eastAsia="zh-CN" w:bidi="ar"/>
        </w:rPr>
        <w:t>T为理财计划运作期间每单位份额的实际分红金额合计（如有）</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lang w:eastAsia="zh-CN"/>
        </w:rPr>
        <w:t>信息技术服务费</w:t>
      </w:r>
    </w:p>
    <w:p>
      <w:pPr>
        <w:spacing w:line="360" w:lineRule="auto"/>
        <w:ind w:firstLine="480" w:firstLineChars="200"/>
        <w:jc w:val="left"/>
        <w:rPr>
          <w:rFonts w:hint="eastAsia" w:ascii="宋体" w:hAnsi="宋体" w:cs="宋体"/>
          <w:bCs/>
          <w:color w:val="000000"/>
          <w:sz w:val="24"/>
          <w:highlight w:val="none"/>
          <w:lang w:eastAsia="zh-CN"/>
        </w:rPr>
      </w:pPr>
      <w:r>
        <w:rPr>
          <w:rFonts w:hint="eastAsia" w:ascii="宋体" w:hAnsi="宋体" w:cs="宋体"/>
          <w:bCs/>
          <w:color w:val="000000"/>
          <w:sz w:val="24"/>
          <w:highlight w:val="none"/>
          <w:lang w:eastAsia="zh-CN"/>
        </w:rPr>
        <w:t>理财计划财产的年化信息技术服务费为〖</w:t>
      </w:r>
      <w:r>
        <w:rPr>
          <w:rFonts w:hint="eastAsia" w:ascii="宋体" w:hAnsi="宋体" w:cs="宋体"/>
          <w:bCs/>
          <w:color w:val="000000"/>
          <w:sz w:val="24"/>
          <w:highlight w:val="none"/>
          <w:lang w:val="en-US" w:eastAsia="zh-CN"/>
        </w:rPr>
        <w:t>0.002</w:t>
      </w:r>
      <w:r>
        <w:rPr>
          <w:rFonts w:hint="eastAsia" w:ascii="宋体" w:hAnsi="宋体" w:cs="宋体"/>
          <w:bCs/>
          <w:color w:val="000000"/>
          <w:sz w:val="24"/>
          <w:highlight w:val="none"/>
          <w:lang w:eastAsia="zh-CN"/>
        </w:rPr>
        <w:t>%〗，计算方法如下：</w:t>
      </w:r>
    </w:p>
    <w:p>
      <w:pPr>
        <w:spacing w:line="360" w:lineRule="auto"/>
        <w:ind w:firstLine="480" w:firstLineChars="200"/>
        <w:jc w:val="left"/>
        <w:rPr>
          <w:rFonts w:hint="eastAsia" w:ascii="宋体" w:hAnsi="宋体" w:cs="宋体"/>
          <w:bCs/>
          <w:color w:val="000000"/>
          <w:sz w:val="24"/>
          <w:highlight w:val="none"/>
          <w:lang w:eastAsia="zh-CN"/>
        </w:rPr>
      </w:pPr>
      <w:r>
        <w:rPr>
          <w:rFonts w:hint="eastAsia" w:ascii="宋体" w:hAnsi="宋体" w:cs="宋体"/>
          <w:bCs/>
          <w:color w:val="000000"/>
          <w:sz w:val="24"/>
          <w:highlight w:val="none"/>
          <w:lang w:eastAsia="zh-CN"/>
        </w:rPr>
        <w:t>H＝E×〖</w:t>
      </w:r>
      <w:r>
        <w:rPr>
          <w:rFonts w:hint="eastAsia" w:ascii="宋体" w:hAnsi="宋体" w:cs="宋体"/>
          <w:bCs/>
          <w:color w:val="000000"/>
          <w:sz w:val="24"/>
          <w:highlight w:val="none"/>
          <w:lang w:val="en-US" w:eastAsia="zh-CN"/>
        </w:rPr>
        <w:t>0.002</w:t>
      </w:r>
      <w:r>
        <w:rPr>
          <w:rFonts w:hint="eastAsia" w:ascii="宋体" w:hAnsi="宋体" w:cs="宋体"/>
          <w:bCs/>
          <w:color w:val="000000"/>
          <w:sz w:val="24"/>
          <w:highlight w:val="none"/>
          <w:lang w:eastAsia="zh-CN"/>
        </w:rPr>
        <w:t>%〗÷365</w:t>
      </w:r>
    </w:p>
    <w:p>
      <w:pPr>
        <w:spacing w:line="360" w:lineRule="auto"/>
        <w:ind w:firstLine="480" w:firstLineChars="200"/>
        <w:jc w:val="left"/>
        <w:rPr>
          <w:rFonts w:hint="eastAsia" w:ascii="宋体" w:hAnsi="宋体" w:cs="宋体"/>
          <w:bCs/>
          <w:color w:val="000000"/>
          <w:sz w:val="24"/>
          <w:highlight w:val="none"/>
          <w:lang w:eastAsia="zh-CN"/>
        </w:rPr>
      </w:pPr>
      <w:r>
        <w:rPr>
          <w:rFonts w:hint="eastAsia" w:ascii="宋体" w:hAnsi="宋体" w:cs="宋体"/>
          <w:bCs/>
          <w:color w:val="000000"/>
          <w:sz w:val="24"/>
          <w:highlight w:val="none"/>
          <w:lang w:eastAsia="zh-CN"/>
        </w:rPr>
        <w:t>H为每日应计提的信息技术服务费</w:t>
      </w:r>
    </w:p>
    <w:p>
      <w:pPr>
        <w:spacing w:line="360" w:lineRule="auto"/>
        <w:ind w:firstLine="480" w:firstLineChars="200"/>
        <w:jc w:val="left"/>
        <w:rPr>
          <w:rFonts w:hint="eastAsia" w:ascii="宋体" w:hAnsi="宋体" w:cs="宋体"/>
          <w:bCs/>
          <w:color w:val="000000"/>
          <w:sz w:val="24"/>
          <w:highlight w:val="none"/>
          <w:lang w:eastAsia="zh-CN"/>
        </w:rPr>
      </w:pPr>
      <w:r>
        <w:rPr>
          <w:rFonts w:hint="eastAsia" w:ascii="宋体" w:hAnsi="宋体" w:cs="宋体"/>
          <w:bCs/>
          <w:color w:val="000000"/>
          <w:sz w:val="24"/>
          <w:highlight w:val="none"/>
          <w:lang w:eastAsia="zh-CN"/>
        </w:rPr>
        <w:t>E为本理财计划前一日资产净值</w:t>
      </w:r>
    </w:p>
    <w:p>
      <w:pPr>
        <w:spacing w:line="360" w:lineRule="auto"/>
        <w:ind w:firstLine="480" w:firstLineChars="200"/>
        <w:jc w:val="left"/>
        <w:rPr>
          <w:rFonts w:hint="eastAsia" w:ascii="宋体" w:hAnsi="宋体" w:cs="宋体"/>
          <w:bCs/>
          <w:color w:val="000000"/>
          <w:sz w:val="24"/>
          <w:highlight w:val="none"/>
          <w:lang w:eastAsia="zh-CN"/>
        </w:rPr>
      </w:pPr>
      <w:r>
        <w:rPr>
          <w:rFonts w:hint="eastAsia" w:ascii="宋体" w:hAnsi="宋体" w:cs="宋体"/>
          <w:bCs/>
          <w:color w:val="000000"/>
          <w:sz w:val="24"/>
          <w:highlight w:val="none"/>
          <w:lang w:eastAsia="zh-CN"/>
        </w:rPr>
        <w:t>信息技术服务费原则上按日计提。</w:t>
      </w:r>
    </w:p>
    <w:p>
      <w:pPr>
        <w:numPr>
          <w:ilvl w:val="0"/>
          <w:numId w:val="26"/>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财产管理、运用或处分过程中发生的税费。</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代理机构手续费、管理费、财务顾问费、保管费。</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审计费、律师费、公证费等费用。</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27"/>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监管规定的其他费用。</w:t>
      </w:r>
    </w:p>
    <w:p>
      <w:pPr>
        <w:spacing w:line="360" w:lineRule="auto"/>
        <w:jc w:val="left"/>
        <w:rPr>
          <w:rFonts w:ascii="宋体" w:hAnsi="宋体" w:cs="宋体"/>
          <w:bCs/>
          <w:color w:val="000000"/>
          <w:sz w:val="24"/>
          <w:highlight w:val="none"/>
        </w:rPr>
      </w:pPr>
      <w:r>
        <w:rPr>
          <w:rFonts w:hint="eastAsia" w:ascii="宋体" w:hAnsi="宋体" w:cs="宋体"/>
          <w:bCs/>
          <w:color w:val="000000"/>
          <w:sz w:val="24"/>
          <w:highlight w:val="none"/>
        </w:rPr>
        <w:t xml:space="preserve">    </w:t>
      </w: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28"/>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税收说明</w:t>
      </w:r>
    </w:p>
    <w:p>
      <w:pPr>
        <w:numPr>
          <w:ilvl w:val="0"/>
          <w:numId w:val="29"/>
        </w:numPr>
        <w:spacing w:line="360" w:lineRule="auto"/>
        <w:jc w:val="left"/>
        <w:rPr>
          <w:color w:val="000000"/>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29"/>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29"/>
        </w:numPr>
        <w:spacing w:line="360" w:lineRule="auto"/>
        <w:jc w:val="left"/>
        <w:rPr>
          <w:rFonts w:hint="eastAsia" w:ascii="宋体" w:hAnsi="宋体" w:cs="宋体"/>
          <w:b/>
          <w:color w:val="000000"/>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收益计算</w:t>
      </w:r>
    </w:p>
    <w:p>
      <w:pPr>
        <w:numPr>
          <w:ilvl w:val="0"/>
          <w:numId w:val="30"/>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0"/>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示例说明</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1"/>
        </w:numPr>
        <w:suppressLineNumbers w:val="0"/>
        <w:spacing w:before="0" w:beforeAutospacing="0" w:after="0" w:afterAutospacing="0" w:line="360" w:lineRule="auto"/>
        <w:ind w:left="0" w:right="0" w:firstLine="4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后，如理财计划未扣除浮动管理费前的净值为1.0615，此时，(1.0615÷1.0000-1)×365÷362=6.20%&gt;5.00%，即在〖4.00%-5.00%〗部分的投资收益管理人收取</w:t>
      </w:r>
      <w:r>
        <w:rPr>
          <w:rFonts w:hint="eastAsia" w:ascii="宋体" w:hAnsi="宋体" w:cs="宋体"/>
          <w:color w:val="000000"/>
          <w:kern w:val="2"/>
          <w:sz w:val="24"/>
          <w:szCs w:val="24"/>
          <w:lang w:val="en-US" w:eastAsia="zh-CN" w:bidi="ar"/>
        </w:rPr>
        <w:t>50</w:t>
      </w:r>
      <w:r>
        <w:rPr>
          <w:rFonts w:hint="eastAsia" w:ascii="宋体" w:hAnsi="宋体" w:eastAsia="宋体" w:cs="宋体"/>
          <w:color w:val="000000"/>
          <w:kern w:val="2"/>
          <w:sz w:val="24"/>
          <w:szCs w:val="24"/>
          <w:lang w:val="en-US" w:eastAsia="zh-CN" w:bidi="ar"/>
        </w:rPr>
        <w:t>%作为浮动管理费，超过〖5.00%〗部分的投资收益管理人收取</w:t>
      </w:r>
      <w:r>
        <w:rPr>
          <w:rFonts w:hint="eastAsia" w:ascii="宋体" w:hAnsi="宋体" w:cs="宋体"/>
          <w:color w:val="000000"/>
          <w:kern w:val="2"/>
          <w:sz w:val="24"/>
          <w:szCs w:val="24"/>
          <w:lang w:val="en-US" w:eastAsia="zh-CN" w:bidi="ar"/>
        </w:rPr>
        <w:t>80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w:t>
      </w:r>
      <w:r>
        <w:rPr>
          <w:rFonts w:hint="eastAsia" w:ascii="宋体" w:hAnsi="宋体" w:cs="宋体"/>
          <w:color w:val="000000"/>
          <w:kern w:val="2"/>
          <w:sz w:val="24"/>
          <w:szCs w:val="24"/>
          <w:lang w:val="en-US" w:eastAsia="zh-CN" w:bidi="ar"/>
        </w:rPr>
        <w:t>80</w:t>
      </w:r>
      <w:r>
        <w:rPr>
          <w:rFonts w:hint="eastAsia" w:ascii="宋体" w:hAnsi="宋体" w:eastAsia="宋体" w:cs="宋体"/>
          <w:color w:val="000000"/>
          <w:kern w:val="2"/>
          <w:sz w:val="24"/>
          <w:szCs w:val="24"/>
          <w:lang w:val="en-US" w:eastAsia="zh-CN" w:bidi="ar"/>
        </w:rPr>
        <w:t>%+(5.00%-4.00%)×</w:t>
      </w:r>
      <w:r>
        <w:rPr>
          <w:rFonts w:hint="eastAsia" w:ascii="宋体" w:hAnsi="宋体" w:cs="宋体"/>
          <w:color w:val="000000"/>
          <w:kern w:val="2"/>
          <w:sz w:val="24"/>
          <w:szCs w:val="24"/>
          <w:lang w:val="en-US" w:eastAsia="zh-CN"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CN"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77</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w:t>
      </w:r>
      <w:r>
        <w:rPr>
          <w:rFonts w:hint="eastAsia" w:ascii="宋体" w:hAnsi="宋体" w:cs="宋体"/>
          <w:color w:val="000000"/>
          <w:kern w:val="2"/>
          <w:sz w:val="24"/>
          <w:szCs w:val="24"/>
          <w:lang w:val="en-US" w:eastAsia="zh-CN"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77</w:t>
      </w:r>
      <w:r>
        <w:rPr>
          <w:rFonts w:hint="eastAsia" w:ascii="宋体" w:hAnsi="宋体" w:eastAsia="宋体" w:cs="宋体"/>
          <w:color w:val="000000"/>
          <w:kern w:val="2"/>
          <w:sz w:val="24"/>
          <w:szCs w:val="24"/>
          <w:lang w:val="en-US" w:eastAsia="zh-CN" w:bidi="ar"/>
        </w:rPr>
        <w:t>= 4,</w:t>
      </w:r>
      <w:r>
        <w:rPr>
          <w:rFonts w:hint="eastAsia" w:ascii="宋体" w:hAnsi="宋体" w:cs="宋体"/>
          <w:color w:val="000000"/>
          <w:kern w:val="2"/>
          <w:sz w:val="24"/>
          <w:szCs w:val="24"/>
          <w:lang w:val="en-US" w:eastAsia="zh-CN" w:bidi="ar"/>
        </w:rPr>
        <w:t>701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23</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1"/>
        </w:numPr>
        <w:suppressLineNumbers w:val="0"/>
        <w:spacing w:before="0" w:beforeAutospacing="0" w:after="0" w:afterAutospacing="0" w:line="360" w:lineRule="auto"/>
        <w:ind w:left="0" w:right="0" w:firstLine="4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后，如理财计划未扣除浮动管理费前的净值为1.0415，此时，(1.0415÷1.0000-1)×365÷362=4.18%，即投资收益超过〖4.00%〗但未达到〖5.00%〗，则超过〖4.00%〗部分的投资收益管理人收取</w:t>
      </w:r>
      <w:r>
        <w:rPr>
          <w:rFonts w:hint="eastAsia" w:ascii="宋体" w:hAnsi="宋体" w:cs="宋体"/>
          <w:color w:val="000000"/>
          <w:kern w:val="2"/>
          <w:sz w:val="24"/>
          <w:szCs w:val="24"/>
          <w:lang w:val="en-US" w:eastAsia="zh-CN" w:bidi="ar"/>
        </w:rPr>
        <w:t>50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w:t>
      </w:r>
      <w:r>
        <w:rPr>
          <w:rFonts w:hint="eastAsia" w:ascii="宋体" w:hAnsi="宋体" w:cs="宋体"/>
          <w:color w:val="000000"/>
          <w:kern w:val="2"/>
          <w:sz w:val="24"/>
          <w:szCs w:val="24"/>
          <w:lang w:val="en-US" w:eastAsia="zh-CN"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CN" w:bidi="ar"/>
        </w:rPr>
        <w:t>91.44</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100,000.00×（1.0415-1.0000）-</w:t>
      </w:r>
      <w:r>
        <w:rPr>
          <w:rFonts w:hint="eastAsia" w:ascii="宋体" w:hAnsi="宋体" w:cs="宋体"/>
          <w:color w:val="000000"/>
          <w:kern w:val="2"/>
          <w:sz w:val="24"/>
          <w:szCs w:val="24"/>
          <w:lang w:val="en-US" w:eastAsia="zh-CN" w:bidi="ar"/>
        </w:rPr>
        <w:t>91.44</w:t>
      </w:r>
      <w:r>
        <w:rPr>
          <w:rFonts w:hint="eastAsia" w:ascii="宋体" w:hAnsi="宋体" w:eastAsia="宋体" w:cs="宋体"/>
          <w:color w:val="000000"/>
          <w:kern w:val="2"/>
          <w:sz w:val="24"/>
          <w:szCs w:val="24"/>
          <w:lang w:val="en-US" w:eastAsia="zh-CN" w:bidi="ar"/>
        </w:rPr>
        <w:t xml:space="preserve"> =4,0</w:t>
      </w:r>
      <w:r>
        <w:rPr>
          <w:rFonts w:hint="eastAsia" w:ascii="宋体" w:hAnsi="宋体" w:cs="宋体"/>
          <w:color w:val="000000"/>
          <w:kern w:val="2"/>
          <w:sz w:val="24"/>
          <w:szCs w:val="24"/>
          <w:lang w:val="en-US" w:eastAsia="zh-CN" w:bidi="ar"/>
        </w:rPr>
        <w:t>58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CN" w:bidi="ar"/>
        </w:rPr>
        <w:t>56</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1"/>
        </w:numPr>
        <w:suppressLineNumbers w:val="0"/>
        <w:spacing w:before="0" w:beforeAutospacing="0" w:after="0" w:afterAutospacing="0" w:line="360" w:lineRule="auto"/>
        <w:ind w:left="0" w:right="0" w:firstLine="4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后，投资收益率未达到〖业绩比较基准下限〗。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未扣除浮动管理费前的净值为1.0362，此时，(1.0362÷1.0000-1)×365÷362=3.65%&lt;4.00%，即投资收益未达到〖4.00%〗，则投资管理人不收取浮动管理费，投资者最终收益为：100,000.00×(1.0365-1.0000）=3,650.00（元）</w:t>
      </w:r>
    </w:p>
    <w:p>
      <w:pPr>
        <w:keepNext w:val="0"/>
        <w:keepLines w:val="0"/>
        <w:widowControl w:val="0"/>
        <w:numPr>
          <w:ilvl w:val="0"/>
          <w:numId w:val="31"/>
        </w:numPr>
        <w:suppressLineNumbers w:val="0"/>
        <w:spacing w:before="0" w:beforeAutospacing="0" w:after="0" w:afterAutospacing="0" w:line="360" w:lineRule="auto"/>
        <w:ind w:left="0" w:right="0" w:firstLine="4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元，折算份额为100,000.00份，假设份额成立日（含）至估值日（含）的区间天数为362天,业绩比较基准为4.00%-5.00%。假设理财产品到期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后，如理财计划未扣除浮动管理费前的净值为0.9975，则投资管理人不收取浮动管理费，投资者最终收益为：100,000.00×（0.9975-1.0000）=-250.00（元）。</w:t>
      </w:r>
    </w:p>
    <w:p>
      <w:pPr>
        <w:numPr>
          <w:ilvl w:val="0"/>
          <w:numId w:val="30"/>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交易规则</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认购</w:t>
      </w:r>
    </w:p>
    <w:p>
      <w:pPr>
        <w:numPr>
          <w:ilvl w:val="0"/>
          <w:numId w:val="33"/>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3"/>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3"/>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成立</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4"/>
        </w:numPr>
        <w:spacing w:line="360" w:lineRule="auto"/>
        <w:jc w:val="left"/>
        <w:rPr>
          <w:rFonts w:hint="eastAsia" w:ascii="宋体" w:hAnsi="宋体" w:cs="宋体"/>
          <w:b/>
          <w:color w:val="000000"/>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申购及赎回</w:t>
      </w:r>
    </w:p>
    <w:p>
      <w:pPr>
        <w:spacing w:line="360" w:lineRule="auto"/>
        <w:ind w:firstLine="480" w:firstLineChars="200"/>
        <w:jc w:val="left"/>
        <w:rPr>
          <w:rFonts w:ascii="宋体" w:hAnsi="宋体" w:cs="宋体"/>
          <w:b/>
          <w:color w:val="000000"/>
          <w:sz w:val="24"/>
          <w:highlight w:val="none"/>
        </w:rPr>
      </w:pPr>
      <w:r>
        <w:rPr>
          <w:rFonts w:hint="eastAsia" w:ascii="宋体" w:hAnsi="宋体" w:cs="宋体"/>
          <w:bCs/>
          <w:color w:val="000000"/>
          <w:sz w:val="24"/>
          <w:highlight w:val="none"/>
        </w:rPr>
        <w:t>本理财计划封闭式运作，存续期间不开放申购和赎回。</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到期清算</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color w:val="000000"/>
          <w:kern w:val="2"/>
          <w:sz w:val="24"/>
          <w:szCs w:val="24"/>
          <w:lang w:val="en-US" w:eastAsia="zh-CN" w:bidi="ar"/>
        </w:rPr>
        <w:t>〖1〗个〖工作日〗</w:t>
      </w:r>
      <w:r>
        <w:rPr>
          <w:rFonts w:hint="eastAsia" w:ascii="宋体" w:hAnsi="宋体" w:cs="宋体"/>
          <w:bCs/>
          <w:color w:val="000000"/>
          <w:sz w:val="24"/>
          <w:highlight w:val="none"/>
        </w:rPr>
        <w:t>、最晚</w:t>
      </w:r>
      <w:r>
        <w:rPr>
          <w:rFonts w:hint="eastAsia" w:ascii="宋体" w:hAnsi="宋体" w:eastAsia="宋体" w:cs="宋体"/>
          <w:color w:val="000000"/>
          <w:kern w:val="2"/>
          <w:sz w:val="24"/>
          <w:szCs w:val="24"/>
          <w:lang w:val="en-US" w:eastAsia="zh-CN" w:bidi="ar"/>
        </w:rPr>
        <w:t>〖3〗个〖工作日〗</w:t>
      </w:r>
      <w:r>
        <w:rPr>
          <w:rFonts w:hint="eastAsia" w:ascii="宋体" w:hAnsi="宋体" w:cs="宋体"/>
          <w:bCs/>
          <w:color w:val="000000"/>
          <w:sz w:val="24"/>
          <w:highlight w:val="none"/>
        </w:rPr>
        <w:t>内（遇节假日顺延）将资金按规定的要求划入投资者授权指定的理财账户。（具体以销售机构规定为准）</w:t>
      </w:r>
    </w:p>
    <w:p>
      <w:pPr>
        <w:keepNext w:val="0"/>
        <w:keepLines w:val="0"/>
        <w:widowControl w:val="0"/>
        <w:suppressLineNumbers w:val="0"/>
        <w:spacing w:before="0" w:beforeAutospacing="0" w:after="0" w:afterAutospacing="0" w:line="360" w:lineRule="auto"/>
        <w:ind w:left="0" w:leftChars="0" w:right="0" w:firstLine="480" w:firstLineChars="200"/>
        <w:jc w:val="both"/>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lang w:eastAsia="zh-CN"/>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bCs/>
          <w:color w:val="000000"/>
          <w:sz w:val="24"/>
          <w:highlight w:val="none"/>
        </w:rPr>
        <w:t>2〗个〖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因不可抗力因素导致本理财计划必须提前终止的。</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理财计划的投资策略已不适合当前的市场环境的。</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lang w:eastAsia="zh-CN"/>
        </w:rPr>
        <w:t>融资人行使提前到期或还款权利的。</w:t>
      </w:r>
    </w:p>
    <w:p>
      <w:pPr>
        <w:numPr>
          <w:ilvl w:val="0"/>
          <w:numId w:val="35"/>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管理人认为应该提前终止的其他情形。</w:t>
      </w:r>
    </w:p>
    <w:p>
      <w:pPr>
        <w:numPr>
          <w:ilvl w:val="0"/>
          <w:numId w:val="3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6"/>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36"/>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36"/>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36"/>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管理人与托管人、销售机构协商一致决定延期。</w:t>
      </w:r>
    </w:p>
    <w:p>
      <w:pPr>
        <w:numPr>
          <w:ilvl w:val="0"/>
          <w:numId w:val="36"/>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信息披露</w:t>
      </w:r>
    </w:p>
    <w:p>
      <w:pPr>
        <w:numPr>
          <w:ilvl w:val="0"/>
          <w:numId w:val="37"/>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披露内容及时间</w:t>
      </w:r>
    </w:p>
    <w:p>
      <w:pPr>
        <w:numPr>
          <w:ilvl w:val="0"/>
          <w:numId w:val="38"/>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认购信息披露</w:t>
      </w:r>
    </w:p>
    <w:p>
      <w:pPr>
        <w:numPr>
          <w:ilvl w:val="0"/>
          <w:numId w:val="39"/>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39"/>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38"/>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运作信息披露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0"/>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定期报告：管理人应当在每季度结束之日起15个工作日内、每年8月31日前、每年4月30日前编制完成理财计划的季度、半年和年度报告等运行报告，披露投资状况、投资表现、风险状况等信息，包括但不限于本理财计划投资的资产种类、投资比例、投资组合的流动性风险分析。如本理财计划成立不足90个工作日的，管理人可不编制当期的季度、半年和年度报告等运行报告。理财计划超过90个自然日的应当在存续期内至少披露一次定期报告。</w:t>
      </w:r>
    </w:p>
    <w:p>
      <w:pPr>
        <w:numPr>
          <w:ilvl w:val="0"/>
          <w:numId w:val="40"/>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8"/>
        </w:numPr>
        <w:spacing w:line="360" w:lineRule="auto"/>
        <w:jc w:val="left"/>
        <w:rPr>
          <w:rFonts w:hint="eastAsia" w:ascii="宋体" w:hAnsi="宋体" w:cs="宋体"/>
          <w:b/>
          <w:color w:val="000000"/>
          <w:sz w:val="24"/>
          <w:highlight w:val="none"/>
        </w:rPr>
      </w:pPr>
      <w:r>
        <w:rPr>
          <w:rFonts w:hint="eastAsia" w:ascii="宋体" w:hAnsi="宋体" w:cs="宋体"/>
          <w:b/>
          <w:color w:val="000000"/>
          <w:sz w:val="24"/>
          <w:highlight w:val="none"/>
        </w:rPr>
        <w:t>临时信息披露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rPr>
        <w:t>应在发生重大诉讼等可能对理财计划投资者或者理财计划收益产生重大事项的事件后2个工作日内发布重大事项公告。</w:t>
      </w:r>
    </w:p>
    <w:p>
      <w:pPr>
        <w:numPr>
          <w:ilvl w:val="0"/>
          <w:numId w:val="41"/>
        </w:num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临时公告：管理人应当及时披露除重大事项以外的其他信息，包括但不限于理财计划终止、更换理财计划管理人和托管人、涉及费率相关事项的变动、理财计划延期兑付等。</w:t>
      </w:r>
    </w:p>
    <w:p>
      <w:pPr>
        <w:numPr>
          <w:ilvl w:val="0"/>
          <w:numId w:val="37"/>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color w:val="000000"/>
          <w:sz w:val="24"/>
          <w:highlight w:val="none"/>
        </w:rPr>
      </w:pPr>
    </w:p>
    <w:p>
      <w:pPr>
        <w:numPr>
          <w:ilvl w:val="0"/>
          <w:numId w:val="18"/>
        </w:numPr>
        <w:spacing w:line="360" w:lineRule="auto"/>
        <w:jc w:val="left"/>
        <w:outlineLvl w:val="1"/>
        <w:rPr>
          <w:rFonts w:hint="eastAsia" w:ascii="宋体" w:hAnsi="宋体" w:cs="宋体"/>
          <w:b/>
          <w:color w:val="000000"/>
          <w:sz w:val="24"/>
          <w:highlight w:val="none"/>
        </w:rPr>
      </w:pPr>
      <w:r>
        <w:rPr>
          <w:rFonts w:hint="eastAsia" w:ascii="宋体" w:hAnsi="宋体" w:cs="宋体"/>
          <w:b/>
          <w:color w:val="000000"/>
          <w:sz w:val="24"/>
          <w:highlight w:val="none"/>
        </w:rPr>
        <w:t>其他</w:t>
      </w:r>
    </w:p>
    <w:p>
      <w:pPr>
        <w:numPr>
          <w:ilvl w:val="0"/>
          <w:numId w:val="4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2"/>
        </w:numPr>
        <w:tabs>
          <w:tab w:val="left" w:pos="6090"/>
        </w:tabs>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color w:val="000000"/>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4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42"/>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4">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5">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6">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7">
    <w:nsid w:val="D8D75090"/>
    <w:multiLevelType w:val="singleLevel"/>
    <w:tmpl w:val="D8D75090"/>
    <w:lvl w:ilvl="0" w:tentative="0">
      <w:start w:val="1"/>
      <w:numFmt w:val="decimal"/>
      <w:suff w:val="nothing"/>
      <w:lvlText w:val="（%1）"/>
      <w:lvlJc w:val="left"/>
      <w:rPr>
        <w:rFonts w:hint="default"/>
        <w:b w:val="0"/>
        <w:bCs w:val="0"/>
      </w:rPr>
    </w:lvl>
  </w:abstractNum>
  <w:abstractNum w:abstractNumId="18">
    <w:nsid w:val="DD2251DF"/>
    <w:multiLevelType w:val="singleLevel"/>
    <w:tmpl w:val="DD2251DF"/>
    <w:lvl w:ilvl="0" w:tentative="0">
      <w:start w:val="1"/>
      <w:numFmt w:val="decimal"/>
      <w:suff w:val="nothing"/>
      <w:lvlText w:val="（%1）"/>
      <w:lvlJc w:val="left"/>
      <w:rPr>
        <w:rFonts w:hint="default"/>
        <w:b w:val="0"/>
        <w:bCs w:val="0"/>
      </w:rPr>
    </w:lvl>
  </w:abstractNum>
  <w:abstractNum w:abstractNumId="19">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0">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1">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2">
    <w:nsid w:val="F574F5B6"/>
    <w:multiLevelType w:val="singleLevel"/>
    <w:tmpl w:val="F574F5B6"/>
    <w:lvl w:ilvl="0" w:tentative="0">
      <w:start w:val="1"/>
      <w:numFmt w:val="decimal"/>
      <w:suff w:val="nothing"/>
      <w:lvlText w:val="（%1）"/>
      <w:lvlJc w:val="left"/>
    </w:lvl>
  </w:abstractNum>
  <w:abstractNum w:abstractNumId="23">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4">
    <w:nsid w:val="FE7FCF71"/>
    <w:multiLevelType w:val="multilevel"/>
    <w:tmpl w:val="FE7FCF7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5">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6">
    <w:nsid w:val="084A6179"/>
    <w:multiLevelType w:val="singleLevel"/>
    <w:tmpl w:val="084A6179"/>
    <w:lvl w:ilvl="0" w:tentative="0">
      <w:start w:val="1"/>
      <w:numFmt w:val="decimal"/>
      <w:suff w:val="nothing"/>
      <w:lvlText w:val="（%1）"/>
      <w:lvlJc w:val="left"/>
      <w:rPr>
        <w:rFonts w:hint="default"/>
        <w:highlight w:val="none"/>
      </w:rPr>
    </w:lvl>
  </w:abstractNum>
  <w:abstractNum w:abstractNumId="27">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8">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29">
    <w:nsid w:val="167B0BB4"/>
    <w:multiLevelType w:val="singleLevel"/>
    <w:tmpl w:val="167B0BB4"/>
    <w:lvl w:ilvl="0" w:tentative="0">
      <w:start w:val="1"/>
      <w:numFmt w:val="decimal"/>
      <w:suff w:val="nothing"/>
      <w:lvlText w:val="（%1）"/>
      <w:lvlJc w:val="left"/>
    </w:lvl>
  </w:abstractNum>
  <w:abstractNum w:abstractNumId="30">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1">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3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0">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1">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8"/>
  </w:num>
  <w:num w:numId="2">
    <w:abstractNumId w:val="35"/>
  </w:num>
  <w:num w:numId="3">
    <w:abstractNumId w:val="23"/>
  </w:num>
  <w:num w:numId="4">
    <w:abstractNumId w:val="21"/>
  </w:num>
  <w:num w:numId="5">
    <w:abstractNumId w:val="27"/>
  </w:num>
  <w:num w:numId="6">
    <w:abstractNumId w:val="20"/>
  </w:num>
  <w:num w:numId="7">
    <w:abstractNumId w:val="15"/>
  </w:num>
  <w:num w:numId="8">
    <w:abstractNumId w:val="10"/>
  </w:num>
  <w:num w:numId="9">
    <w:abstractNumId w:val="7"/>
  </w:num>
  <w:num w:numId="10">
    <w:abstractNumId w:val="8"/>
  </w:num>
  <w:num w:numId="11">
    <w:abstractNumId w:val="6"/>
  </w:num>
  <w:num w:numId="12">
    <w:abstractNumId w:val="40"/>
  </w:num>
  <w:num w:numId="13">
    <w:abstractNumId w:val="4"/>
  </w:num>
  <w:num w:numId="14">
    <w:abstractNumId w:val="0"/>
  </w:num>
  <w:num w:numId="15">
    <w:abstractNumId w:val="34"/>
  </w:num>
  <w:num w:numId="16">
    <w:abstractNumId w:val="22"/>
  </w:num>
  <w:num w:numId="17">
    <w:abstractNumId w:val="14"/>
  </w:num>
  <w:num w:numId="18">
    <w:abstractNumId w:val="31"/>
  </w:num>
  <w:num w:numId="19">
    <w:abstractNumId w:val="16"/>
  </w:num>
  <w:num w:numId="20">
    <w:abstractNumId w:val="5"/>
  </w:num>
  <w:num w:numId="21">
    <w:abstractNumId w:val="37"/>
  </w:num>
  <w:num w:numId="22">
    <w:abstractNumId w:val="3"/>
  </w:num>
  <w:num w:numId="23">
    <w:abstractNumId w:val="26"/>
  </w:num>
  <w:num w:numId="24">
    <w:abstractNumId w:val="30"/>
  </w:num>
  <w:num w:numId="25">
    <w:abstractNumId w:val="41"/>
  </w:num>
  <w:num w:numId="26">
    <w:abstractNumId w:val="25"/>
  </w:num>
  <w:num w:numId="27">
    <w:abstractNumId w:val="18"/>
  </w:num>
  <w:num w:numId="28">
    <w:abstractNumId w:val="33"/>
  </w:num>
  <w:num w:numId="29">
    <w:abstractNumId w:val="1"/>
  </w:num>
  <w:num w:numId="30">
    <w:abstractNumId w:val="19"/>
  </w:num>
  <w:num w:numId="31">
    <w:abstractNumId w:val="24"/>
  </w:num>
  <w:num w:numId="32">
    <w:abstractNumId w:val="36"/>
  </w:num>
  <w:num w:numId="33">
    <w:abstractNumId w:val="28"/>
  </w:num>
  <w:num w:numId="34">
    <w:abstractNumId w:val="13"/>
  </w:num>
  <w:num w:numId="35">
    <w:abstractNumId w:val="39"/>
  </w:num>
  <w:num w:numId="36">
    <w:abstractNumId w:val="11"/>
  </w:num>
  <w:num w:numId="37">
    <w:abstractNumId w:val="9"/>
  </w:num>
  <w:num w:numId="38">
    <w:abstractNumId w:val="12"/>
  </w:num>
  <w:num w:numId="39">
    <w:abstractNumId w:val="29"/>
  </w:num>
  <w:num w:numId="40">
    <w:abstractNumId w:val="17"/>
  </w:num>
  <w:num w:numId="41">
    <w:abstractNumId w:val="2"/>
  </w:num>
  <w:num w:numId="4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956C5E"/>
    <w:rsid w:val="0226402A"/>
    <w:rsid w:val="02266A4E"/>
    <w:rsid w:val="0233240B"/>
    <w:rsid w:val="03AE1ACD"/>
    <w:rsid w:val="05305490"/>
    <w:rsid w:val="05D650B2"/>
    <w:rsid w:val="05DE6E8D"/>
    <w:rsid w:val="05E42C31"/>
    <w:rsid w:val="07506656"/>
    <w:rsid w:val="089F06F0"/>
    <w:rsid w:val="08EC59C1"/>
    <w:rsid w:val="09012D55"/>
    <w:rsid w:val="0937084A"/>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6841503"/>
    <w:rsid w:val="178D1D7E"/>
    <w:rsid w:val="17BB08DA"/>
    <w:rsid w:val="17EA7887"/>
    <w:rsid w:val="18321B09"/>
    <w:rsid w:val="18616AA2"/>
    <w:rsid w:val="191F0F43"/>
    <w:rsid w:val="19E235E1"/>
    <w:rsid w:val="1A7E4CCF"/>
    <w:rsid w:val="1BCD72C9"/>
    <w:rsid w:val="1BFB7C22"/>
    <w:rsid w:val="1C09008C"/>
    <w:rsid w:val="1D0817CE"/>
    <w:rsid w:val="1E635082"/>
    <w:rsid w:val="1F0F7AA5"/>
    <w:rsid w:val="1F7FC040"/>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7DD240"/>
    <w:rsid w:val="28F73A05"/>
    <w:rsid w:val="29E223F6"/>
    <w:rsid w:val="2A7A79DE"/>
    <w:rsid w:val="2B5C1F0C"/>
    <w:rsid w:val="2BD054E2"/>
    <w:rsid w:val="2EAD6691"/>
    <w:rsid w:val="2F0D25D9"/>
    <w:rsid w:val="2FD7FF98"/>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7F23197"/>
    <w:rsid w:val="394B6E53"/>
    <w:rsid w:val="3B1C12F3"/>
    <w:rsid w:val="3BD53B5C"/>
    <w:rsid w:val="3C3B3FC3"/>
    <w:rsid w:val="3CC57F13"/>
    <w:rsid w:val="3D4C282D"/>
    <w:rsid w:val="3D970F4E"/>
    <w:rsid w:val="3DCFC59A"/>
    <w:rsid w:val="3DE106C6"/>
    <w:rsid w:val="3E540971"/>
    <w:rsid w:val="3E786275"/>
    <w:rsid w:val="3E931F0D"/>
    <w:rsid w:val="3F7E2660"/>
    <w:rsid w:val="3FA31FDD"/>
    <w:rsid w:val="3FBF6D08"/>
    <w:rsid w:val="3FED5371"/>
    <w:rsid w:val="3FFA261A"/>
    <w:rsid w:val="40A430BB"/>
    <w:rsid w:val="40E135DA"/>
    <w:rsid w:val="40E647C3"/>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5FFB426B"/>
    <w:rsid w:val="5FFFB2B7"/>
    <w:rsid w:val="606677EA"/>
    <w:rsid w:val="60F34C3C"/>
    <w:rsid w:val="617668BD"/>
    <w:rsid w:val="61D01645"/>
    <w:rsid w:val="63723353"/>
    <w:rsid w:val="63FB4702"/>
    <w:rsid w:val="64164D78"/>
    <w:rsid w:val="64993141"/>
    <w:rsid w:val="659F27EB"/>
    <w:rsid w:val="659F600E"/>
    <w:rsid w:val="65FB5398"/>
    <w:rsid w:val="67CE6661"/>
    <w:rsid w:val="680A5A06"/>
    <w:rsid w:val="68B9403E"/>
    <w:rsid w:val="68D511B9"/>
    <w:rsid w:val="68FA6041"/>
    <w:rsid w:val="69827CEE"/>
    <w:rsid w:val="6AC807EC"/>
    <w:rsid w:val="6BDE71F2"/>
    <w:rsid w:val="6C9577EB"/>
    <w:rsid w:val="6CBA3A99"/>
    <w:rsid w:val="6D3A1203"/>
    <w:rsid w:val="6DB5A206"/>
    <w:rsid w:val="6DFE35A5"/>
    <w:rsid w:val="6E9C369D"/>
    <w:rsid w:val="6EF41B11"/>
    <w:rsid w:val="6EF79B63"/>
    <w:rsid w:val="6FF79273"/>
    <w:rsid w:val="702573F3"/>
    <w:rsid w:val="70B57531"/>
    <w:rsid w:val="70FA499F"/>
    <w:rsid w:val="730C182D"/>
    <w:rsid w:val="7377A39E"/>
    <w:rsid w:val="73F5BB6D"/>
    <w:rsid w:val="73FC9A3F"/>
    <w:rsid w:val="751974A1"/>
    <w:rsid w:val="758B30E4"/>
    <w:rsid w:val="75F42331"/>
    <w:rsid w:val="75FF1C0A"/>
    <w:rsid w:val="761F7C3C"/>
    <w:rsid w:val="76683D2A"/>
    <w:rsid w:val="76C62D9E"/>
    <w:rsid w:val="76DF52A4"/>
    <w:rsid w:val="77FA47C2"/>
    <w:rsid w:val="78244617"/>
    <w:rsid w:val="7A923507"/>
    <w:rsid w:val="7AAFF850"/>
    <w:rsid w:val="7ACB640D"/>
    <w:rsid w:val="7BFF1A29"/>
    <w:rsid w:val="7C044D89"/>
    <w:rsid w:val="7C63442B"/>
    <w:rsid w:val="7D3AA22F"/>
    <w:rsid w:val="7D9F2F3F"/>
    <w:rsid w:val="7DC783FB"/>
    <w:rsid w:val="7DE35ECA"/>
    <w:rsid w:val="7DF186E2"/>
    <w:rsid w:val="7E1A0C5A"/>
    <w:rsid w:val="7E3212D3"/>
    <w:rsid w:val="7E7F7BE9"/>
    <w:rsid w:val="7EFF9EC8"/>
    <w:rsid w:val="7EFFF434"/>
    <w:rsid w:val="7F5F887D"/>
    <w:rsid w:val="7F9FC635"/>
    <w:rsid w:val="7FCC7D05"/>
    <w:rsid w:val="7FEF42B8"/>
    <w:rsid w:val="7FEFE414"/>
    <w:rsid w:val="7FF2B36D"/>
    <w:rsid w:val="7FF39E9A"/>
    <w:rsid w:val="7FFB28EC"/>
    <w:rsid w:val="7FFF0685"/>
    <w:rsid w:val="7FFF94DC"/>
    <w:rsid w:val="84392690"/>
    <w:rsid w:val="9FD01BC3"/>
    <w:rsid w:val="9FDF7357"/>
    <w:rsid w:val="B3FE25BF"/>
    <w:rsid w:val="BACFB3F4"/>
    <w:rsid w:val="BE6E0F8F"/>
    <w:rsid w:val="BF301657"/>
    <w:rsid w:val="BFA721BB"/>
    <w:rsid w:val="BFDF2F19"/>
    <w:rsid w:val="C679D4D5"/>
    <w:rsid w:val="C7EFAC2C"/>
    <w:rsid w:val="CC4512C4"/>
    <w:rsid w:val="CEEAB172"/>
    <w:rsid w:val="CFBD1285"/>
    <w:rsid w:val="D1EFF677"/>
    <w:rsid w:val="D3FFF2E3"/>
    <w:rsid w:val="D4B948F0"/>
    <w:rsid w:val="D76FBC03"/>
    <w:rsid w:val="D7BE90C3"/>
    <w:rsid w:val="DFFBF81E"/>
    <w:rsid w:val="E2F2C526"/>
    <w:rsid w:val="E4FFD666"/>
    <w:rsid w:val="E5D7501E"/>
    <w:rsid w:val="E7F7B356"/>
    <w:rsid w:val="E9F39395"/>
    <w:rsid w:val="E9FFA600"/>
    <w:rsid w:val="EBF5BECB"/>
    <w:rsid w:val="ED6EA22C"/>
    <w:rsid w:val="EE2FCBAA"/>
    <w:rsid w:val="EEFF0FFF"/>
    <w:rsid w:val="F3F331A4"/>
    <w:rsid w:val="F3FF81F7"/>
    <w:rsid w:val="F47FEAE3"/>
    <w:rsid w:val="F5DBF1C3"/>
    <w:rsid w:val="F5E5AD98"/>
    <w:rsid w:val="F6D74091"/>
    <w:rsid w:val="F7EF100D"/>
    <w:rsid w:val="F7FE62B6"/>
    <w:rsid w:val="F8ADBDD7"/>
    <w:rsid w:val="FA543BA3"/>
    <w:rsid w:val="FD7F9463"/>
    <w:rsid w:val="FDFD4F0C"/>
    <w:rsid w:val="FEAED78B"/>
    <w:rsid w:val="FF3E6B15"/>
    <w:rsid w:val="FF5D960F"/>
    <w:rsid w:val="FF7C7432"/>
    <w:rsid w:val="FFBE48B5"/>
    <w:rsid w:val="FFFE69D4"/>
    <w:rsid w:val="FFFFAA71"/>
    <w:rsid w:val="FFFFE02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uiPriority w:val="0"/>
    <w:rPr>
      <w:rFonts w:ascii="Calibri" w:hAnsi="Calibri" w:cs="黑体"/>
      <w:kern w:val="2"/>
      <w:sz w:val="18"/>
      <w:szCs w:val="18"/>
    </w:rPr>
  </w:style>
  <w:style w:type="character" w:customStyle="1" w:styleId="15">
    <w:name w:val="批注主题 字符"/>
    <w:link w:val="7"/>
    <w:uiPriority w:val="0"/>
    <w:rPr>
      <w:rFonts w:ascii="Calibri" w:hAnsi="Calibri" w:cs="黑体"/>
      <w:b/>
      <w:bCs/>
      <w:kern w:val="2"/>
      <w:sz w:val="21"/>
      <w:szCs w:val="24"/>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73</Pages>
  <Words>49474</Words>
  <Characters>56412</Characters>
  <Lines>1</Lines>
  <Paragraphs>1</Paragraphs>
  <TotalTime>0</TotalTime>
  <ScaleCrop>false</ScaleCrop>
  <LinksUpToDate>false</LinksUpToDate>
  <CharactersWithSpaces>56949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2014-11-10T04:08:00Z</dcterms:created>
  <dc:creator>Administrator</dc:creator>
  <cp:lastModifiedBy>hccb</cp:lastModifiedBy>
  <dcterms:modified xsi:type="dcterms:W3CDTF">2026-09-17T06:34:08Z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D5BB84ACB92B67C0B12B9E6A65F9A4D4_43</vt:lpwstr>
  </property>
  <property fmtid="{D5CDD505-2E9C-101B-9397-08002B2CF9AE}" pid="3" name="KSOProductBuildVer">
    <vt:lpwstr>2052-11.8.2.8411</vt:lpwstr>
  </property>
</Properties>
</file>