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pageBreakBefore/>
        <w:widowControl/>
        <w:spacing w:line="120" w:lineRule="auto"/>
        <w:jc w:val="center"/>
        <w:outlineLvl w:val="0"/>
        <w:rPr>
          <w:rFonts w:hint="eastAsia" w:ascii="Calibri" w:hAnsi="Calibri" w:eastAsia="宋体" w:cs="黑体"/>
          <w:b/>
          <w:bCs w:val="0"/>
          <w:sz w:val="44"/>
          <w:szCs w:val="44"/>
          <w:highlight w:val="none"/>
        </w:rPr>
      </w:pPr>
      <w:bookmarkStart w:id="0" w:name="_GoBack"/>
      <w:bookmarkEnd w:id="0"/>
      <w:r>
        <w:rPr>
          <w:rFonts w:hint="eastAsia" w:ascii="Calibri" w:hAnsi="Calibri" w:eastAsia="宋体" w:cs="黑体"/>
          <w:b/>
          <w:bCs w:val="0"/>
          <w:color w:val="000000"/>
          <w:sz w:val="44"/>
          <w:szCs w:val="44"/>
          <w:highlight w:val="none"/>
          <w:lang w:val="en-US" w:eastAsia="zh-CN"/>
        </w:rPr>
        <w:t>杭银理财理财计划</w:t>
      </w:r>
      <w:r>
        <w:rPr>
          <w:rFonts w:hint="eastAsia" w:ascii="Calibri" w:hAnsi="Calibri" w:eastAsia="宋体" w:cs="黑体"/>
          <w:b/>
          <w:bCs w:val="0"/>
          <w:color w:val="000000"/>
          <w:sz w:val="44"/>
          <w:szCs w:val="44"/>
          <w:highlight w:val="none"/>
        </w:rPr>
        <w:t>销售协议书</w:t>
      </w:r>
    </w:p>
    <w:p>
      <w:pPr>
        <w:jc w:val="center"/>
        <w:outlineLvl w:val="1"/>
        <w:rPr>
          <w:rFonts w:hint="eastAsia" w:ascii="宋体" w:hAnsi="宋体" w:eastAsia="宋体" w:cs="宋体"/>
          <w:b w:val="0"/>
          <w:bCs w:val="0"/>
          <w:sz w:val="28"/>
          <w:szCs w:val="28"/>
          <w:highlight w:val="none"/>
        </w:rPr>
      </w:pPr>
      <w:r>
        <w:rPr>
          <w:rFonts w:hint="eastAsia" w:ascii="宋体" w:hAnsi="宋体" w:eastAsia="宋体" w:cs="宋体"/>
          <w:color w:val="000000"/>
          <w:sz w:val="28"/>
          <w:szCs w:val="28"/>
          <w:highlight w:val="none"/>
        </w:rPr>
        <w:t>（</w:t>
      </w:r>
      <w:r>
        <w:rPr>
          <w:rFonts w:hint="eastAsia" w:ascii="宋体" w:hAnsi="宋体" w:eastAsia="宋体" w:cs="宋体"/>
          <w:color w:val="000000"/>
          <w:sz w:val="28"/>
          <w:szCs w:val="28"/>
          <w:highlight w:val="none"/>
          <w:lang w:eastAsia="zh-CN"/>
        </w:rPr>
        <w:t>202602</w:t>
      </w:r>
      <w:r>
        <w:rPr>
          <w:rFonts w:hint="eastAsia" w:ascii="宋体" w:hAnsi="宋体" w:eastAsia="宋体" w:cs="宋体"/>
          <w:color w:val="000000"/>
          <w:sz w:val="28"/>
          <w:szCs w:val="28"/>
          <w:highlight w:val="none"/>
        </w:rPr>
        <w:t>版）</w:t>
      </w:r>
    </w:p>
    <w:p>
      <w:pPr>
        <w:spacing w:line="360" w:lineRule="auto"/>
        <w:jc w:val="center"/>
        <w:outlineLvl w:val="2"/>
        <w:rPr>
          <w:rFonts w:hint="default"/>
          <w:sz w:val="32"/>
          <w:szCs w:val="40"/>
          <w:highlight w:val="none"/>
          <w:lang w:val="en-US" w:eastAsia="zh-CN"/>
        </w:rPr>
      </w:pPr>
      <w:r>
        <w:rPr>
          <w:rFonts w:hint="eastAsia" w:ascii="宋体" w:hAnsi="宋体" w:cs="宋体"/>
          <w:b/>
          <w:bCs/>
          <w:color w:val="000000"/>
          <w:sz w:val="24"/>
          <w:highlight w:val="none"/>
          <w:u w:val="single"/>
        </w:rPr>
        <w:t>理财非存款、产品有风险、投资须谨慎</w:t>
      </w:r>
    </w:p>
    <w:p>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Calibri" w:hAnsi="Calibri" w:eastAsia="宋体" w:cs="黑体"/>
          <w:b/>
          <w:bCs/>
          <w:sz w:val="24"/>
          <w:highlight w:val="none"/>
        </w:rPr>
      </w:pPr>
      <w:r>
        <w:rPr>
          <w:rFonts w:hint="eastAsia" w:ascii="Calibri" w:hAnsi="Calibri" w:eastAsia="宋体" w:cs="黑体"/>
          <w:b/>
          <w:bCs/>
          <w:color w:val="000000"/>
          <w:sz w:val="24"/>
          <w:highlight w:val="none"/>
        </w:rPr>
        <w:t>特别提示：</w:t>
      </w:r>
      <w:r>
        <w:rPr>
          <w:rFonts w:hint="eastAsia" w:ascii="Calibri" w:hAnsi="Calibri" w:eastAsia="宋体" w:cs="黑体"/>
          <w:b/>
          <w:bCs/>
          <w:color w:val="000000"/>
          <w:sz w:val="24"/>
          <w:highlight w:val="none"/>
          <w:lang w:eastAsia="zh-CN"/>
        </w:rPr>
        <w:t>《</w:t>
      </w:r>
      <w:r>
        <w:rPr>
          <w:rFonts w:hint="eastAsia" w:ascii="Calibri" w:hAnsi="Calibri" w:eastAsia="宋体" w:cs="黑体"/>
          <w:b/>
          <w:bCs/>
          <w:color w:val="000000"/>
          <w:sz w:val="24"/>
          <w:highlight w:val="none"/>
        </w:rPr>
        <w:t>杭银理财</w:t>
      </w:r>
      <w:r>
        <w:rPr>
          <w:rFonts w:hint="eastAsia" w:ascii="Calibri" w:hAnsi="Calibri" w:eastAsia="宋体" w:cs="黑体"/>
          <w:b/>
          <w:bCs/>
          <w:color w:val="000000"/>
          <w:sz w:val="24"/>
          <w:highlight w:val="none"/>
          <w:lang w:val="en-US" w:eastAsia="zh-CN"/>
        </w:rPr>
        <w:t>理财计划销售协议书</w:t>
      </w:r>
      <w:r>
        <w:rPr>
          <w:rFonts w:hint="eastAsia" w:ascii="宋体" w:hAnsi="宋体" w:eastAsia="宋体" w:cs="宋体"/>
          <w:b/>
          <w:bCs/>
          <w:color w:val="000000"/>
          <w:sz w:val="24"/>
          <w:highlight w:val="none"/>
          <w:lang w:val="en-US" w:eastAsia="zh-CN"/>
        </w:rPr>
        <w:t>（202602</w:t>
      </w:r>
      <w:r>
        <w:rPr>
          <w:rFonts w:hint="eastAsia" w:ascii="Calibri" w:hAnsi="Calibri" w:eastAsia="宋体" w:cs="黑体"/>
          <w:b/>
          <w:bCs/>
          <w:color w:val="000000"/>
          <w:sz w:val="24"/>
          <w:highlight w:val="none"/>
          <w:lang w:val="en-US" w:eastAsia="zh-CN"/>
        </w:rPr>
        <w:t>版）</w:t>
      </w:r>
      <w:r>
        <w:rPr>
          <w:rFonts w:hint="eastAsia" w:ascii="Calibri" w:hAnsi="Calibri" w:eastAsia="宋体" w:cs="黑体"/>
          <w:b/>
          <w:bCs/>
          <w:color w:val="000000"/>
          <w:sz w:val="24"/>
          <w:highlight w:val="none"/>
          <w:lang w:eastAsia="zh-CN"/>
        </w:rPr>
        <w:t>》</w:t>
      </w:r>
      <w:r>
        <w:rPr>
          <w:rFonts w:hint="eastAsia" w:ascii="Calibri" w:hAnsi="Calibri" w:eastAsia="宋体" w:cs="黑体"/>
          <w:b/>
          <w:bCs/>
          <w:color w:val="000000"/>
          <w:sz w:val="24"/>
          <w:highlight w:val="none"/>
          <w:lang w:val="en-US" w:eastAsia="zh-CN"/>
        </w:rPr>
        <w:t>与对应期次的</w:t>
      </w:r>
      <w:r>
        <w:rPr>
          <w:rFonts w:hint="eastAsia" w:eastAsia="宋体" w:cs="黑体"/>
          <w:b/>
          <w:bCs/>
          <w:color w:val="000000"/>
          <w:sz w:val="24"/>
          <w:highlight w:val="none"/>
          <w:lang w:val="en-US" w:eastAsia="zh-CN"/>
        </w:rPr>
        <w:t>理财计划风险揭示书、理财计划产品说明书、投资者权益须知及</w:t>
      </w:r>
      <w:r>
        <w:rPr>
          <w:rFonts w:hint="eastAsia" w:ascii="Calibri" w:hAnsi="Calibri" w:eastAsia="宋体" w:cs="黑体"/>
          <w:b/>
          <w:bCs/>
          <w:color w:val="000000"/>
          <w:sz w:val="24"/>
          <w:highlight w:val="none"/>
        </w:rPr>
        <w:t>理财计划投资协议书共同构成完整且不可分割的理财计划</w:t>
      </w:r>
      <w:r>
        <w:rPr>
          <w:rFonts w:hint="eastAsia" w:ascii="Calibri" w:hAnsi="Calibri" w:eastAsia="宋体" w:cs="黑体"/>
          <w:b/>
          <w:bCs/>
          <w:color w:val="000000"/>
          <w:sz w:val="24"/>
          <w:highlight w:val="none"/>
          <w:lang w:val="en-US" w:eastAsia="zh-CN"/>
        </w:rPr>
        <w:t>合同</w:t>
      </w:r>
      <w:r>
        <w:rPr>
          <w:rFonts w:hint="eastAsia" w:ascii="Calibri" w:hAnsi="Calibri" w:eastAsia="宋体" w:cs="黑体"/>
          <w:b/>
          <w:bCs/>
          <w:color w:val="000000"/>
          <w:sz w:val="24"/>
          <w:highlight w:val="none"/>
        </w:rPr>
        <w:t>。杭银理财有限责任公司（以下简称“杭银理财”）建议投资者在购买理财计划前认真阅读</w:t>
      </w:r>
      <w:r>
        <w:rPr>
          <w:rFonts w:hint="eastAsia" w:ascii="Calibri" w:hAnsi="Calibri" w:eastAsia="宋体" w:cs="黑体"/>
          <w:b/>
          <w:bCs/>
          <w:color w:val="000000"/>
          <w:sz w:val="24"/>
          <w:highlight w:val="none"/>
          <w:lang w:val="en-US" w:eastAsia="zh-CN"/>
        </w:rPr>
        <w:t>全套</w:t>
      </w:r>
      <w:r>
        <w:rPr>
          <w:rFonts w:hint="eastAsia" w:ascii="Calibri" w:hAnsi="Calibri" w:eastAsia="宋体" w:cs="黑体"/>
          <w:b/>
          <w:bCs/>
          <w:color w:val="000000"/>
          <w:sz w:val="24"/>
          <w:highlight w:val="none"/>
        </w:rPr>
        <w:t>理财计划</w:t>
      </w:r>
      <w:r>
        <w:rPr>
          <w:rFonts w:hint="eastAsia" w:ascii="Calibri" w:hAnsi="Calibri" w:eastAsia="宋体" w:cs="黑体"/>
          <w:b/>
          <w:bCs/>
          <w:color w:val="000000"/>
          <w:sz w:val="24"/>
          <w:highlight w:val="none"/>
          <w:lang w:val="en-US" w:eastAsia="zh-CN"/>
        </w:rPr>
        <w:t>合同</w:t>
      </w:r>
      <w:r>
        <w:rPr>
          <w:rFonts w:hint="eastAsia" w:ascii="Calibri" w:hAnsi="Calibri" w:eastAsia="宋体" w:cs="黑体"/>
          <w:b/>
          <w:bCs/>
          <w:color w:val="000000"/>
          <w:sz w:val="24"/>
          <w:highlight w:val="none"/>
        </w:rPr>
        <w:t>，投资者签署本协议书（含电子渠道签署）即知晓并同意已详细阅读理财计划合同并知悉相关风险，自愿投资购买理财计划、遵守合同约定并承担相应风险。</w:t>
      </w:r>
    </w:p>
    <w:p>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Calibri" w:hAnsi="Calibri" w:eastAsia="宋体" w:cs="黑体"/>
          <w:b/>
          <w:bCs/>
          <w:sz w:val="24"/>
          <w:highlight w:val="none"/>
          <w:lang w:val="en-US" w:eastAsia="zh-CN"/>
        </w:rPr>
      </w:pPr>
      <w:r>
        <w:rPr>
          <w:rFonts w:hint="eastAsia" w:ascii="Calibri" w:hAnsi="Calibri" w:eastAsia="宋体" w:cs="黑体"/>
          <w:b/>
          <w:bCs/>
          <w:color w:val="000000"/>
          <w:sz w:val="24"/>
          <w:highlight w:val="none"/>
          <w:lang w:val="en-US" w:eastAsia="zh-CN"/>
        </w:rPr>
        <w:t>理财非存款、产品有风险、投资须谨慎，理财计划过往业绩不代表其未来表现，不等于理财计划实际收益。</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Calibri" w:hAnsi="Calibri" w:eastAsia="宋体" w:cs="黑体"/>
          <w:sz w:val="24"/>
          <w:highlight w:val="none"/>
          <w:lang w:val="en-US" w:eastAsia="zh-CN"/>
        </w:rPr>
      </w:pPr>
      <w:r>
        <w:rPr>
          <w:rFonts w:hint="eastAsia" w:ascii="Calibri" w:hAnsi="Calibri" w:eastAsia="宋体" w:cs="黑体"/>
          <w:color w:val="000000"/>
          <w:sz w:val="24"/>
          <w:highlight w:val="none"/>
          <w:lang w:val="en-US" w:eastAsia="zh-CN"/>
        </w:rPr>
        <w:t>理财计划销售的相关法律主体为发行理财计划的理财公司、</w:t>
      </w:r>
      <w:r>
        <w:rPr>
          <w:rFonts w:hint="eastAsia" w:eastAsia="宋体" w:cs="黑体"/>
          <w:color w:val="000000"/>
          <w:sz w:val="24"/>
          <w:highlight w:val="none"/>
          <w:lang w:val="en-US" w:eastAsia="zh-CN"/>
        </w:rPr>
        <w:t>理财公司自有销售渠道以及</w:t>
      </w:r>
      <w:r>
        <w:rPr>
          <w:rFonts w:hint="eastAsia" w:ascii="Calibri" w:hAnsi="Calibri" w:eastAsia="宋体" w:cs="黑体"/>
          <w:color w:val="000000"/>
          <w:sz w:val="24"/>
          <w:highlight w:val="none"/>
          <w:lang w:val="en-US" w:eastAsia="zh-CN"/>
        </w:rPr>
        <w:t>接受理财公司委托销售其发行理财计划的代理销售机构（以下简称“销售机构”）和投资者三方。理财公司是理财计划的设计发行方与管理人，</w:t>
      </w:r>
      <w:r>
        <w:rPr>
          <w:rFonts w:hint="eastAsia" w:eastAsia="宋体" w:cs="黑体"/>
          <w:color w:val="000000"/>
          <w:sz w:val="24"/>
          <w:highlight w:val="none"/>
          <w:lang w:val="en-US" w:eastAsia="zh-CN"/>
        </w:rPr>
        <w:t>理财公司和</w:t>
      </w:r>
      <w:r>
        <w:rPr>
          <w:rFonts w:hint="eastAsia" w:ascii="Calibri" w:hAnsi="Calibri" w:eastAsia="宋体" w:cs="黑体"/>
          <w:color w:val="000000"/>
          <w:sz w:val="24"/>
          <w:highlight w:val="none"/>
          <w:lang w:val="en-US" w:eastAsia="zh-CN"/>
        </w:rPr>
        <w:t>销售机构面向投资者实施销售行为，两方共同承担理财计划的合规销售和投资者合法权益保护义务。</w:t>
      </w:r>
    </w:p>
    <w:p>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Calibri" w:hAnsi="Calibri" w:eastAsia="宋体" w:cs="黑体"/>
          <w:sz w:val="24"/>
          <w:highlight w:val="none"/>
          <w:lang w:val="en-US" w:eastAsia="zh-CN"/>
        </w:rPr>
      </w:pPr>
      <w:r>
        <w:rPr>
          <w:rFonts w:hint="eastAsia" w:ascii="Calibri" w:hAnsi="Calibri" w:eastAsia="宋体" w:cs="黑体"/>
          <w:color w:val="000000"/>
          <w:sz w:val="24"/>
          <w:highlight w:val="none"/>
          <w:lang w:val="en-US" w:eastAsia="zh-CN"/>
        </w:rPr>
        <w:t>投资者与销售机构经平等友好协商，本着自愿、诚实信用原则，就投资者购买销售机构代理销售的理财计划有关事宜达成如下协议（以下简称“本协议”）：</w:t>
      </w:r>
    </w:p>
    <w:p>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Calibri" w:hAnsi="Calibri" w:eastAsia="宋体" w:cs="黑体"/>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2"/>
        <w:rPr>
          <w:rFonts w:hint="eastAsia" w:ascii="Calibri" w:hAnsi="Calibri" w:eastAsia="宋体" w:cs="黑体"/>
          <w:b/>
          <w:bCs/>
          <w:sz w:val="24"/>
          <w:highlight w:val="none"/>
          <w:lang w:val="en-US" w:eastAsia="zh-CN"/>
        </w:rPr>
      </w:pPr>
      <w:r>
        <w:rPr>
          <w:rFonts w:hint="eastAsia" w:eastAsia="宋体" w:cs="黑体"/>
          <w:b/>
          <w:bCs/>
          <w:color w:val="000000"/>
          <w:sz w:val="24"/>
          <w:highlight w:val="none"/>
          <w:lang w:val="en-US" w:eastAsia="zh-CN"/>
        </w:rPr>
        <w:t xml:space="preserve">第一条 </w:t>
      </w:r>
      <w:r>
        <w:rPr>
          <w:rFonts w:hint="eastAsia" w:ascii="Calibri" w:hAnsi="Calibri" w:eastAsia="宋体" w:cs="黑体"/>
          <w:b/>
          <w:bCs/>
          <w:color w:val="000000"/>
          <w:sz w:val="24"/>
          <w:highlight w:val="none"/>
          <w:lang w:val="en-US" w:eastAsia="zh-CN"/>
        </w:rPr>
        <w:t>名词释义</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Calibri" w:hAnsi="Calibri" w:eastAsia="宋体" w:cs="黑体"/>
          <w:bCs/>
          <w:sz w:val="24"/>
          <w:highlight w:val="none"/>
          <w:lang w:val="en-US" w:eastAsia="zh-CN"/>
        </w:rPr>
      </w:pPr>
      <w:r>
        <w:rPr>
          <w:rFonts w:hint="eastAsia" w:ascii="Calibri" w:hAnsi="Calibri" w:eastAsia="宋体" w:cs="黑体"/>
          <w:bCs/>
          <w:color w:val="000000"/>
          <w:sz w:val="24"/>
          <w:highlight w:val="none"/>
          <w:lang w:val="en-US" w:eastAsia="zh-CN"/>
        </w:rPr>
        <w:t>详见对应期次的理财计划产品说明书“释义”部分。</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Calibri" w:hAnsi="Calibri" w:eastAsia="宋体" w:cs="黑体"/>
          <w:bCs/>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jc w:val="left"/>
        <w:textAlignment w:val="auto"/>
        <w:outlineLvl w:val="2"/>
        <w:rPr>
          <w:rFonts w:hint="eastAsia" w:ascii="Calibri" w:hAnsi="Calibri" w:eastAsia="宋体" w:cs="黑体"/>
          <w:b/>
          <w:bCs/>
          <w:sz w:val="24"/>
          <w:highlight w:val="none"/>
          <w:lang w:val="en-US" w:eastAsia="zh-CN"/>
        </w:rPr>
      </w:pPr>
      <w:r>
        <w:rPr>
          <w:rFonts w:hint="eastAsia" w:eastAsia="宋体" w:cs="黑体"/>
          <w:b/>
          <w:bCs/>
          <w:color w:val="000000"/>
          <w:sz w:val="24"/>
          <w:highlight w:val="none"/>
          <w:lang w:val="en-US" w:eastAsia="zh-CN"/>
        </w:rPr>
        <w:t xml:space="preserve">第二条 </w:t>
      </w:r>
      <w:r>
        <w:rPr>
          <w:rFonts w:hint="eastAsia" w:ascii="Calibri" w:hAnsi="Calibri" w:eastAsia="宋体" w:cs="黑体"/>
          <w:b/>
          <w:bCs/>
          <w:color w:val="000000"/>
          <w:sz w:val="24"/>
          <w:highlight w:val="none"/>
          <w:lang w:val="en-US" w:eastAsia="zh-CN"/>
        </w:rPr>
        <w:t>投资者权利与义务</w:t>
      </w:r>
    </w:p>
    <w:p>
      <w:pPr>
        <w:widowControl/>
        <w:numPr>
          <w:ilvl w:val="0"/>
          <w:numId w:val="1"/>
        </w:numPr>
        <w:spacing w:line="360" w:lineRule="auto"/>
        <w:ind w:left="0" w:leftChars="0" w:firstLine="420" w:firstLineChars="0"/>
        <w:contextualSpacing/>
        <w:outlineLvl w:val="9"/>
        <w:rPr>
          <w:rFonts w:hint="eastAsia" w:ascii="宋体" w:hAnsi="宋体" w:eastAsia="宋体" w:cs="黑体"/>
          <w:sz w:val="24"/>
          <w:highlight w:val="none"/>
        </w:rPr>
      </w:pPr>
      <w:r>
        <w:rPr>
          <w:rFonts w:hint="eastAsia" w:ascii="宋体" w:hAnsi="宋体" w:eastAsia="宋体" w:cs="黑体"/>
          <w:color w:val="000000"/>
          <w:sz w:val="24"/>
          <w:highlight w:val="none"/>
        </w:rPr>
        <w:t>投资者应当保证其理财资金为合法拥有的自有资金，不存在涉嫌洗钱、恶意逃避税收征收管理等违法违规行为。投资者不得使用贷款、发行债券等方式筹集的非自有资金购买理财计划。投资者将其自有资金用作本理财计划投资协议书条款项下理财交易并不违反相关法律、法规、规章、规定、</w:t>
      </w:r>
      <w:r>
        <w:rPr>
          <w:rFonts w:hint="eastAsia" w:ascii="宋体" w:hAnsi="宋体" w:eastAsia="宋体" w:cs="黑体"/>
          <w:color w:val="000000"/>
          <w:kern w:val="2"/>
          <w:sz w:val="24"/>
          <w:highlight w:val="none"/>
        </w:rPr>
        <w:t xml:space="preserve">法院裁定或命令的要求，投资者具有完全民事行为能力，能够自行识别、判断和承担理财计划的相关风险；不存在法律法规、有权机关或主管机关禁止或限制购买理财计划的各种情形。投资者按其投资金额在本理财计划投资协议书中享有相应的权利，承担相应的义务和风险。 </w:t>
      </w:r>
    </w:p>
    <w:p>
      <w:pPr>
        <w:widowControl/>
        <w:numPr>
          <w:ilvl w:val="0"/>
          <w:numId w:val="1"/>
        </w:numPr>
        <w:spacing w:line="360" w:lineRule="auto"/>
        <w:ind w:left="0" w:leftChars="0" w:firstLine="420" w:firstLineChars="0"/>
        <w:contextualSpacing/>
        <w:outlineLvl w:val="9"/>
        <w:rPr>
          <w:rFonts w:hint="eastAsia" w:ascii="宋体" w:hAnsi="宋体" w:eastAsia="宋体" w:cs="黑体"/>
          <w:sz w:val="24"/>
          <w:highlight w:val="none"/>
        </w:rPr>
      </w:pPr>
      <w:r>
        <w:rPr>
          <w:rFonts w:hint="eastAsia" w:ascii="宋体" w:hAnsi="宋体" w:eastAsia="宋体" w:cs="黑体"/>
          <w:color w:val="000000"/>
          <w:sz w:val="24"/>
          <w:highlight w:val="none"/>
        </w:rPr>
        <w:t>投资者保证自身完全了解理财投资的性质，投资所涉及的风险以及自身风险承受能力，在慎重考虑后独立作出交易决定。</w:t>
      </w:r>
    </w:p>
    <w:p>
      <w:pPr>
        <w:widowControl/>
        <w:numPr>
          <w:ilvl w:val="0"/>
          <w:numId w:val="1"/>
        </w:numPr>
        <w:spacing w:line="360" w:lineRule="auto"/>
        <w:ind w:left="0" w:leftChars="0" w:firstLine="420" w:firstLineChars="0"/>
        <w:contextualSpacing/>
        <w:outlineLvl w:val="9"/>
        <w:rPr>
          <w:rFonts w:hint="eastAsia" w:ascii="宋体" w:hAnsi="宋体" w:eastAsia="宋体" w:cs="黑体"/>
          <w:sz w:val="24"/>
          <w:highlight w:val="none"/>
        </w:rPr>
      </w:pPr>
      <w:r>
        <w:rPr>
          <w:rFonts w:hint="eastAsia" w:ascii="宋体" w:hAnsi="宋体" w:eastAsia="宋体" w:cs="黑体"/>
          <w:b/>
          <w:bCs/>
          <w:color w:val="000000"/>
          <w:sz w:val="24"/>
          <w:highlight w:val="none"/>
        </w:rPr>
        <w:t>投资者购买</w:t>
      </w:r>
      <w:r>
        <w:rPr>
          <w:rFonts w:hint="eastAsia" w:ascii="宋体" w:hAnsi="宋体" w:eastAsia="宋体" w:cs="黑体"/>
          <w:b/>
          <w:bCs/>
          <w:color w:val="000000"/>
          <w:sz w:val="24"/>
          <w:highlight w:val="none"/>
          <w:lang w:val="en-US" w:eastAsia="zh-CN"/>
        </w:rPr>
        <w:t>销售机构</w:t>
      </w:r>
      <w:r>
        <w:rPr>
          <w:rFonts w:hint="eastAsia" w:ascii="宋体" w:hAnsi="宋体" w:eastAsia="宋体" w:cs="黑体"/>
          <w:b/>
          <w:bCs/>
          <w:color w:val="000000"/>
          <w:sz w:val="24"/>
          <w:highlight w:val="none"/>
          <w:lang w:eastAsia="zh-CN"/>
        </w:rPr>
        <w:t>代理销售</w:t>
      </w:r>
      <w:r>
        <w:rPr>
          <w:rFonts w:hint="eastAsia" w:ascii="宋体" w:hAnsi="宋体" w:eastAsia="宋体" w:cs="黑体"/>
          <w:b/>
          <w:bCs/>
          <w:color w:val="000000"/>
          <w:sz w:val="24"/>
          <w:highlight w:val="none"/>
        </w:rPr>
        <w:t>的私募</w:t>
      </w:r>
      <w:r>
        <w:rPr>
          <w:rFonts w:hint="eastAsia" w:ascii="宋体" w:hAnsi="宋体" w:eastAsia="宋体" w:cs="黑体"/>
          <w:b/>
          <w:bCs/>
          <w:color w:val="000000"/>
          <w:sz w:val="24"/>
          <w:highlight w:val="none"/>
          <w:lang w:eastAsia="zh-CN"/>
        </w:rPr>
        <w:t>理财计划</w:t>
      </w:r>
      <w:r>
        <w:rPr>
          <w:rFonts w:hint="eastAsia" w:ascii="宋体" w:hAnsi="宋体" w:eastAsia="宋体" w:cs="黑体"/>
          <w:b/>
          <w:bCs/>
          <w:color w:val="000000"/>
          <w:sz w:val="24"/>
          <w:highlight w:val="none"/>
        </w:rPr>
        <w:t>后，可以享有24 小时的投资冷静期，在投资冷静期内，如</w:t>
      </w:r>
      <w:r>
        <w:rPr>
          <w:rFonts w:hint="eastAsia" w:ascii="宋体" w:hAnsi="宋体" w:eastAsia="宋体" w:cs="黑体"/>
          <w:b/>
          <w:bCs/>
          <w:color w:val="000000"/>
          <w:sz w:val="24"/>
          <w:highlight w:val="none"/>
          <w:lang w:val="en-US" w:eastAsia="zh-CN"/>
        </w:rPr>
        <w:t>投资者</w:t>
      </w:r>
      <w:r>
        <w:rPr>
          <w:rFonts w:hint="eastAsia" w:ascii="宋体" w:hAnsi="宋体" w:eastAsia="宋体" w:cs="黑体"/>
          <w:b/>
          <w:bCs/>
          <w:color w:val="000000"/>
          <w:sz w:val="24"/>
          <w:highlight w:val="none"/>
        </w:rPr>
        <w:t>改变投资决定，应提出解除相应理财</w:t>
      </w:r>
      <w:r>
        <w:rPr>
          <w:rFonts w:hint="eastAsia" w:ascii="宋体" w:hAnsi="宋体" w:eastAsia="宋体" w:cs="黑体"/>
          <w:b/>
          <w:bCs/>
          <w:color w:val="000000"/>
          <w:sz w:val="24"/>
          <w:highlight w:val="none"/>
          <w:lang w:val="en-US" w:eastAsia="zh-CN"/>
        </w:rPr>
        <w:t>计划合同</w:t>
      </w:r>
      <w:r>
        <w:rPr>
          <w:rFonts w:hint="eastAsia" w:ascii="宋体" w:hAnsi="宋体" w:eastAsia="宋体" w:cs="黑体"/>
          <w:b/>
          <w:bCs/>
          <w:color w:val="000000"/>
          <w:sz w:val="24"/>
          <w:highlight w:val="none"/>
        </w:rPr>
        <w:t>文件申请，</w:t>
      </w:r>
      <w:r>
        <w:rPr>
          <w:rFonts w:hint="eastAsia" w:ascii="宋体" w:hAnsi="宋体" w:eastAsia="宋体" w:cs="黑体"/>
          <w:b/>
          <w:bCs/>
          <w:color w:val="000000"/>
          <w:sz w:val="24"/>
          <w:highlight w:val="none"/>
          <w:lang w:val="en-US" w:eastAsia="zh-CN"/>
        </w:rPr>
        <w:t>销售机构</w:t>
      </w:r>
      <w:r>
        <w:rPr>
          <w:rFonts w:hint="eastAsia" w:ascii="宋体" w:hAnsi="宋体" w:eastAsia="宋体" w:cs="黑体"/>
          <w:b/>
          <w:bCs/>
          <w:color w:val="000000"/>
          <w:sz w:val="24"/>
          <w:highlight w:val="none"/>
        </w:rPr>
        <w:t>将及时退还</w:t>
      </w:r>
      <w:r>
        <w:rPr>
          <w:rFonts w:hint="eastAsia" w:ascii="宋体" w:hAnsi="宋体" w:eastAsia="宋体" w:cs="黑体"/>
          <w:b/>
          <w:bCs/>
          <w:color w:val="000000"/>
          <w:sz w:val="24"/>
          <w:highlight w:val="none"/>
          <w:lang w:val="en-US" w:eastAsia="zh-CN"/>
        </w:rPr>
        <w:t>投资者</w:t>
      </w:r>
      <w:r>
        <w:rPr>
          <w:rFonts w:hint="eastAsia" w:ascii="宋体" w:hAnsi="宋体" w:eastAsia="宋体" w:cs="黑体"/>
          <w:b/>
          <w:bCs/>
          <w:color w:val="000000"/>
          <w:sz w:val="24"/>
          <w:highlight w:val="none"/>
        </w:rPr>
        <w:t>的全部投资款项。</w:t>
      </w:r>
      <w:r>
        <w:rPr>
          <w:rFonts w:hint="eastAsia" w:ascii="宋体" w:hAnsi="宋体" w:eastAsia="宋体" w:cs="黑体"/>
          <w:color w:val="000000"/>
          <w:sz w:val="24"/>
          <w:highlight w:val="none"/>
        </w:rPr>
        <w:t>投资冷静期相关约定详见</w:t>
      </w:r>
      <w:r>
        <w:rPr>
          <w:rFonts w:hint="eastAsia" w:ascii="宋体" w:hAnsi="宋体" w:eastAsia="宋体" w:cs="黑体"/>
          <w:color w:val="000000"/>
          <w:sz w:val="24"/>
          <w:highlight w:val="none"/>
          <w:lang w:val="en-US" w:eastAsia="zh-CN"/>
        </w:rPr>
        <w:t>理财计划产品</w:t>
      </w:r>
      <w:r>
        <w:rPr>
          <w:rFonts w:hint="eastAsia" w:ascii="宋体" w:hAnsi="宋体" w:eastAsia="宋体" w:cs="黑体"/>
          <w:color w:val="000000"/>
          <w:sz w:val="24"/>
          <w:highlight w:val="none"/>
        </w:rPr>
        <w:t>说明书</w:t>
      </w:r>
      <w:r>
        <w:rPr>
          <w:rFonts w:hint="eastAsia" w:ascii="宋体" w:hAnsi="宋体" w:eastAsia="宋体" w:cs="黑体"/>
          <w:color w:val="000000"/>
          <w:sz w:val="24"/>
          <w:highlight w:val="none"/>
          <w:lang w:eastAsia="zh-CN"/>
        </w:rPr>
        <w:t>。</w:t>
      </w:r>
    </w:p>
    <w:p>
      <w:pPr>
        <w:widowControl/>
        <w:numPr>
          <w:ilvl w:val="0"/>
          <w:numId w:val="1"/>
        </w:numPr>
        <w:spacing w:line="360" w:lineRule="auto"/>
        <w:ind w:left="0" w:leftChars="0" w:firstLine="420" w:firstLineChars="0"/>
        <w:contextualSpacing/>
        <w:outlineLvl w:val="9"/>
        <w:rPr>
          <w:rFonts w:hint="eastAsia" w:ascii="宋体" w:hAnsi="宋体" w:eastAsia="宋体" w:cs="黑体"/>
          <w:sz w:val="24"/>
          <w:highlight w:val="none"/>
        </w:rPr>
      </w:pPr>
      <w:r>
        <w:rPr>
          <w:rFonts w:hint="eastAsia" w:ascii="宋体" w:hAnsi="宋体" w:eastAsia="宋体" w:cs="黑体"/>
          <w:color w:val="000000"/>
          <w:sz w:val="24"/>
          <w:highlight w:val="none"/>
        </w:rPr>
        <w:t>投资者保证其有权利签署本协议和履行本协议所述的义务，并已为此采取一切所需的行为。</w:t>
      </w:r>
    </w:p>
    <w:p>
      <w:pPr>
        <w:widowControl/>
        <w:numPr>
          <w:ilvl w:val="0"/>
          <w:numId w:val="1"/>
        </w:numPr>
        <w:spacing w:line="360" w:lineRule="auto"/>
        <w:ind w:left="0" w:leftChars="0" w:firstLine="420" w:firstLineChars="0"/>
        <w:contextualSpacing/>
        <w:outlineLvl w:val="9"/>
        <w:rPr>
          <w:rFonts w:hint="eastAsia" w:ascii="宋体" w:hAnsi="宋体" w:eastAsia="宋体" w:cs="黑体"/>
          <w:sz w:val="24"/>
          <w:highlight w:val="none"/>
        </w:rPr>
      </w:pPr>
      <w:r>
        <w:rPr>
          <w:rFonts w:hint="eastAsia" w:ascii="宋体" w:hAnsi="宋体" w:eastAsia="宋体" w:cs="黑体"/>
          <w:color w:val="000000"/>
          <w:sz w:val="24"/>
          <w:highlight w:val="none"/>
        </w:rPr>
        <w:t>投资者保证执行及交付任何文件或履行本协议项下的义务，均不会违反任何适用法律、法规、法令或法律限制</w:t>
      </w:r>
      <w:r>
        <w:rPr>
          <w:rFonts w:hint="eastAsia" w:ascii="宋体" w:hAnsi="宋体" w:eastAsia="宋体" w:cs="黑体"/>
          <w:color w:val="000000"/>
          <w:sz w:val="24"/>
          <w:highlight w:val="none"/>
          <w:lang w:eastAsia="zh-CN"/>
        </w:rPr>
        <w:t>；</w:t>
      </w:r>
      <w:r>
        <w:rPr>
          <w:rFonts w:hint="eastAsia" w:ascii="宋体" w:hAnsi="宋体" w:eastAsia="宋体" w:cs="黑体"/>
          <w:color w:val="000000"/>
          <w:sz w:val="24"/>
          <w:highlight w:val="none"/>
        </w:rPr>
        <w:t>不会违反任何法院或政府机关所作出的适用于投资者或投资者任何资产的判决或指令；不会违反对投资者或投资者任何资产有约束力的任何重大协议条款。投资者应在签署本协议的同时在</w:t>
      </w:r>
      <w:r>
        <w:rPr>
          <w:rFonts w:hint="eastAsia" w:ascii="宋体" w:hAnsi="宋体" w:eastAsia="宋体" w:cs="黑体"/>
          <w:color w:val="000000"/>
          <w:sz w:val="24"/>
          <w:highlight w:val="none"/>
          <w:lang w:val="en-US" w:eastAsia="zh-CN"/>
        </w:rPr>
        <w:t>其</w:t>
      </w:r>
      <w:r>
        <w:rPr>
          <w:rFonts w:hint="eastAsia" w:ascii="宋体" w:hAnsi="宋体" w:eastAsia="宋体" w:cs="黑体"/>
          <w:color w:val="000000"/>
          <w:sz w:val="24"/>
          <w:highlight w:val="none"/>
        </w:rPr>
        <w:t>授权指定</w:t>
      </w:r>
      <w:r>
        <w:rPr>
          <w:rFonts w:hint="eastAsia" w:ascii="宋体" w:hAnsi="宋体" w:eastAsia="宋体" w:cs="黑体"/>
          <w:color w:val="000000"/>
          <w:sz w:val="24"/>
          <w:highlight w:val="none"/>
          <w:lang w:val="en-US" w:eastAsia="zh-CN"/>
        </w:rPr>
        <w:t>的</w:t>
      </w:r>
      <w:r>
        <w:rPr>
          <w:rFonts w:hint="eastAsia" w:ascii="宋体" w:hAnsi="宋体" w:eastAsia="宋体" w:cs="黑体"/>
          <w:color w:val="000000"/>
          <w:sz w:val="24"/>
          <w:highlight w:val="none"/>
        </w:rPr>
        <w:t>账户</w:t>
      </w:r>
      <w:r>
        <w:rPr>
          <w:rFonts w:hint="eastAsia" w:ascii="宋体" w:hAnsi="宋体" w:eastAsia="宋体" w:cs="黑体"/>
          <w:color w:val="000000"/>
          <w:sz w:val="24"/>
          <w:highlight w:val="none"/>
          <w:lang w:val="en-US" w:eastAsia="zh-CN"/>
        </w:rPr>
        <w:t>中（以下简称“授权指定账户”）</w:t>
      </w:r>
      <w:r>
        <w:rPr>
          <w:rFonts w:hint="eastAsia" w:ascii="宋体" w:hAnsi="宋体" w:eastAsia="宋体" w:cs="黑体"/>
          <w:color w:val="000000"/>
          <w:sz w:val="24"/>
          <w:highlight w:val="none"/>
        </w:rPr>
        <w:t>存入足额的资金以确保账户余额大于或等于认/申购金额。</w:t>
      </w:r>
    </w:p>
    <w:p>
      <w:pPr>
        <w:widowControl/>
        <w:numPr>
          <w:ilvl w:val="0"/>
          <w:numId w:val="1"/>
        </w:numPr>
        <w:spacing w:line="360" w:lineRule="auto"/>
        <w:ind w:left="0" w:leftChars="0" w:firstLine="420" w:firstLineChars="0"/>
        <w:contextualSpacing/>
        <w:outlineLvl w:val="9"/>
        <w:rPr>
          <w:rFonts w:hint="eastAsia" w:ascii="宋体" w:hAnsi="宋体" w:eastAsia="宋体" w:cs="黑体"/>
          <w:sz w:val="24"/>
          <w:highlight w:val="none"/>
        </w:rPr>
      </w:pPr>
      <w:r>
        <w:rPr>
          <w:rFonts w:hint="eastAsia" w:ascii="宋体" w:hAnsi="宋体" w:eastAsia="宋体" w:cs="黑体"/>
          <w:b/>
          <w:bCs/>
          <w:color w:val="000000"/>
          <w:sz w:val="24"/>
          <w:highlight w:val="none"/>
          <w:lang w:val="en-US" w:eastAsia="zh-CN"/>
        </w:rPr>
        <w:t>投资者</w:t>
      </w:r>
      <w:r>
        <w:rPr>
          <w:rFonts w:hint="eastAsia" w:ascii="宋体" w:hAnsi="宋体" w:eastAsia="宋体" w:cs="黑体"/>
          <w:b/>
          <w:bCs/>
          <w:color w:val="000000"/>
          <w:sz w:val="24"/>
          <w:highlight w:val="none"/>
        </w:rPr>
        <w:t>在此确认</w:t>
      </w:r>
      <w:r>
        <w:rPr>
          <w:rFonts w:hint="eastAsia" w:ascii="宋体" w:hAnsi="宋体" w:eastAsia="宋体" w:cs="黑体"/>
          <w:b/>
          <w:bCs/>
          <w:color w:val="000000"/>
          <w:sz w:val="24"/>
          <w:highlight w:val="none"/>
          <w:lang w:val="en-US" w:eastAsia="zh-CN"/>
        </w:rPr>
        <w:t>销售机构</w:t>
      </w:r>
      <w:r>
        <w:rPr>
          <w:rFonts w:hint="eastAsia" w:ascii="宋体" w:hAnsi="宋体" w:eastAsia="宋体" w:cs="黑体"/>
          <w:b/>
          <w:bCs/>
          <w:color w:val="000000"/>
          <w:sz w:val="24"/>
          <w:highlight w:val="none"/>
        </w:rPr>
        <w:t>的系统记录以及录音、录像构成对</w:t>
      </w:r>
      <w:r>
        <w:rPr>
          <w:rFonts w:hint="eastAsia" w:ascii="宋体" w:hAnsi="宋体" w:eastAsia="宋体" w:cs="黑体"/>
          <w:b/>
          <w:bCs/>
          <w:color w:val="000000"/>
          <w:sz w:val="24"/>
          <w:highlight w:val="none"/>
          <w:lang w:val="en-US" w:eastAsia="zh-CN"/>
        </w:rPr>
        <w:t>投资者</w:t>
      </w:r>
      <w:r>
        <w:rPr>
          <w:rFonts w:hint="eastAsia" w:ascii="宋体" w:hAnsi="宋体" w:eastAsia="宋体" w:cs="黑体"/>
          <w:b/>
          <w:bCs/>
          <w:color w:val="000000"/>
          <w:sz w:val="24"/>
          <w:highlight w:val="none"/>
        </w:rPr>
        <w:t>操作行为（包括但不限于购买、赎回、撤单）的有效证据，并且在</w:t>
      </w:r>
      <w:r>
        <w:rPr>
          <w:rFonts w:hint="eastAsia" w:ascii="宋体" w:hAnsi="宋体" w:eastAsia="宋体" w:cs="黑体"/>
          <w:b/>
          <w:bCs/>
          <w:color w:val="000000"/>
          <w:sz w:val="24"/>
          <w:highlight w:val="none"/>
          <w:lang w:val="en-US" w:eastAsia="zh-CN"/>
        </w:rPr>
        <w:t>双</w:t>
      </w:r>
      <w:r>
        <w:rPr>
          <w:rFonts w:hint="eastAsia" w:ascii="宋体" w:hAnsi="宋体" w:eastAsia="宋体" w:cs="黑体"/>
          <w:b/>
          <w:bCs/>
          <w:color w:val="000000"/>
          <w:sz w:val="24"/>
          <w:highlight w:val="none"/>
        </w:rPr>
        <w:t>方发生争议时可以作为合法有效的证据使用</w:t>
      </w:r>
      <w:r>
        <w:rPr>
          <w:rFonts w:hint="eastAsia" w:ascii="宋体" w:hAnsi="宋体" w:eastAsia="宋体" w:cs="黑体"/>
          <w:color w:val="000000"/>
          <w:sz w:val="24"/>
          <w:highlight w:val="none"/>
          <w:lang w:eastAsia="zh-CN"/>
        </w:rPr>
        <w:t>。</w:t>
      </w:r>
    </w:p>
    <w:p>
      <w:pPr>
        <w:widowControl/>
        <w:numPr>
          <w:ilvl w:val="0"/>
          <w:numId w:val="1"/>
        </w:numPr>
        <w:spacing w:line="360" w:lineRule="auto"/>
        <w:ind w:left="0" w:leftChars="0" w:firstLine="420" w:firstLineChars="0"/>
        <w:contextualSpacing/>
        <w:outlineLvl w:val="9"/>
        <w:rPr>
          <w:rFonts w:hint="eastAsia" w:ascii="宋体" w:hAnsi="宋体" w:eastAsia="宋体" w:cs="黑体"/>
          <w:sz w:val="24"/>
          <w:highlight w:val="none"/>
        </w:rPr>
      </w:pPr>
      <w:r>
        <w:rPr>
          <w:rFonts w:hint="eastAsia" w:ascii="宋体" w:hAnsi="宋体" w:eastAsia="宋体" w:cs="黑体"/>
          <w:color w:val="000000"/>
          <w:sz w:val="24"/>
          <w:highlight w:val="none"/>
        </w:rPr>
        <w:t xml:space="preserve">本协议终止前，投资者应保证其“授权指定账户”处于正常状态，投资者授权指定账户发生资金余额不足、挂失、换卡、长期不动户等特殊情况或被有权机关采取冻结、扣划、强制措施等变更或异常情形导致认/申购不成功，以及在本理财计划存续期内因有权机关依法采取强制措施导致理财份额、理财账户、授权指定账户被冻结或扣划的，由此产生的后果由投资者自行承担；但因销售机构故意或重大过失造成投资者损失的，销售机构仍应依法承担相应责任。 </w:t>
      </w:r>
    </w:p>
    <w:p>
      <w:pPr>
        <w:widowControl/>
        <w:numPr>
          <w:ilvl w:val="0"/>
          <w:numId w:val="1"/>
        </w:numPr>
        <w:spacing w:line="360" w:lineRule="auto"/>
        <w:ind w:left="0" w:leftChars="0" w:firstLine="420" w:firstLineChars="0"/>
        <w:contextualSpacing/>
        <w:outlineLvl w:val="9"/>
        <w:rPr>
          <w:rFonts w:hint="eastAsia" w:ascii="宋体" w:hAnsi="宋体" w:eastAsia="宋体" w:cs="黑体"/>
          <w:sz w:val="24"/>
          <w:highlight w:val="none"/>
        </w:rPr>
      </w:pPr>
      <w:r>
        <w:rPr>
          <w:rFonts w:hint="eastAsia" w:ascii="宋体" w:hAnsi="宋体" w:eastAsia="宋体" w:cs="黑体"/>
          <w:color w:val="000000"/>
          <w:sz w:val="24"/>
          <w:highlight w:val="none"/>
        </w:rPr>
        <w:t xml:space="preserve">在本理财计划存续期内，如有权机关要求销售机构配合对投资者理财份额、理财账户、授权指定账户进行查封、冻结或扣划的，销售机构有权根据实际情况依法采取相应措施。因配合有权机关依法采取前述措施产生的后果，销售机构不承担责任；但因销售机构故意或重大过失造成投资者损失的，销售机构仍应依法承担相应责任。 </w:t>
      </w:r>
    </w:p>
    <w:p>
      <w:pPr>
        <w:widowControl/>
        <w:numPr>
          <w:ilvl w:val="0"/>
          <w:numId w:val="1"/>
        </w:numPr>
        <w:spacing w:line="360" w:lineRule="auto"/>
        <w:ind w:left="0" w:leftChars="0" w:firstLine="420" w:firstLineChars="0"/>
        <w:contextualSpacing/>
        <w:outlineLvl w:val="9"/>
        <w:rPr>
          <w:rFonts w:hint="eastAsia" w:ascii="宋体" w:hAnsi="宋体" w:eastAsia="宋体" w:cs="黑体"/>
          <w:sz w:val="24"/>
          <w:highlight w:val="none"/>
        </w:rPr>
      </w:pPr>
      <w:r>
        <w:rPr>
          <w:rFonts w:hint="eastAsia" w:ascii="宋体" w:hAnsi="宋体" w:eastAsia="宋体" w:cs="黑体"/>
          <w:color w:val="000000"/>
          <w:sz w:val="24"/>
          <w:highlight w:val="none"/>
        </w:rPr>
        <w:t>本协议终止前，投资者不得将授权指定账户销户。若发生因投资者注销授权指定账户造成理财计划无法正常兑付的，由此产生的后果由投资者自行承担；但因销售机构故意或重大过失造成投资者损失的，销售机构仍应依法承担相应责任。</w:t>
      </w:r>
    </w:p>
    <w:p>
      <w:pPr>
        <w:widowControl/>
        <w:numPr>
          <w:ilvl w:val="0"/>
          <w:numId w:val="1"/>
        </w:numPr>
        <w:spacing w:line="360" w:lineRule="auto"/>
        <w:ind w:left="0" w:leftChars="0" w:firstLine="420" w:firstLineChars="0"/>
        <w:contextualSpacing/>
        <w:outlineLvl w:val="9"/>
        <w:rPr>
          <w:rFonts w:hint="eastAsia" w:ascii="宋体" w:hAnsi="宋体" w:eastAsia="宋体" w:cs="黑体"/>
          <w:sz w:val="24"/>
          <w:highlight w:val="none"/>
        </w:rPr>
      </w:pPr>
      <w:r>
        <w:rPr>
          <w:rFonts w:hint="eastAsia" w:ascii="宋体" w:hAnsi="宋体" w:eastAsia="宋体" w:cs="黑体"/>
          <w:color w:val="000000"/>
          <w:sz w:val="24"/>
          <w:highlight w:val="none"/>
        </w:rPr>
        <w:t xml:space="preserve">投资者应确保其提供的所有资料真实、完整、合法、有效，如果有任何变更，投资者应及时通知销售机构并办理变更手续。如因投资者未及时通知销售机构并办理相应的变更手续，由此导致的后果由投资者自行承担；但因销售机构故意或重大过失造成投资者损失的，销售机构仍应依法承担相应责任。 </w:t>
      </w:r>
    </w:p>
    <w:p>
      <w:pPr>
        <w:widowControl/>
        <w:numPr>
          <w:ilvl w:val="0"/>
          <w:numId w:val="1"/>
        </w:numPr>
        <w:spacing w:line="360" w:lineRule="auto"/>
        <w:ind w:left="0" w:leftChars="0" w:firstLine="420" w:firstLineChars="0"/>
        <w:contextualSpacing/>
        <w:outlineLvl w:val="9"/>
        <w:rPr>
          <w:rFonts w:hint="eastAsia" w:ascii="宋体" w:hAnsi="宋体" w:eastAsia="宋体" w:cs="黑体"/>
          <w:sz w:val="24"/>
          <w:highlight w:val="none"/>
        </w:rPr>
      </w:pPr>
      <w:r>
        <w:rPr>
          <w:rFonts w:hint="eastAsia" w:ascii="宋体" w:hAnsi="宋体" w:eastAsia="宋体" w:cs="黑体"/>
          <w:color w:val="000000"/>
          <w:sz w:val="24"/>
          <w:highlight w:val="none"/>
          <w:lang w:val="en-US" w:eastAsia="zh-CN"/>
        </w:rPr>
        <w:t>投资者对因签署、履行本协议所知悉且销售机构已明确提示属于保密范围的销售机构业务资料及非公开信息负有保密义务，未经销售机构书面许可，不得向任何组织、个人提供或泄露，但法律、法规另有规定的除外。</w:t>
      </w:r>
    </w:p>
    <w:p>
      <w:pPr>
        <w:widowControl/>
        <w:numPr>
          <w:ilvl w:val="0"/>
          <w:numId w:val="1"/>
        </w:numPr>
        <w:spacing w:line="360" w:lineRule="auto"/>
        <w:ind w:left="0" w:leftChars="0" w:firstLine="420" w:firstLineChars="0"/>
        <w:contextualSpacing/>
        <w:outlineLvl w:val="9"/>
        <w:rPr>
          <w:rFonts w:hint="eastAsia" w:ascii="宋体" w:hAnsi="宋体" w:eastAsia="宋体" w:cs="黑体"/>
          <w:sz w:val="24"/>
          <w:highlight w:val="none"/>
          <w:lang w:val="en-US" w:eastAsia="zh-CN"/>
        </w:rPr>
      </w:pPr>
      <w:r>
        <w:rPr>
          <w:rFonts w:hint="eastAsia" w:ascii="宋体" w:hAnsi="宋体" w:eastAsia="宋体" w:cs="黑体"/>
          <w:color w:val="000000"/>
          <w:sz w:val="24"/>
          <w:highlight w:val="none"/>
        </w:rPr>
        <w:t>投资者进行投资时，应严格遵守反洗钱相关法规的规定，切实履行反洗钱及反恐怖融资义务。</w:t>
      </w:r>
    </w:p>
    <w:p>
      <w:pPr>
        <w:widowControl/>
        <w:numPr>
          <w:ilvl w:val="0"/>
          <w:numId w:val="1"/>
        </w:numPr>
        <w:spacing w:line="360" w:lineRule="auto"/>
        <w:ind w:left="0" w:leftChars="0" w:firstLine="420" w:firstLineChars="0"/>
        <w:contextualSpacing/>
        <w:outlineLvl w:val="9"/>
        <w:rPr>
          <w:rFonts w:hint="eastAsia" w:ascii="宋体" w:hAnsi="宋体" w:eastAsia="宋体" w:cs="黑体"/>
          <w:b/>
          <w:bCs/>
          <w:sz w:val="24"/>
          <w:highlight w:val="none"/>
          <w:lang w:val="en-US" w:eastAsia="zh-CN"/>
        </w:rPr>
      </w:pPr>
      <w:r>
        <w:rPr>
          <w:rFonts w:hint="eastAsia" w:ascii="宋体" w:hAnsi="宋体" w:eastAsia="宋体" w:cs="黑体"/>
          <w:b/>
          <w:bCs/>
          <w:color w:val="000000"/>
          <w:sz w:val="24"/>
          <w:highlight w:val="none"/>
          <w:lang w:val="en-US" w:eastAsia="zh-CN"/>
        </w:rPr>
        <w:t>投资者个人信息授权</w:t>
      </w:r>
    </w:p>
    <w:p>
      <w:pPr>
        <w:widowControl/>
        <w:numPr>
          <w:ilvl w:val="0"/>
          <w:numId w:val="0"/>
        </w:numPr>
        <w:spacing w:line="360" w:lineRule="auto"/>
        <w:ind w:left="0" w:leftChars="0" w:firstLine="482" w:firstLineChars="200"/>
        <w:contextualSpacing/>
        <w:rPr>
          <w:rFonts w:hint="eastAsia" w:ascii="宋体" w:hAnsi="宋体" w:eastAsia="宋体" w:cs="黑体"/>
          <w:b/>
          <w:bCs/>
          <w:sz w:val="24"/>
          <w:highlight w:val="none"/>
          <w:lang w:val="en-US" w:eastAsia="zh-CN"/>
        </w:rPr>
      </w:pPr>
      <w:r>
        <w:rPr>
          <w:rFonts w:hint="eastAsia" w:ascii="宋体" w:hAnsi="宋体" w:eastAsia="宋体" w:cs="黑体"/>
          <w:b/>
          <w:bCs/>
          <w:color w:val="000000"/>
          <w:sz w:val="24"/>
          <w:highlight w:val="none"/>
          <w:lang w:val="en-US" w:eastAsia="zh-CN"/>
        </w:rPr>
        <w:t>基于销售机构履行本协议、进行服务管理和风险管理、报送监管信息等需要，履行反洗钱、投资者资质审核和销售适当性等法律法规和监管要求的义务，投资者在此同意并授权销售机构在业务办理或履行过程中按照合法、正当、必要原则收集、存储、使用、加工、传输投资者个人信息，处理范围限于实现前述目的所必需的信息，包括个人身份信息、联络方式、财产信息、账户信息、风险偏好与投资目标及法律法规规定的其他必要信息。</w:t>
      </w:r>
    </w:p>
    <w:p>
      <w:pPr>
        <w:widowControl/>
        <w:numPr>
          <w:ilvl w:val="0"/>
          <w:numId w:val="1"/>
        </w:numPr>
        <w:spacing w:line="360" w:lineRule="auto"/>
        <w:ind w:left="0" w:leftChars="0" w:firstLine="420" w:firstLineChars="0"/>
        <w:contextualSpacing/>
        <w:outlineLvl w:val="9"/>
        <w:rPr>
          <w:rFonts w:hint="eastAsia" w:ascii="宋体" w:hAnsi="宋体" w:eastAsia="宋体" w:cs="黑体"/>
          <w:b/>
          <w:bCs/>
          <w:sz w:val="24"/>
          <w:highlight w:val="none"/>
          <w:lang w:val="en-US" w:eastAsia="zh-CN"/>
        </w:rPr>
      </w:pPr>
      <w:r>
        <w:rPr>
          <w:rFonts w:hint="eastAsia" w:ascii="宋体" w:hAnsi="宋体" w:eastAsia="宋体" w:cs="黑体"/>
          <w:b/>
          <w:bCs/>
          <w:color w:val="000000"/>
          <w:sz w:val="24"/>
          <w:highlight w:val="none"/>
          <w:lang w:val="en-US" w:eastAsia="zh-CN"/>
        </w:rPr>
        <w:t>投</w:t>
      </w:r>
      <w:r>
        <w:rPr>
          <w:rFonts w:hint="eastAsia" w:ascii="宋体" w:hAnsi="宋体"/>
          <w:b/>
          <w:bCs/>
          <w:color w:val="000000"/>
          <w:sz w:val="24"/>
          <w:highlight w:val="none"/>
        </w:rPr>
        <w:t>资者同意关于杭银理财发行且被评定为中高风险及以上的理财计划，可通过经杭银理财认可的销售渠道（含线上渠道和线下渠道等）进行交易。如通过线上渠道办理，投资者知晓并确认自身对于上述理财计划的特性及风险有充分的了解与判断。如销售机构有相关规定的，则应以销售机构的要求为准。</w:t>
      </w:r>
    </w:p>
    <w:p>
      <w:pPr>
        <w:widowControl/>
        <w:numPr>
          <w:ilvl w:val="0"/>
          <w:numId w:val="0"/>
        </w:numPr>
        <w:spacing w:line="360" w:lineRule="auto"/>
        <w:ind w:left="0" w:leftChars="0" w:firstLine="482" w:firstLineChars="200"/>
        <w:contextualSpacing/>
        <w:rPr>
          <w:rFonts w:hint="default" w:ascii="宋体" w:hAnsi="宋体" w:eastAsia="宋体" w:cs="黑体"/>
          <w:b/>
          <w:bCs/>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2"/>
        <w:rPr>
          <w:rFonts w:hint="eastAsia" w:ascii="Calibri" w:hAnsi="Calibri" w:eastAsia="宋体" w:cs="黑体"/>
          <w:b/>
          <w:bCs/>
          <w:sz w:val="24"/>
          <w:highlight w:val="none"/>
          <w:lang w:val="en-US" w:eastAsia="zh-CN"/>
        </w:rPr>
      </w:pPr>
      <w:r>
        <w:rPr>
          <w:rFonts w:hint="eastAsia" w:eastAsia="宋体" w:cs="黑体"/>
          <w:b/>
          <w:bCs/>
          <w:color w:val="000000"/>
          <w:sz w:val="24"/>
          <w:highlight w:val="none"/>
          <w:lang w:val="en-US" w:eastAsia="zh-CN"/>
        </w:rPr>
        <w:t xml:space="preserve">第三条 </w:t>
      </w:r>
      <w:r>
        <w:rPr>
          <w:rFonts w:hint="eastAsia" w:ascii="Calibri" w:hAnsi="Calibri" w:eastAsia="宋体" w:cs="黑体"/>
          <w:b/>
          <w:bCs/>
          <w:color w:val="000000"/>
          <w:sz w:val="24"/>
          <w:highlight w:val="none"/>
          <w:lang w:val="en-US" w:eastAsia="zh-CN"/>
        </w:rPr>
        <w:t>销售机构的权利与义务</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20" w:firstLineChars="0"/>
        <w:contextualSpacing/>
        <w:jc w:val="left"/>
        <w:textAlignment w:val="auto"/>
        <w:outlineLvl w:val="9"/>
        <w:rPr>
          <w:rFonts w:hint="eastAsia" w:ascii="宋体" w:hAnsi="宋体" w:eastAsia="宋体" w:cs="黑体"/>
          <w:sz w:val="24"/>
          <w:highlight w:val="none"/>
          <w:lang w:val="en-US" w:eastAsia="zh-CN"/>
        </w:rPr>
      </w:pPr>
      <w:r>
        <w:rPr>
          <w:rFonts w:hint="eastAsia" w:ascii="宋体" w:hAnsi="宋体" w:eastAsia="宋体" w:cs="黑体"/>
          <w:color w:val="000000"/>
          <w:sz w:val="24"/>
          <w:highlight w:val="none"/>
          <w:lang w:val="en-US" w:eastAsia="zh-CN"/>
        </w:rPr>
        <w:t>销售机构应对拟销售的理财计划开展尽职调查，承担审批职责，并纳入本机构统一专门名单管理，不得仅以管理人相关产品资料或其出具意见作为审批依据。销售机构应当根据本机构的方式和方法，独立、审慎地对代理销售的理财计划进行销售评级。销售评级与管理人产品评级结果不一致的，销售机构应当采用对应较高风险等级的评级结果并予以披露。</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20" w:firstLineChars="0"/>
        <w:contextualSpacing/>
        <w:jc w:val="left"/>
        <w:textAlignment w:val="auto"/>
        <w:outlineLvl w:val="9"/>
        <w:rPr>
          <w:rFonts w:hint="eastAsia" w:ascii="宋体" w:hAnsi="宋体" w:eastAsia="宋体" w:cs="黑体"/>
          <w:sz w:val="24"/>
          <w:highlight w:val="none"/>
          <w:lang w:val="en-US" w:eastAsia="zh-CN"/>
        </w:rPr>
      </w:pPr>
      <w:r>
        <w:rPr>
          <w:rFonts w:hint="eastAsia" w:ascii="宋体" w:hAnsi="宋体" w:eastAsia="宋体" w:cs="黑体"/>
          <w:b/>
          <w:bCs/>
          <w:color w:val="000000"/>
          <w:sz w:val="24"/>
          <w:highlight w:val="none"/>
          <w:lang w:val="en-US" w:eastAsia="zh-CN"/>
        </w:rPr>
        <w:t>代理销售机构非本计划的发行、管理机构，对本计划的业绩不承担任何保证和其他经济责任，不承担本计划的投资和兑付管理责任</w:t>
      </w:r>
      <w:r>
        <w:rPr>
          <w:rFonts w:hint="eastAsia" w:ascii="宋体" w:hAnsi="宋体" w:eastAsia="宋体" w:cs="黑体"/>
          <w:color w:val="000000"/>
          <w:sz w:val="24"/>
          <w:highlight w:val="none"/>
          <w:lang w:val="en-US" w:eastAsia="zh-CN"/>
        </w:rPr>
        <w:t>。</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20" w:firstLineChars="0"/>
        <w:contextualSpacing/>
        <w:jc w:val="both"/>
        <w:textAlignment w:val="auto"/>
        <w:outlineLvl w:val="9"/>
        <w:rPr>
          <w:rFonts w:hint="eastAsia" w:ascii="宋体" w:hAnsi="宋体" w:eastAsia="宋体" w:cs="黑体"/>
          <w:sz w:val="24"/>
          <w:highlight w:val="none"/>
          <w:lang w:val="en-US" w:eastAsia="zh-CN"/>
        </w:rPr>
      </w:pPr>
      <w:r>
        <w:rPr>
          <w:rFonts w:hint="eastAsia" w:ascii="宋体" w:hAnsi="宋体" w:eastAsia="宋体" w:cs="黑体"/>
          <w:color w:val="000000"/>
          <w:sz w:val="24"/>
          <w:highlight w:val="none"/>
          <w:lang w:val="en-US" w:eastAsia="zh-CN"/>
        </w:rPr>
        <w:t>销售机构应定期对购买其代理销售的理财计划的普通投资者进行有效风险承受能力评估，并保证向投资者推介及销售与其风险承受能力匹配的产品。</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20" w:firstLineChars="0"/>
        <w:contextualSpacing/>
        <w:jc w:val="left"/>
        <w:textAlignment w:val="auto"/>
        <w:outlineLvl w:val="9"/>
        <w:rPr>
          <w:rFonts w:hint="eastAsia" w:ascii="宋体" w:hAnsi="宋体" w:eastAsia="宋体" w:cs="黑体"/>
          <w:sz w:val="24"/>
          <w:highlight w:val="none"/>
          <w:lang w:val="en-US" w:eastAsia="zh-CN"/>
        </w:rPr>
      </w:pPr>
      <w:r>
        <w:rPr>
          <w:rFonts w:hint="eastAsia" w:ascii="宋体" w:hAnsi="宋体" w:eastAsia="宋体" w:cs="黑体"/>
          <w:color w:val="000000"/>
          <w:sz w:val="24"/>
          <w:highlight w:val="none"/>
          <w:lang w:val="en-US" w:eastAsia="zh-CN"/>
        </w:rPr>
        <w:t>对于通过营业网点向非机构投资者销售理财计划的，销售机构应按照监管规定实施理财计划销售专区管理，对销售专区设置明显标识，并在销售专区内对每只理财计划销售过程进行录音录像。除非与非机构投资者当面书面约定，评级为四级以上理财计划的销售，应当在营业网点进行。</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20" w:firstLineChars="0"/>
        <w:contextualSpacing/>
        <w:jc w:val="both"/>
        <w:textAlignment w:val="auto"/>
        <w:outlineLvl w:val="9"/>
        <w:rPr>
          <w:rFonts w:hint="eastAsia" w:ascii="宋体" w:hAnsi="宋体" w:eastAsia="宋体" w:cs="黑体"/>
          <w:sz w:val="24"/>
          <w:highlight w:val="none"/>
          <w:lang w:val="en-US" w:eastAsia="zh-CN"/>
        </w:rPr>
      </w:pPr>
      <w:r>
        <w:rPr>
          <w:rFonts w:hint="eastAsia" w:ascii="宋体" w:hAnsi="宋体" w:eastAsia="宋体" w:cs="黑体"/>
          <w:color w:val="000000"/>
          <w:sz w:val="24"/>
          <w:highlight w:val="none"/>
          <w:lang w:val="en-US" w:eastAsia="zh-CN"/>
        </w:rPr>
        <w:t>销售机构不得擅自使用未经管理人授权或审核同意的理财计划宣传推介材料，在全国银行业理财信息登记系统对理财计划进行登记并获得登记编码前，不得发布理财计划宣传推介材料或办理理财计划销售业务。</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20" w:firstLineChars="0"/>
        <w:contextualSpacing/>
        <w:jc w:val="left"/>
        <w:textAlignment w:val="auto"/>
        <w:outlineLvl w:val="9"/>
        <w:rPr>
          <w:rFonts w:hint="eastAsia" w:ascii="宋体" w:hAnsi="宋体" w:eastAsia="宋体" w:cs="黑体"/>
          <w:sz w:val="24"/>
          <w:highlight w:val="none"/>
          <w:lang w:val="en-US" w:eastAsia="zh-CN"/>
        </w:rPr>
      </w:pPr>
      <w:r>
        <w:rPr>
          <w:rFonts w:hint="eastAsia" w:ascii="宋体" w:hAnsi="宋体" w:eastAsia="宋体" w:cs="黑体"/>
          <w:color w:val="000000"/>
          <w:sz w:val="24"/>
          <w:highlight w:val="none"/>
          <w:lang w:val="en-US" w:eastAsia="zh-CN"/>
        </w:rPr>
        <w:t>销售机构应建立健全上岗资格、持续培训、信息公示与查询核实等制度并有效执行。未经销售机构进行上岗资格认定并签订劳动合同，任何人员不得从事理财计划销售业务活动。</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20" w:firstLineChars="0"/>
        <w:contextualSpacing/>
        <w:jc w:val="left"/>
        <w:textAlignment w:val="auto"/>
        <w:outlineLvl w:val="9"/>
        <w:rPr>
          <w:rFonts w:hint="eastAsia" w:ascii="宋体" w:hAnsi="宋体" w:eastAsia="宋体" w:cs="黑体"/>
          <w:sz w:val="24"/>
          <w:highlight w:val="none"/>
          <w:lang w:val="en-US" w:eastAsia="zh-CN"/>
        </w:rPr>
      </w:pPr>
      <w:r>
        <w:rPr>
          <w:rFonts w:hint="eastAsia" w:ascii="宋体" w:hAnsi="宋体" w:eastAsia="宋体" w:cs="黑体"/>
          <w:color w:val="000000"/>
          <w:sz w:val="24"/>
          <w:highlight w:val="none"/>
          <w:lang w:val="en-US" w:eastAsia="zh-CN"/>
        </w:rPr>
        <w:t>销售机构应对所有销售人员信息进行登记和公示。销售人员在向投资者宣传销售理财计划前进行自我介绍并告知信息查询和核实渠道，便于投资者查询核实，防止伪冒身份和虚假宣传。</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20" w:firstLineChars="0"/>
        <w:contextualSpacing/>
        <w:jc w:val="left"/>
        <w:textAlignment w:val="auto"/>
        <w:outlineLvl w:val="9"/>
        <w:rPr>
          <w:rFonts w:hint="eastAsia" w:ascii="宋体" w:hAnsi="宋体" w:eastAsia="宋体" w:cs="黑体"/>
          <w:sz w:val="24"/>
          <w:highlight w:val="none"/>
          <w:lang w:val="en-US" w:eastAsia="zh-CN"/>
        </w:rPr>
      </w:pPr>
      <w:r>
        <w:rPr>
          <w:rFonts w:hint="eastAsia" w:ascii="宋体" w:hAnsi="宋体" w:eastAsia="宋体" w:cs="黑体"/>
          <w:color w:val="000000"/>
          <w:sz w:val="24"/>
          <w:highlight w:val="none"/>
          <w:lang w:val="en-US" w:eastAsia="zh-CN"/>
        </w:rPr>
        <w:t>销售机构对投资者负有信息保密义务，未经投资者书面许可，销售机构不得向任何组织、个人提供或泄露与投资者有关的业务资料及信息，但法律、法规、监管机构另有规定的除外。</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20" w:firstLineChars="0"/>
        <w:contextualSpacing/>
        <w:jc w:val="left"/>
        <w:textAlignment w:val="auto"/>
        <w:outlineLvl w:val="9"/>
        <w:rPr>
          <w:rFonts w:hint="eastAsia" w:ascii="宋体" w:hAnsi="宋体" w:eastAsia="宋体" w:cs="黑体"/>
          <w:sz w:val="24"/>
          <w:highlight w:val="none"/>
          <w:lang w:val="en-US" w:eastAsia="zh-CN"/>
        </w:rPr>
      </w:pPr>
      <w:r>
        <w:rPr>
          <w:rFonts w:hint="eastAsia" w:ascii="宋体" w:hAnsi="宋体" w:eastAsia="宋体" w:cs="黑体"/>
          <w:color w:val="000000"/>
          <w:sz w:val="24"/>
          <w:highlight w:val="none"/>
          <w:lang w:val="en-US" w:eastAsia="zh-CN"/>
        </w:rPr>
        <w:t>销售机构应按照法律法规、监管规定、理财计划合同的约定收取销售费用，并如实核算、记账。未经载明，不得对不同投资者适用不同费率。</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firstLine="420"/>
        <w:contextualSpacing/>
        <w:jc w:val="left"/>
        <w:textAlignment w:val="auto"/>
        <w:outlineLvl w:val="9"/>
        <w:rPr>
          <w:rFonts w:hint="eastAsia" w:ascii="宋体" w:hAnsi="宋体" w:eastAsia="宋体" w:cs="黑体"/>
          <w:sz w:val="24"/>
          <w:highlight w:val="none"/>
          <w:lang w:val="en-US" w:eastAsia="zh-CN"/>
        </w:rPr>
      </w:pPr>
      <w:r>
        <w:rPr>
          <w:rFonts w:hint="eastAsia" w:ascii="宋体" w:hAnsi="宋体" w:eastAsia="宋体" w:cs="黑体"/>
          <w:color w:val="000000"/>
          <w:sz w:val="24"/>
          <w:highlight w:val="none"/>
          <w:lang w:val="en-US" w:eastAsia="zh-CN"/>
        </w:rPr>
        <w:t>理财计划销售结算资金属于理财计划投资者，销售机构不得挪用理财计划销售结算资金或将理财计划销售结算资金归入自有资产。</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firstLine="420"/>
        <w:contextualSpacing/>
        <w:jc w:val="left"/>
        <w:textAlignment w:val="auto"/>
        <w:outlineLvl w:val="9"/>
        <w:rPr>
          <w:rFonts w:hint="eastAsia" w:ascii="宋体" w:hAnsi="宋体" w:eastAsia="宋体" w:cs="黑体"/>
          <w:sz w:val="24"/>
          <w:highlight w:val="none"/>
          <w:lang w:val="en-US" w:eastAsia="zh-CN"/>
        </w:rPr>
      </w:pPr>
      <w:r>
        <w:rPr>
          <w:rFonts w:hint="eastAsia" w:ascii="宋体" w:hAnsi="宋体" w:eastAsia="宋体" w:cs="黑体"/>
          <w:color w:val="000000"/>
          <w:sz w:val="24"/>
          <w:highlight w:val="none"/>
          <w:lang w:val="en-US" w:eastAsia="zh-CN"/>
        </w:rPr>
        <w:t>销售机构应遵守相关法律、法规、监管规定及理财计划合同约定，诚实守信、勤勉尽责，向购买理财计划的投资者充分传递管理人披露的产品相关信息并进行充分的风险揭示。</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firstLine="420"/>
        <w:contextualSpacing/>
        <w:jc w:val="left"/>
        <w:textAlignment w:val="auto"/>
        <w:outlineLvl w:val="9"/>
        <w:rPr>
          <w:rFonts w:hint="eastAsia" w:ascii="宋体" w:hAnsi="宋体" w:eastAsia="宋体" w:cs="黑体"/>
          <w:sz w:val="24"/>
          <w:highlight w:val="none"/>
          <w:lang w:val="en-US" w:eastAsia="zh-CN"/>
        </w:rPr>
      </w:pPr>
      <w:r>
        <w:rPr>
          <w:rFonts w:hint="eastAsia" w:ascii="宋体" w:hAnsi="宋体" w:eastAsia="宋体" w:cs="黑体"/>
          <w:color w:val="000000"/>
          <w:sz w:val="24"/>
          <w:highlight w:val="none"/>
          <w:lang w:val="en-US" w:eastAsia="zh-CN"/>
        </w:rPr>
        <w:t>销售机构应当充分利用科技手段，加强对伪冒网站、伪冒产品等监测，有效防范各类欺诈风险。</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482" w:firstLine="0"/>
        <w:contextualSpacing/>
        <w:jc w:val="left"/>
        <w:textAlignment w:val="auto"/>
        <w:rPr>
          <w:rFonts w:hint="eastAsia" w:ascii="宋体" w:hAnsi="宋体" w:eastAsia="宋体" w:cs="黑体"/>
          <w:b/>
          <w:bCs/>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2"/>
        <w:rPr>
          <w:rFonts w:hint="eastAsia" w:ascii="Calibri" w:hAnsi="Calibri" w:eastAsia="宋体" w:cs="黑体"/>
          <w:b/>
          <w:bCs/>
          <w:sz w:val="24"/>
          <w:highlight w:val="none"/>
          <w:lang w:val="en-US" w:eastAsia="zh-CN"/>
        </w:rPr>
      </w:pPr>
      <w:r>
        <w:rPr>
          <w:rFonts w:hint="eastAsia" w:eastAsia="宋体" w:cs="黑体"/>
          <w:b/>
          <w:bCs/>
          <w:color w:val="000000"/>
          <w:sz w:val="24"/>
          <w:highlight w:val="none"/>
          <w:lang w:val="en-US" w:eastAsia="zh-CN"/>
        </w:rPr>
        <w:t xml:space="preserve">第四条 </w:t>
      </w:r>
      <w:r>
        <w:rPr>
          <w:rFonts w:hint="eastAsia" w:ascii="Calibri" w:hAnsi="Calibri" w:eastAsia="宋体" w:cs="黑体"/>
          <w:b/>
          <w:bCs/>
          <w:color w:val="000000"/>
          <w:sz w:val="24"/>
          <w:highlight w:val="none"/>
          <w:lang w:val="en-US" w:eastAsia="zh-CN"/>
        </w:rPr>
        <w:t>理财计划认（申）购、赎回及终止</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sz w:val="24"/>
          <w:highlight w:val="none"/>
        </w:rPr>
      </w:pPr>
      <w:r>
        <w:rPr>
          <w:rFonts w:hint="eastAsia" w:ascii="宋体" w:hAnsi="宋体" w:eastAsia="宋体" w:cs="黑体"/>
          <w:color w:val="000000"/>
          <w:sz w:val="24"/>
          <w:highlight w:val="none"/>
        </w:rPr>
        <w:t xml:space="preserve">理财计划认/申购办理流程：参照投资者权益须知约定。 </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sz w:val="24"/>
          <w:highlight w:val="none"/>
        </w:rPr>
      </w:pPr>
      <w:r>
        <w:rPr>
          <w:rFonts w:hint="eastAsia" w:ascii="宋体" w:hAnsi="宋体" w:eastAsia="宋体" w:cs="黑体"/>
          <w:color w:val="000000"/>
          <w:sz w:val="24"/>
          <w:highlight w:val="none"/>
        </w:rPr>
        <w:t>理财计划认/申购确认：管理人根据</w:t>
      </w:r>
      <w:r>
        <w:rPr>
          <w:rFonts w:hint="eastAsia" w:ascii="宋体" w:hAnsi="宋体" w:eastAsia="宋体" w:cs="黑体"/>
          <w:color w:val="000000"/>
          <w:sz w:val="24"/>
          <w:highlight w:val="none"/>
          <w:lang w:eastAsia="zh-CN"/>
        </w:rPr>
        <w:t>销售</w:t>
      </w:r>
      <w:r>
        <w:rPr>
          <w:rFonts w:hint="eastAsia" w:ascii="宋体" w:hAnsi="宋体" w:eastAsia="宋体" w:cs="黑体"/>
          <w:color w:val="000000"/>
          <w:sz w:val="24"/>
          <w:highlight w:val="none"/>
        </w:rPr>
        <w:t>渠道提供的交易信息及资金划付对投资者相应认/申购进行确认。</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sz w:val="24"/>
          <w:highlight w:val="none"/>
        </w:rPr>
      </w:pPr>
      <w:r>
        <w:rPr>
          <w:rFonts w:hint="eastAsia" w:ascii="宋体" w:hAnsi="宋体" w:eastAsia="宋体" w:cs="黑体"/>
          <w:color w:val="000000"/>
          <w:sz w:val="24"/>
          <w:highlight w:val="none"/>
        </w:rPr>
        <w:t>理财计划不成立：若在募集期结束日，本理财计划发行规模未能达到对应期次的理财计划产品说明书规定的要求，则本理财计划不成立，</w:t>
      </w:r>
      <w:r>
        <w:rPr>
          <w:rFonts w:hint="eastAsia" w:ascii="宋体" w:hAnsi="宋体" w:eastAsia="宋体" w:cs="黑体"/>
          <w:color w:val="000000"/>
          <w:sz w:val="24"/>
          <w:highlight w:val="none"/>
          <w:lang w:eastAsia="zh-CN"/>
        </w:rPr>
        <w:t>销售机构</w:t>
      </w:r>
      <w:r>
        <w:rPr>
          <w:rFonts w:hint="eastAsia" w:ascii="宋体" w:hAnsi="宋体" w:eastAsia="宋体" w:cs="黑体"/>
          <w:color w:val="000000"/>
          <w:sz w:val="24"/>
          <w:highlight w:val="none"/>
        </w:rPr>
        <w:t xml:space="preserve">将按对应期次的理财计划产品说明书约定条款向投资者进行公告，并将及时解除对投资者授权指定账户中认购资金的冻结。 </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sz w:val="24"/>
          <w:highlight w:val="none"/>
        </w:rPr>
      </w:pPr>
      <w:r>
        <w:rPr>
          <w:rFonts w:hint="eastAsia" w:ascii="宋体" w:hAnsi="宋体" w:eastAsia="宋体" w:cs="黑体"/>
          <w:color w:val="000000"/>
          <w:sz w:val="24"/>
          <w:highlight w:val="none"/>
        </w:rPr>
        <w:t xml:space="preserve">理财计划投资品种、投资起点金额、收益支付方式：参照对应期次的理财计划产品说明书中的条款约定。 </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sz w:val="24"/>
          <w:highlight w:val="none"/>
        </w:rPr>
      </w:pPr>
      <w:r>
        <w:rPr>
          <w:rFonts w:hint="eastAsia" w:ascii="宋体" w:hAnsi="宋体" w:eastAsia="宋体" w:cs="黑体"/>
          <w:color w:val="000000"/>
          <w:sz w:val="24"/>
          <w:highlight w:val="none"/>
        </w:rPr>
        <w:t>理财计划赎回/终止兑付：在正常情况下，管理人和</w:t>
      </w:r>
      <w:r>
        <w:rPr>
          <w:rFonts w:hint="eastAsia" w:ascii="宋体" w:hAnsi="宋体" w:eastAsia="宋体" w:cs="黑体"/>
          <w:color w:val="000000"/>
          <w:sz w:val="24"/>
          <w:highlight w:val="none"/>
          <w:lang w:eastAsia="zh-CN"/>
        </w:rPr>
        <w:t>销售机构</w:t>
      </w:r>
      <w:r>
        <w:rPr>
          <w:rFonts w:hint="eastAsia" w:ascii="宋体" w:hAnsi="宋体" w:eastAsia="宋体" w:cs="黑体"/>
          <w:color w:val="000000"/>
          <w:sz w:val="24"/>
          <w:highlight w:val="none"/>
        </w:rPr>
        <w:t>将按照对应期次的理财计划产品说明书相关约定，将兑付款项划入投资者授权指定账户。如出现不可抗力、市场停市或管制等异常事件、交易对手违约或其他非管理人主导、仅能被动接受的外部事件或客观情形，导致理财计划无法按约定日清算时，或根据</w:t>
      </w:r>
      <w:r>
        <w:rPr>
          <w:rFonts w:hint="eastAsia" w:ascii="宋体" w:hAnsi="宋体" w:eastAsia="宋体" w:cs="黑体"/>
          <w:color w:val="000000"/>
          <w:sz w:val="24"/>
          <w:highlight w:val="none"/>
          <w:lang w:val="en-US" w:eastAsia="zh-CN"/>
        </w:rPr>
        <w:t>理财计划</w:t>
      </w:r>
      <w:r>
        <w:rPr>
          <w:rFonts w:hint="eastAsia" w:ascii="宋体" w:hAnsi="宋体" w:eastAsia="宋体" w:cs="黑体"/>
          <w:color w:val="000000"/>
          <w:sz w:val="24"/>
          <w:highlight w:val="none"/>
        </w:rPr>
        <w:t>产品说明书约定管理人对理财计划进行延期或转换时，</w:t>
      </w:r>
      <w:r>
        <w:rPr>
          <w:rFonts w:hint="eastAsia" w:ascii="宋体" w:hAnsi="宋体" w:eastAsia="宋体" w:cs="黑体"/>
          <w:color w:val="000000"/>
          <w:sz w:val="24"/>
          <w:highlight w:val="none"/>
          <w:lang w:eastAsia="zh-CN"/>
        </w:rPr>
        <w:t>销售机构</w:t>
      </w:r>
      <w:r>
        <w:rPr>
          <w:rFonts w:hint="eastAsia" w:ascii="宋体" w:hAnsi="宋体" w:eastAsia="宋体" w:cs="黑体"/>
          <w:color w:val="000000"/>
          <w:sz w:val="24"/>
          <w:highlight w:val="none"/>
        </w:rPr>
        <w:t>将于原约定清算日前通过信息披露途径及时通知，并根据实际情况进行后续处理。</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sz w:val="24"/>
          <w:highlight w:val="none"/>
          <w:lang w:val="en-US" w:eastAsia="zh-CN"/>
        </w:rPr>
      </w:pPr>
      <w:r>
        <w:rPr>
          <w:rFonts w:hint="eastAsia" w:ascii="宋体" w:hAnsi="宋体" w:eastAsia="宋体" w:cs="黑体"/>
          <w:color w:val="000000"/>
          <w:sz w:val="24"/>
          <w:highlight w:val="none"/>
        </w:rPr>
        <w:t>资金清算：理财计划终止或份额赎回时，管理人按理财计划合同约定划付至</w:t>
      </w:r>
      <w:r>
        <w:rPr>
          <w:rFonts w:hint="eastAsia" w:ascii="宋体" w:hAnsi="宋体" w:eastAsia="宋体" w:cs="黑体"/>
          <w:color w:val="000000"/>
          <w:sz w:val="24"/>
          <w:highlight w:val="none"/>
          <w:lang w:eastAsia="zh-CN"/>
        </w:rPr>
        <w:t>销售机构</w:t>
      </w:r>
      <w:r>
        <w:rPr>
          <w:rFonts w:hint="eastAsia" w:ascii="宋体" w:hAnsi="宋体" w:eastAsia="宋体" w:cs="黑体"/>
          <w:color w:val="000000"/>
          <w:sz w:val="24"/>
          <w:highlight w:val="none"/>
        </w:rPr>
        <w:t>清算账户后，由</w:t>
      </w:r>
      <w:r>
        <w:rPr>
          <w:rFonts w:hint="eastAsia" w:ascii="宋体" w:hAnsi="宋体" w:eastAsia="宋体" w:cs="黑体"/>
          <w:color w:val="000000"/>
          <w:sz w:val="24"/>
          <w:highlight w:val="none"/>
          <w:lang w:eastAsia="zh-CN"/>
        </w:rPr>
        <w:t>销售机构</w:t>
      </w:r>
      <w:r>
        <w:rPr>
          <w:rFonts w:hint="eastAsia" w:ascii="宋体" w:hAnsi="宋体" w:eastAsia="宋体" w:cs="黑体"/>
          <w:color w:val="000000"/>
          <w:sz w:val="24"/>
          <w:highlight w:val="none"/>
        </w:rPr>
        <w:t>向投资者划付投资者应得资金。如因投资者清算账户余额不足，或</w:t>
      </w:r>
      <w:r>
        <w:rPr>
          <w:rFonts w:hint="eastAsia" w:ascii="宋体" w:hAnsi="宋体" w:eastAsia="宋体" w:cs="黑体"/>
          <w:color w:val="000000"/>
          <w:sz w:val="24"/>
          <w:highlight w:val="none"/>
          <w:lang w:eastAsia="zh-CN"/>
        </w:rPr>
        <w:t>销售机构</w:t>
      </w:r>
      <w:r>
        <w:rPr>
          <w:rFonts w:hint="eastAsia" w:ascii="宋体" w:hAnsi="宋体" w:eastAsia="宋体" w:cs="黑体"/>
          <w:color w:val="000000"/>
          <w:sz w:val="24"/>
          <w:highlight w:val="none"/>
        </w:rPr>
        <w:t>未及时足额划付资金，或</w:t>
      </w:r>
      <w:r>
        <w:rPr>
          <w:rFonts w:hint="eastAsia" w:ascii="宋体" w:hAnsi="宋体" w:eastAsia="宋体" w:cs="黑体"/>
          <w:color w:val="000000"/>
          <w:sz w:val="24"/>
          <w:highlight w:val="none"/>
          <w:lang w:eastAsia="zh-CN"/>
        </w:rPr>
        <w:t>销售机构</w:t>
      </w:r>
      <w:r>
        <w:rPr>
          <w:rFonts w:hint="eastAsia" w:ascii="宋体" w:hAnsi="宋体" w:eastAsia="宋体" w:cs="黑体"/>
          <w:color w:val="000000"/>
          <w:sz w:val="24"/>
          <w:highlight w:val="none"/>
        </w:rPr>
        <w:t>清算账户内资金被依法冻结或扣划，或</w:t>
      </w:r>
      <w:r>
        <w:rPr>
          <w:rFonts w:hint="eastAsia" w:ascii="宋体" w:hAnsi="宋体" w:eastAsia="宋体" w:cs="黑体"/>
          <w:color w:val="000000"/>
          <w:sz w:val="24"/>
          <w:highlight w:val="none"/>
          <w:lang w:eastAsia="zh-CN"/>
        </w:rPr>
        <w:t>销售机构</w:t>
      </w:r>
      <w:r>
        <w:rPr>
          <w:rFonts w:hint="eastAsia" w:ascii="宋体" w:hAnsi="宋体" w:eastAsia="宋体" w:cs="黑体"/>
          <w:color w:val="000000"/>
          <w:sz w:val="24"/>
          <w:highlight w:val="none"/>
        </w:rPr>
        <w:t>清算账户处于被挂失、冻结、注销或其他非正常状态等原因而导致交易失败</w:t>
      </w:r>
      <w:r>
        <w:rPr>
          <w:rFonts w:hint="eastAsia" w:ascii="宋体" w:hAnsi="宋体" w:eastAsia="宋体" w:cs="黑体"/>
          <w:color w:val="000000"/>
          <w:sz w:val="24"/>
          <w:highlight w:val="none"/>
          <w:lang w:eastAsia="zh-CN"/>
        </w:rPr>
        <w:t>，</w:t>
      </w:r>
      <w:r>
        <w:rPr>
          <w:rFonts w:hint="eastAsia" w:ascii="宋体" w:hAnsi="宋体" w:eastAsia="宋体" w:cs="黑体"/>
          <w:color w:val="000000"/>
          <w:sz w:val="24"/>
          <w:highlight w:val="none"/>
        </w:rPr>
        <w:t>对于因上述原因导致的交易失败可能带来的任何损失及预期损失，投资者须自行承担或向</w:t>
      </w:r>
      <w:r>
        <w:rPr>
          <w:rFonts w:hint="eastAsia" w:ascii="宋体" w:hAnsi="宋体" w:eastAsia="宋体" w:cs="黑体"/>
          <w:color w:val="000000"/>
          <w:sz w:val="24"/>
          <w:highlight w:val="none"/>
          <w:lang w:eastAsia="zh-CN"/>
        </w:rPr>
        <w:t>销售机构</w:t>
      </w:r>
      <w:r>
        <w:rPr>
          <w:rFonts w:hint="eastAsia" w:ascii="宋体" w:hAnsi="宋体" w:eastAsia="宋体" w:cs="黑体"/>
          <w:color w:val="000000"/>
          <w:sz w:val="24"/>
          <w:highlight w:val="none"/>
        </w:rPr>
        <w:t>依法主张。</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178" w:leftChars="85" w:firstLine="0" w:firstLineChars="0"/>
        <w:contextualSpacing/>
        <w:textAlignment w:val="auto"/>
        <w:rPr>
          <w:rFonts w:hint="eastAsia" w:ascii="宋体" w:hAnsi="宋体" w:eastAsia="宋体" w:cs="黑体"/>
          <w:b/>
          <w:bCs/>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2"/>
        <w:rPr>
          <w:rFonts w:hint="eastAsia" w:ascii="Calibri" w:hAnsi="Calibri" w:eastAsia="宋体" w:cs="黑体"/>
          <w:b/>
          <w:bCs/>
          <w:sz w:val="24"/>
          <w:highlight w:val="none"/>
          <w:lang w:val="en-US" w:eastAsia="zh-CN"/>
        </w:rPr>
      </w:pPr>
      <w:r>
        <w:rPr>
          <w:rFonts w:hint="eastAsia" w:eastAsia="宋体" w:cs="黑体"/>
          <w:b/>
          <w:bCs/>
          <w:color w:val="000000"/>
          <w:sz w:val="24"/>
          <w:highlight w:val="none"/>
          <w:lang w:val="en-US" w:eastAsia="zh-CN"/>
        </w:rPr>
        <w:t xml:space="preserve">第五条 </w:t>
      </w:r>
      <w:r>
        <w:rPr>
          <w:rFonts w:hint="eastAsia" w:ascii="Calibri" w:hAnsi="Calibri" w:eastAsia="宋体" w:cs="黑体"/>
          <w:b/>
          <w:bCs/>
          <w:color w:val="000000"/>
          <w:sz w:val="24"/>
          <w:highlight w:val="none"/>
          <w:lang w:val="en-US" w:eastAsia="zh-CN"/>
        </w:rPr>
        <w:t>违约责任及免责条款</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sz w:val="24"/>
          <w:highlight w:val="none"/>
        </w:rPr>
      </w:pPr>
      <w:r>
        <w:rPr>
          <w:rFonts w:hint="eastAsia" w:ascii="宋体" w:hAnsi="宋体" w:eastAsia="宋体" w:cs="黑体"/>
          <w:color w:val="000000"/>
          <w:sz w:val="24"/>
          <w:highlight w:val="none"/>
        </w:rPr>
        <w:t>若因投资者原因导致司法或行政等有权机关采取强制措施对其理财本金、收益进行部分或全部扣划的，管理人或销售机构有权根据产品运作和法律法规要求对相应理财份额办理部分或全部提前终止或采取其他必要处置措施，本协议相应终止。因前述情形产生的损失及相关费用由投资者承担；理财收益按照实际运作情况计算和分配，不计付存款利息。</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sz w:val="24"/>
          <w:highlight w:val="none"/>
        </w:rPr>
      </w:pPr>
      <w:r>
        <w:rPr>
          <w:rFonts w:hint="eastAsia" w:ascii="宋体" w:hAnsi="宋体" w:eastAsia="宋体" w:cs="黑体"/>
          <w:color w:val="000000"/>
          <w:sz w:val="24"/>
          <w:highlight w:val="none"/>
        </w:rPr>
        <w:t>投资者违反本协议第二条内容，应承担相应违约责任。销售机构对由此导致的理财业务交易延误、中断、终止及投资者损失不承担任何责任，并有权终止双方理财业务关系。因</w:t>
      </w:r>
      <w:r>
        <w:rPr>
          <w:rFonts w:hint="eastAsia" w:ascii="宋体" w:hAnsi="宋体" w:eastAsia="宋体" w:cs="黑体"/>
          <w:color w:val="000000"/>
          <w:sz w:val="24"/>
          <w:highlight w:val="none"/>
          <w:lang w:eastAsia="zh-CN"/>
        </w:rPr>
        <w:t>投资者</w:t>
      </w:r>
      <w:r>
        <w:rPr>
          <w:rFonts w:hint="eastAsia" w:ascii="宋体" w:hAnsi="宋体" w:eastAsia="宋体" w:cs="黑体"/>
          <w:color w:val="000000"/>
          <w:sz w:val="24"/>
          <w:highlight w:val="none"/>
        </w:rPr>
        <w:t>违反双方约定给</w:t>
      </w:r>
      <w:r>
        <w:rPr>
          <w:rFonts w:hint="eastAsia" w:ascii="宋体" w:hAnsi="宋体" w:eastAsia="宋体" w:cs="黑体"/>
          <w:color w:val="000000"/>
          <w:sz w:val="24"/>
          <w:highlight w:val="none"/>
          <w:lang w:val="en-US" w:eastAsia="zh-CN"/>
        </w:rPr>
        <w:t>销售机构</w:t>
      </w:r>
      <w:r>
        <w:rPr>
          <w:rFonts w:hint="eastAsia" w:ascii="宋体" w:hAnsi="宋体" w:eastAsia="宋体" w:cs="黑体"/>
          <w:color w:val="000000"/>
          <w:sz w:val="24"/>
          <w:highlight w:val="none"/>
        </w:rPr>
        <w:t>或全体投资者造成损失的，</w:t>
      </w:r>
      <w:r>
        <w:rPr>
          <w:rFonts w:hint="eastAsia" w:ascii="宋体" w:hAnsi="宋体" w:eastAsia="宋体" w:cs="黑体"/>
          <w:color w:val="000000"/>
          <w:sz w:val="24"/>
          <w:highlight w:val="none"/>
          <w:lang w:eastAsia="zh-CN"/>
        </w:rPr>
        <w:t>投资者</w:t>
      </w:r>
      <w:r>
        <w:rPr>
          <w:rFonts w:hint="eastAsia" w:ascii="宋体" w:hAnsi="宋体" w:eastAsia="宋体" w:cs="黑体"/>
          <w:color w:val="000000"/>
          <w:sz w:val="24"/>
          <w:highlight w:val="none"/>
        </w:rPr>
        <w:t>应承担相应的赔偿责任。</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sz w:val="24"/>
          <w:highlight w:val="none"/>
        </w:rPr>
      </w:pPr>
      <w:r>
        <w:rPr>
          <w:rFonts w:hint="eastAsia" w:ascii="宋体" w:hAnsi="宋体" w:eastAsia="宋体" w:cs="黑体"/>
          <w:color w:val="000000"/>
          <w:sz w:val="24"/>
          <w:highlight w:val="none"/>
        </w:rPr>
        <w:t>若由于</w:t>
      </w:r>
      <w:r>
        <w:rPr>
          <w:rFonts w:hint="eastAsia" w:ascii="宋体" w:hAnsi="宋体" w:eastAsia="宋体" w:cs="黑体"/>
          <w:color w:val="000000"/>
          <w:sz w:val="24"/>
          <w:highlight w:val="none"/>
          <w:lang w:val="en-US" w:eastAsia="zh-CN"/>
        </w:rPr>
        <w:t>销售机构</w:t>
      </w:r>
      <w:r>
        <w:rPr>
          <w:rFonts w:hint="eastAsia" w:ascii="宋体" w:hAnsi="宋体" w:eastAsia="宋体" w:cs="黑体"/>
          <w:color w:val="000000"/>
          <w:sz w:val="24"/>
          <w:highlight w:val="none"/>
        </w:rPr>
        <w:t>过错导致理财计划资产发生损失，</w:t>
      </w:r>
      <w:r>
        <w:rPr>
          <w:rFonts w:hint="eastAsia" w:ascii="宋体" w:hAnsi="宋体" w:eastAsia="宋体" w:cs="黑体"/>
          <w:color w:val="000000"/>
          <w:sz w:val="24"/>
          <w:highlight w:val="none"/>
          <w:lang w:val="en-US" w:eastAsia="zh-CN"/>
        </w:rPr>
        <w:t>销售机构</w:t>
      </w:r>
      <w:r>
        <w:rPr>
          <w:rFonts w:hint="eastAsia" w:ascii="宋体" w:hAnsi="宋体" w:eastAsia="宋体" w:cs="黑体"/>
          <w:color w:val="000000"/>
          <w:sz w:val="24"/>
          <w:highlight w:val="none"/>
        </w:rPr>
        <w:t>应按其过错承担赔偿责任，</w:t>
      </w:r>
      <w:r>
        <w:rPr>
          <w:rFonts w:hint="eastAsia" w:ascii="宋体" w:hAnsi="宋体" w:eastAsia="宋体" w:cs="黑体"/>
          <w:color w:val="000000"/>
          <w:sz w:val="24"/>
          <w:highlight w:val="none"/>
          <w:lang w:val="en-US" w:eastAsia="zh-CN"/>
        </w:rPr>
        <w:t>销售机构</w:t>
      </w:r>
      <w:r>
        <w:rPr>
          <w:rFonts w:hint="eastAsia" w:ascii="宋体" w:hAnsi="宋体" w:eastAsia="宋体" w:cs="黑体"/>
          <w:color w:val="000000"/>
          <w:sz w:val="24"/>
          <w:highlight w:val="none"/>
        </w:rPr>
        <w:t>赔偿的款项计入理财计划的资产和收益。</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sz w:val="24"/>
          <w:highlight w:val="none"/>
        </w:rPr>
      </w:pPr>
      <w:r>
        <w:rPr>
          <w:rFonts w:hint="eastAsia" w:ascii="宋体" w:hAnsi="宋体" w:eastAsia="宋体" w:cs="黑体"/>
          <w:color w:val="000000"/>
          <w:sz w:val="24"/>
          <w:highlight w:val="none"/>
        </w:rPr>
        <w:t>由于地震、火灾、战争等不可抗力或突发重大卫生公共事件等不可预测事件造成的交易中断、延误等风险及损失，</w:t>
      </w:r>
      <w:r>
        <w:rPr>
          <w:rFonts w:hint="eastAsia" w:ascii="宋体" w:hAnsi="宋体" w:eastAsia="宋体" w:cs="黑体"/>
          <w:color w:val="000000"/>
          <w:sz w:val="24"/>
          <w:highlight w:val="none"/>
          <w:lang w:eastAsia="zh-CN"/>
        </w:rPr>
        <w:t>销售机构</w:t>
      </w:r>
      <w:r>
        <w:rPr>
          <w:rFonts w:hint="eastAsia" w:ascii="宋体" w:hAnsi="宋体" w:eastAsia="宋体" w:cs="黑体"/>
          <w:color w:val="000000"/>
          <w:sz w:val="24"/>
          <w:highlight w:val="none"/>
        </w:rPr>
        <w:t>不承担责任；但</w:t>
      </w:r>
      <w:r>
        <w:rPr>
          <w:rFonts w:hint="eastAsia" w:ascii="宋体" w:hAnsi="宋体" w:eastAsia="宋体" w:cs="黑体"/>
          <w:color w:val="000000"/>
          <w:sz w:val="24"/>
          <w:highlight w:val="none"/>
          <w:lang w:val="en-US" w:eastAsia="zh-CN"/>
        </w:rPr>
        <w:t>销售机构</w:t>
      </w:r>
      <w:r>
        <w:rPr>
          <w:rFonts w:hint="eastAsia" w:ascii="宋体" w:hAnsi="宋体" w:eastAsia="宋体" w:cs="黑体"/>
          <w:color w:val="000000"/>
          <w:sz w:val="24"/>
          <w:highlight w:val="none"/>
        </w:rPr>
        <w:t>应在上述情况发生</w:t>
      </w:r>
      <w:r>
        <w:rPr>
          <w:rFonts w:hint="eastAsia" w:ascii="宋体" w:hAnsi="宋体" w:eastAsia="宋体" w:cs="黑体"/>
          <w:color w:val="000000"/>
          <w:sz w:val="24"/>
          <w:highlight w:val="none"/>
          <w:lang w:eastAsia="zh-CN"/>
        </w:rPr>
        <w:t>后</w:t>
      </w:r>
      <w:r>
        <w:rPr>
          <w:rFonts w:hint="eastAsia" w:ascii="宋体" w:hAnsi="宋体" w:eastAsia="宋体" w:cs="黑体"/>
          <w:color w:val="000000"/>
          <w:sz w:val="24"/>
          <w:highlight w:val="none"/>
        </w:rPr>
        <w:t>在条件允许时及时通知</w:t>
      </w:r>
      <w:r>
        <w:rPr>
          <w:rFonts w:hint="eastAsia" w:ascii="宋体" w:hAnsi="宋体" w:eastAsia="宋体" w:cs="黑体"/>
          <w:color w:val="000000"/>
          <w:sz w:val="24"/>
          <w:highlight w:val="none"/>
          <w:lang w:eastAsia="zh-CN"/>
        </w:rPr>
        <w:t>投资者</w:t>
      </w:r>
      <w:r>
        <w:rPr>
          <w:rFonts w:hint="eastAsia" w:ascii="宋体" w:hAnsi="宋体" w:eastAsia="宋体" w:cs="黑体"/>
          <w:color w:val="000000"/>
          <w:sz w:val="24"/>
          <w:highlight w:val="none"/>
        </w:rPr>
        <w:t>并采取一切必要且可能的措施阻止损失扩大。</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sz w:val="24"/>
          <w:highlight w:val="none"/>
        </w:rPr>
      </w:pPr>
      <w:r>
        <w:rPr>
          <w:rFonts w:hint="eastAsia" w:ascii="宋体" w:hAnsi="宋体" w:eastAsia="宋体" w:cs="黑体"/>
          <w:color w:val="000000"/>
          <w:sz w:val="24"/>
          <w:highlight w:val="none"/>
        </w:rPr>
        <w:t>因国家有关法律、法规、规章、政策的修改或新的法律、法规、规章、政策颁布以及紧急措施的出台导致的风险及损失，</w:t>
      </w:r>
      <w:r>
        <w:rPr>
          <w:rFonts w:hint="eastAsia" w:ascii="宋体" w:hAnsi="宋体" w:eastAsia="宋体" w:cs="黑体"/>
          <w:color w:val="000000"/>
          <w:sz w:val="24"/>
          <w:highlight w:val="none"/>
          <w:lang w:val="en-US" w:eastAsia="zh-CN"/>
        </w:rPr>
        <w:t>销售机构</w:t>
      </w:r>
      <w:r>
        <w:rPr>
          <w:rFonts w:hint="eastAsia" w:ascii="宋体" w:hAnsi="宋体" w:eastAsia="宋体" w:cs="黑体"/>
          <w:color w:val="000000"/>
          <w:sz w:val="24"/>
          <w:highlight w:val="none"/>
        </w:rPr>
        <w:t>不承担责任。</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0"/>
        <w:contextualSpacing/>
        <w:textAlignment w:val="auto"/>
        <w:rPr>
          <w:rFonts w:hint="eastAsia" w:ascii="宋体" w:hAnsi="宋体" w:eastAsia="宋体" w:cs="黑体"/>
          <w:b/>
          <w:bCs/>
          <w:sz w:val="24"/>
          <w:highlight w:val="none"/>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2"/>
        <w:rPr>
          <w:rFonts w:hint="eastAsia" w:ascii="Calibri" w:hAnsi="Calibri" w:eastAsia="宋体" w:cs="黑体"/>
          <w:b/>
          <w:bCs/>
          <w:sz w:val="24"/>
          <w:highlight w:val="none"/>
          <w:lang w:val="en-US" w:eastAsia="zh-CN"/>
        </w:rPr>
      </w:pPr>
      <w:r>
        <w:rPr>
          <w:rFonts w:hint="eastAsia" w:eastAsia="宋体" w:cs="黑体"/>
          <w:b/>
          <w:bCs/>
          <w:color w:val="000000"/>
          <w:sz w:val="24"/>
          <w:highlight w:val="none"/>
          <w:lang w:val="en-US" w:eastAsia="zh-CN"/>
        </w:rPr>
        <w:t xml:space="preserve">第六条 </w:t>
      </w:r>
      <w:r>
        <w:rPr>
          <w:rFonts w:hint="eastAsia" w:ascii="Calibri" w:hAnsi="Calibri" w:eastAsia="宋体" w:cs="黑体"/>
          <w:b/>
          <w:bCs/>
          <w:color w:val="000000"/>
          <w:sz w:val="24"/>
          <w:highlight w:val="none"/>
          <w:lang w:val="en-US" w:eastAsia="zh-CN"/>
        </w:rPr>
        <w:t>适用法律与争议解决</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黑体"/>
          <w:sz w:val="24"/>
          <w:highlight w:val="none"/>
          <w:lang w:val="en-US" w:eastAsia="zh-CN"/>
        </w:rPr>
      </w:pPr>
      <w:r>
        <w:rPr>
          <w:rFonts w:hint="eastAsia" w:ascii="宋体" w:hAnsi="宋体" w:eastAsia="宋体" w:cs="黑体"/>
          <w:color w:val="000000"/>
          <w:sz w:val="24"/>
          <w:highlight w:val="none"/>
          <w:lang w:val="en-US" w:eastAsia="zh-CN"/>
        </w:rPr>
        <w:t>本协议适用中华人民共和国（仅为明确本合同适用法律规则，不含香港特别行政区、澳门特别行政区及中国台湾地区）的法律和行政法规。本协议项下的及与之有关的一切争议，投资者与销售机构双方应首先协商解决，协商不成的，任何一方均有权向被告住所地有管辖权的人民法院提起诉讼。诉讼期间，未涉及争议的条款仍需继续履行。</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482" w:firstLineChars="200"/>
        <w:contextualSpacing/>
        <w:textAlignment w:val="auto"/>
        <w:rPr>
          <w:rFonts w:hint="eastAsia" w:ascii="宋体" w:hAnsi="宋体" w:eastAsia="宋体" w:cs="黑体"/>
          <w:b/>
          <w:bCs/>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2"/>
        <w:rPr>
          <w:rFonts w:hint="eastAsia" w:ascii="Calibri" w:hAnsi="Calibri" w:eastAsia="宋体" w:cs="黑体"/>
          <w:b/>
          <w:bCs/>
          <w:sz w:val="24"/>
          <w:highlight w:val="none"/>
          <w:lang w:val="en-US" w:eastAsia="zh-CN"/>
        </w:rPr>
      </w:pPr>
      <w:r>
        <w:rPr>
          <w:rFonts w:hint="eastAsia" w:eastAsia="宋体" w:cs="黑体"/>
          <w:b/>
          <w:bCs/>
          <w:color w:val="000000"/>
          <w:sz w:val="24"/>
          <w:highlight w:val="none"/>
          <w:lang w:val="en-US" w:eastAsia="zh-CN"/>
        </w:rPr>
        <w:t xml:space="preserve">第七条 </w:t>
      </w:r>
      <w:r>
        <w:rPr>
          <w:rFonts w:hint="eastAsia" w:ascii="Calibri" w:hAnsi="Calibri" w:eastAsia="宋体" w:cs="黑体"/>
          <w:b/>
          <w:bCs/>
          <w:color w:val="000000"/>
          <w:sz w:val="24"/>
          <w:highlight w:val="none"/>
          <w:lang w:val="en-US" w:eastAsia="zh-CN"/>
        </w:rPr>
        <w:t>协议生效和终止</w:t>
      </w:r>
    </w:p>
    <w:p>
      <w:pPr>
        <w:keepNext w:val="0"/>
        <w:keepLines w:val="0"/>
        <w:pageBreakBefore w:val="0"/>
        <w:widowControl/>
        <w:numPr>
          <w:ilvl w:val="0"/>
          <w:numId w:val="6"/>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sz w:val="24"/>
          <w:highlight w:val="none"/>
        </w:rPr>
      </w:pPr>
      <w:r>
        <w:rPr>
          <w:rFonts w:hint="eastAsia" w:ascii="宋体" w:hAnsi="宋体" w:eastAsia="宋体" w:cs="黑体"/>
          <w:color w:val="000000"/>
          <w:sz w:val="24"/>
          <w:highlight w:val="none"/>
        </w:rPr>
        <w:t>投资者和</w:t>
      </w:r>
      <w:r>
        <w:rPr>
          <w:rFonts w:hint="eastAsia" w:ascii="宋体" w:hAnsi="宋体" w:eastAsia="宋体" w:cs="黑体"/>
          <w:color w:val="000000"/>
          <w:sz w:val="24"/>
          <w:highlight w:val="none"/>
          <w:lang w:val="en-US" w:eastAsia="zh-CN"/>
        </w:rPr>
        <w:t>销售机构</w:t>
      </w:r>
      <w:r>
        <w:rPr>
          <w:rFonts w:hint="eastAsia" w:ascii="宋体" w:hAnsi="宋体" w:eastAsia="宋体" w:cs="黑体"/>
          <w:color w:val="000000"/>
          <w:sz w:val="24"/>
          <w:highlight w:val="none"/>
        </w:rPr>
        <w:t xml:space="preserve">双方认可本协议可以纸质或电子数据等形式提交、订立或确认。 </w:t>
      </w:r>
    </w:p>
    <w:p>
      <w:pPr>
        <w:keepNext w:val="0"/>
        <w:keepLines w:val="0"/>
        <w:pageBreakBefore w:val="0"/>
        <w:widowControl/>
        <w:numPr>
          <w:ilvl w:val="0"/>
          <w:numId w:val="7"/>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sz w:val="24"/>
          <w:highlight w:val="none"/>
        </w:rPr>
      </w:pPr>
      <w:r>
        <w:rPr>
          <w:rFonts w:hint="eastAsia" w:ascii="宋体" w:hAnsi="宋体" w:eastAsia="宋体" w:cs="黑体"/>
          <w:color w:val="000000"/>
          <w:sz w:val="24"/>
          <w:highlight w:val="none"/>
        </w:rPr>
        <w:t>本协议书</w:t>
      </w:r>
      <w:r>
        <w:rPr>
          <w:rFonts w:hint="eastAsia" w:ascii="宋体" w:hAnsi="宋体"/>
          <w:color w:val="000000"/>
          <w:sz w:val="24"/>
          <w:highlight w:val="none"/>
        </w:rPr>
        <w:t>以纸质书面形式订立的，自投资者签</w:t>
      </w:r>
      <w:r>
        <w:rPr>
          <w:rFonts w:hint="eastAsia" w:ascii="宋体" w:hAnsi="宋体"/>
          <w:color w:val="000000"/>
          <w:sz w:val="24"/>
          <w:highlight w:val="none"/>
          <w:lang w:val="en-US" w:eastAsia="zh-CN"/>
        </w:rPr>
        <w:t>署（如投资者为个人，应签字；如投资者为机构，应法定代表人或授权代理人签字或盖章并加盖公章或有效授权印章）</w:t>
      </w:r>
      <w:r>
        <w:rPr>
          <w:rFonts w:hint="eastAsia" w:ascii="宋体" w:hAnsi="宋体"/>
          <w:color w:val="000000"/>
          <w:sz w:val="24"/>
          <w:highlight w:val="none"/>
        </w:rPr>
        <w:t>和</w:t>
      </w:r>
      <w:r>
        <w:rPr>
          <w:rFonts w:hint="eastAsia" w:ascii="宋体" w:hAnsi="宋体"/>
          <w:color w:val="000000"/>
          <w:sz w:val="24"/>
          <w:highlight w:val="none"/>
          <w:lang w:eastAsia="zh-CN"/>
        </w:rPr>
        <w:t>销售机构</w:t>
      </w:r>
      <w:r>
        <w:rPr>
          <w:rFonts w:hint="eastAsia" w:ascii="宋体" w:hAnsi="宋体"/>
          <w:color w:val="000000"/>
          <w:sz w:val="24"/>
          <w:highlight w:val="none"/>
        </w:rPr>
        <w:t>签章之后立即生效。协议一式叁份，投资者、管理人和</w:t>
      </w:r>
      <w:r>
        <w:rPr>
          <w:rFonts w:hint="eastAsia" w:ascii="宋体" w:hAnsi="宋体"/>
          <w:color w:val="000000"/>
          <w:sz w:val="24"/>
          <w:highlight w:val="none"/>
          <w:lang w:eastAsia="zh-CN"/>
        </w:rPr>
        <w:t>销售机构</w:t>
      </w:r>
      <w:r>
        <w:rPr>
          <w:rFonts w:hint="eastAsia" w:ascii="宋体" w:hAnsi="宋体"/>
          <w:color w:val="000000"/>
          <w:sz w:val="24"/>
          <w:highlight w:val="none"/>
        </w:rPr>
        <w:t>各执壹份，具有同等法律效力。</w:t>
      </w:r>
    </w:p>
    <w:p>
      <w:pPr>
        <w:keepNext w:val="0"/>
        <w:keepLines w:val="0"/>
        <w:pageBreakBefore w:val="0"/>
        <w:widowControl/>
        <w:numPr>
          <w:ilvl w:val="0"/>
          <w:numId w:val="7"/>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sz w:val="24"/>
          <w:highlight w:val="none"/>
          <w:lang w:val="en-US" w:eastAsia="zh-CN"/>
        </w:rPr>
      </w:pPr>
      <w:r>
        <w:rPr>
          <w:rFonts w:hint="eastAsia" w:ascii="宋体" w:hAnsi="宋体" w:eastAsia="宋体" w:cs="黑体"/>
          <w:color w:val="000000"/>
          <w:sz w:val="24"/>
          <w:highlight w:val="none"/>
        </w:rPr>
        <w:t>本协议书以数据电文形式订立的，投资者在销售机构的电子银行渠道（包括但不限于网上银行、手机银行或监管机构认可的其他销售渠道）点击购买理财计划，投资者使用的身份认证要素或其他安全措施完成的一切交易应知晓并同意为本人所为，同时表示投资者已阅读本协议所有条款，并对本协议条款的含义及相应的法律后果已全部知晓并充分理解，同意接受本协议约束。本协议自投资者点击确认且销售机构电子银行提示交易成功之时生效。交易成功仅指认/申购申请提交成功，认/申购是否成功以管理人另行提供的确认为准。</w:t>
      </w:r>
    </w:p>
    <w:p>
      <w:pPr>
        <w:keepNext w:val="0"/>
        <w:keepLines w:val="0"/>
        <w:pageBreakBefore w:val="0"/>
        <w:widowControl/>
        <w:numPr>
          <w:ilvl w:val="0"/>
          <w:numId w:val="7"/>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sz w:val="24"/>
          <w:highlight w:val="none"/>
          <w:lang w:val="en-US" w:eastAsia="zh-CN"/>
        </w:rPr>
      </w:pPr>
      <w:r>
        <w:rPr>
          <w:rFonts w:hint="eastAsia" w:ascii="宋体" w:hAnsi="宋体" w:eastAsia="宋体" w:cs="黑体"/>
          <w:color w:val="000000"/>
          <w:sz w:val="24"/>
          <w:highlight w:val="none"/>
        </w:rPr>
        <w:t>投资者和</w:t>
      </w:r>
      <w:r>
        <w:rPr>
          <w:rFonts w:hint="eastAsia" w:ascii="宋体" w:hAnsi="宋体" w:eastAsia="宋体" w:cs="黑体"/>
          <w:color w:val="000000"/>
          <w:sz w:val="24"/>
          <w:highlight w:val="none"/>
          <w:lang w:val="en-US" w:eastAsia="zh-CN"/>
        </w:rPr>
        <w:t>销售机构</w:t>
      </w:r>
      <w:r>
        <w:rPr>
          <w:rFonts w:hint="eastAsia" w:ascii="宋体" w:hAnsi="宋体" w:eastAsia="宋体" w:cs="黑体"/>
          <w:color w:val="000000"/>
          <w:sz w:val="24"/>
          <w:highlight w:val="none"/>
        </w:rPr>
        <w:t>双方在本协议及对应期次的理财计划产品说明书项下权利义务履行完毕之日，本协议自动终止。</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firstLine="0"/>
        <w:contextualSpacing/>
        <w:textAlignment w:val="auto"/>
        <w:rPr>
          <w:rFonts w:hint="eastAsia" w:ascii="宋体" w:hAnsi="宋体" w:eastAsia="宋体" w:cs="黑体"/>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2"/>
        <w:rPr>
          <w:rFonts w:hint="eastAsia" w:ascii="Calibri" w:hAnsi="Calibri" w:eastAsia="宋体" w:cs="黑体"/>
          <w:b/>
          <w:bCs w:val="0"/>
          <w:sz w:val="24"/>
          <w:highlight w:val="none"/>
          <w:lang w:val="en-US" w:eastAsia="zh-CN"/>
        </w:rPr>
      </w:pPr>
      <w:r>
        <w:rPr>
          <w:rFonts w:hint="eastAsia" w:eastAsia="宋体" w:cs="黑体"/>
          <w:b/>
          <w:bCs w:val="0"/>
          <w:color w:val="000000"/>
          <w:sz w:val="24"/>
          <w:highlight w:val="none"/>
          <w:lang w:val="en-US" w:eastAsia="zh-CN"/>
        </w:rPr>
        <w:t xml:space="preserve">第八条 </w:t>
      </w:r>
      <w:r>
        <w:rPr>
          <w:rFonts w:hint="eastAsia" w:ascii="Calibri" w:hAnsi="Calibri" w:eastAsia="宋体" w:cs="黑体"/>
          <w:b/>
          <w:bCs w:val="0"/>
          <w:color w:val="000000"/>
          <w:sz w:val="24"/>
          <w:highlight w:val="none"/>
          <w:lang w:val="en-US" w:eastAsia="zh-CN"/>
        </w:rPr>
        <w:t xml:space="preserve">附则 </w:t>
      </w:r>
    </w:p>
    <w:p>
      <w:pPr>
        <w:keepNext w:val="0"/>
        <w:keepLines w:val="0"/>
        <w:pageBreakBefore w:val="0"/>
        <w:widowControl/>
        <w:numPr>
          <w:ilvl w:val="0"/>
          <w:numId w:val="8"/>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sz w:val="24"/>
          <w:highlight w:val="none"/>
        </w:rPr>
      </w:pPr>
      <w:r>
        <w:rPr>
          <w:rFonts w:hint="eastAsia" w:ascii="宋体" w:hAnsi="宋体" w:eastAsia="宋体" w:cs="黑体"/>
          <w:color w:val="000000"/>
          <w:sz w:val="24"/>
          <w:highlight w:val="none"/>
        </w:rPr>
        <w:t>如果投资者与</w:t>
      </w:r>
      <w:r>
        <w:rPr>
          <w:rFonts w:hint="eastAsia" w:ascii="宋体" w:hAnsi="宋体" w:eastAsia="宋体" w:cs="黑体"/>
          <w:color w:val="000000"/>
          <w:sz w:val="24"/>
          <w:highlight w:val="none"/>
          <w:lang w:val="en-US" w:eastAsia="zh-CN"/>
        </w:rPr>
        <w:t>销售机构</w:t>
      </w:r>
      <w:r>
        <w:rPr>
          <w:rFonts w:hint="eastAsia" w:ascii="宋体" w:hAnsi="宋体" w:eastAsia="宋体" w:cs="黑体"/>
          <w:color w:val="000000"/>
          <w:sz w:val="24"/>
          <w:highlight w:val="none"/>
        </w:rPr>
        <w:t>之间存在多份理财计划</w:t>
      </w:r>
      <w:r>
        <w:rPr>
          <w:rFonts w:hint="eastAsia" w:ascii="宋体" w:hAnsi="宋体" w:eastAsia="宋体" w:cs="黑体"/>
          <w:color w:val="000000"/>
          <w:sz w:val="24"/>
          <w:highlight w:val="none"/>
          <w:lang w:val="en-US" w:eastAsia="zh-CN"/>
        </w:rPr>
        <w:t>销售</w:t>
      </w:r>
      <w:r>
        <w:rPr>
          <w:rFonts w:hint="eastAsia" w:ascii="宋体" w:hAnsi="宋体" w:eastAsia="宋体" w:cs="黑体"/>
          <w:color w:val="000000"/>
          <w:sz w:val="24"/>
          <w:highlight w:val="none"/>
        </w:rPr>
        <w:t>协议书，则每一协议书分别与其所对应的</w:t>
      </w:r>
      <w:r>
        <w:rPr>
          <w:rFonts w:hint="eastAsia" w:ascii="宋体" w:hAnsi="宋体" w:eastAsia="宋体" w:cs="黑体"/>
          <w:color w:val="000000"/>
          <w:sz w:val="24"/>
          <w:highlight w:val="none"/>
          <w:lang w:val="en-US" w:eastAsia="zh-CN"/>
        </w:rPr>
        <w:t>理财计划</w:t>
      </w:r>
      <w:r>
        <w:rPr>
          <w:rFonts w:hint="eastAsia" w:ascii="宋体" w:hAnsi="宋体" w:eastAsia="宋体" w:cs="黑体"/>
          <w:color w:val="000000"/>
          <w:sz w:val="24"/>
          <w:highlight w:val="none"/>
        </w:rPr>
        <w:t>产品说明书等销售文本单独构成一个理财计划合同，各个合同之间互相独立，每一合同的效力及履行情况均独立于其他合同。</w:t>
      </w:r>
    </w:p>
    <w:p>
      <w:pPr>
        <w:keepNext w:val="0"/>
        <w:keepLines w:val="0"/>
        <w:pageBreakBefore w:val="0"/>
        <w:widowControl/>
        <w:numPr>
          <w:ilvl w:val="0"/>
          <w:numId w:val="8"/>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sz w:val="24"/>
          <w:highlight w:val="none"/>
        </w:rPr>
      </w:pPr>
      <w:r>
        <w:rPr>
          <w:rFonts w:hint="eastAsia" w:ascii="宋体" w:hAnsi="宋体" w:eastAsia="宋体" w:cs="黑体"/>
          <w:color w:val="000000"/>
          <w:sz w:val="24"/>
          <w:highlight w:val="none"/>
        </w:rPr>
        <w:t>如果由于任何原因使本合同下的任何条款或内容成为无效或被依法撤销，本合同其他条款或内容的合法性、有效性和可执行性不受影响。</w:t>
      </w:r>
    </w:p>
    <w:p>
      <w:pPr>
        <w:keepNext w:val="0"/>
        <w:keepLines w:val="0"/>
        <w:pageBreakBefore w:val="0"/>
        <w:widowControl/>
        <w:numPr>
          <w:ilvl w:val="0"/>
          <w:numId w:val="8"/>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sz w:val="24"/>
          <w:highlight w:val="none"/>
        </w:rPr>
      </w:pPr>
      <w:r>
        <w:rPr>
          <w:rFonts w:hint="eastAsia" w:ascii="宋体" w:hAnsi="宋体" w:eastAsia="宋体" w:cs="黑体"/>
          <w:color w:val="000000"/>
          <w:sz w:val="24"/>
          <w:highlight w:val="none"/>
        </w:rPr>
        <w:t>在理财计划存续期内，如因监管政策或法律法规发生变化，在不损害投资者利益的前提下，管理人有权对理财计划合同销售文件进行修订。</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0"/>
        <w:contextualSpacing/>
        <w:textAlignment w:val="auto"/>
        <w:rPr>
          <w:rFonts w:hint="eastAsia" w:ascii="宋体" w:hAnsi="宋体" w:eastAsia="宋体" w:cs="黑体"/>
          <w:sz w:val="24"/>
          <w:highlight w:val="none"/>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highlight w:val="none"/>
          <w:lang w:val="en-US" w:eastAsia="zh-CN"/>
        </w:rPr>
      </w:pPr>
    </w:p>
    <w:p>
      <w:pPr>
        <w:widowControl/>
        <w:spacing w:line="360" w:lineRule="auto"/>
        <w:jc w:val="right"/>
        <w:rPr>
          <w:rFonts w:hint="eastAsia" w:ascii="宋体" w:hAnsi="宋体" w:eastAsia="宋体" w:cs="黑体"/>
          <w:b w:val="0"/>
          <w:bCs w:val="0"/>
          <w:sz w:val="24"/>
          <w:szCs w:val="24"/>
          <w:highlight w:val="none"/>
          <w:lang w:val="en-US" w:eastAsia="zh-CN"/>
        </w:rPr>
      </w:pPr>
      <w:r>
        <w:rPr>
          <w:rFonts w:hint="eastAsia" w:ascii="宋体" w:hAnsi="宋体" w:eastAsia="宋体" w:cs="宋体"/>
          <w:color w:val="000000"/>
          <w:kern w:val="0"/>
          <w:sz w:val="24"/>
          <w:szCs w:val="24"/>
          <w:highlight w:val="none"/>
          <w:lang w:val="en-US" w:eastAsia="zh-CN" w:bidi="ar-SA"/>
        </w:rPr>
        <w:t>杭银理财有限责任公司</w:t>
      </w:r>
    </w:p>
    <w:p>
      <w:pPr>
        <w:rPr>
          <w:rFonts w:hint="eastAsia" w:ascii="宋体" w:hAnsi="宋体" w:eastAsia="宋体" w:cs="黑体"/>
          <w:b w:val="0"/>
          <w:bCs w:val="0"/>
          <w:sz w:val="24"/>
          <w:szCs w:val="24"/>
          <w:highlight w:val="none"/>
          <w:lang w:val="en-US" w:eastAsia="zh-CN"/>
        </w:rPr>
      </w:pPr>
      <w:r>
        <w:rPr>
          <w:rFonts w:hint="eastAsia" w:ascii="宋体" w:hAnsi="宋体" w:eastAsia="宋体" w:cs="黑体"/>
          <w:b w:val="0"/>
          <w:bCs w:val="0"/>
          <w:color w:val="000000"/>
          <w:sz w:val="24"/>
          <w:szCs w:val="24"/>
          <w:highlight w:val="none"/>
          <w:lang w:val="en-US" w:eastAsia="zh-CN"/>
        </w:rPr>
        <w:br w:type="page"/>
      </w:r>
    </w:p>
    <w:p>
      <w:pPr>
        <w:rPr>
          <w:rFonts w:hint="default" w:ascii="宋体" w:hAnsi="宋体" w:eastAsia="宋体" w:cs="黑体"/>
          <w:b w:val="0"/>
          <w:bCs w:val="0"/>
          <w:sz w:val="24"/>
          <w:szCs w:val="24"/>
          <w:highlight w:val="none"/>
          <w:lang w:val="en-US" w:eastAsia="zh-CN"/>
        </w:rPr>
      </w:pPr>
      <w:r>
        <w:rPr>
          <w:rFonts w:hint="eastAsia" w:ascii="宋体" w:hAnsi="宋体" w:eastAsia="宋体" w:cs="黑体"/>
          <w:b w:val="0"/>
          <w:bCs w:val="0"/>
          <w:color w:val="000000"/>
          <w:sz w:val="24"/>
          <w:szCs w:val="24"/>
          <w:highlight w:val="none"/>
          <w:lang w:val="en-US" w:eastAsia="zh-CN"/>
        </w:rPr>
        <w:t>本页为</w:t>
      </w:r>
      <w:r>
        <w:rPr>
          <w:rFonts w:hint="eastAsia" w:ascii="宋体" w:hAnsi="宋体" w:eastAsia="宋体" w:cs="黑体"/>
          <w:b w:val="0"/>
          <w:bCs w:val="0"/>
          <w:color w:val="000000"/>
          <w:sz w:val="24"/>
          <w:szCs w:val="24"/>
          <w:highlight w:val="none"/>
        </w:rPr>
        <w:t>纸质</w:t>
      </w:r>
      <w:r>
        <w:rPr>
          <w:rFonts w:hint="eastAsia" w:ascii="宋体" w:hAnsi="宋体" w:eastAsia="宋体" w:cs="黑体"/>
          <w:b w:val="0"/>
          <w:bCs w:val="0"/>
          <w:color w:val="000000"/>
          <w:sz w:val="24"/>
          <w:szCs w:val="24"/>
          <w:highlight w:val="none"/>
          <w:lang w:val="en-US" w:eastAsia="zh-CN"/>
        </w:rPr>
        <w:t>形式（如有）销售协议书签章页</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sz w:val="24"/>
          <w:highlight w:val="none"/>
          <w:lang w:eastAsia="zh-CN"/>
        </w:rPr>
      </w:pPr>
      <w:r>
        <w:rPr>
          <w:rFonts w:hint="eastAsia" w:ascii="宋体" w:hAnsi="宋体" w:eastAsia="宋体" w:cs="黑体"/>
          <w:b/>
          <w:bCs/>
          <w:color w:val="000000"/>
          <w:sz w:val="24"/>
          <w:highlight w:val="none"/>
        </w:rPr>
        <w:t>投资者</w:t>
      </w:r>
      <w:r>
        <w:rPr>
          <w:rFonts w:hint="eastAsia" w:ascii="宋体" w:hAnsi="宋体" w:eastAsia="宋体" w:cs="黑体"/>
          <w:b/>
          <w:bCs/>
          <w:color w:val="000000"/>
          <w:sz w:val="24"/>
          <w:highlight w:val="none"/>
          <w:lang w:eastAsia="zh-CN"/>
        </w:rPr>
        <w:t>（</w:t>
      </w:r>
      <w:r>
        <w:rPr>
          <w:rFonts w:hint="eastAsia" w:ascii="宋体" w:hAnsi="宋体" w:eastAsia="宋体" w:cs="黑体"/>
          <w:b/>
          <w:bCs/>
          <w:color w:val="000000"/>
          <w:sz w:val="24"/>
          <w:highlight w:val="none"/>
        </w:rPr>
        <w:t>签字</w:t>
      </w:r>
      <w:r>
        <w:rPr>
          <w:rFonts w:hint="eastAsia" w:ascii="宋体" w:hAnsi="宋体" w:eastAsia="宋体" w:cs="黑体"/>
          <w:b/>
          <w:bCs/>
          <w:color w:val="000000"/>
          <w:sz w:val="24"/>
          <w:highlight w:val="none"/>
          <w:lang w:eastAsia="zh-CN"/>
        </w:rPr>
        <w:t>或签章）</w:t>
      </w:r>
      <w:r>
        <w:rPr>
          <w:rFonts w:hint="eastAsia" w:ascii="宋体" w:hAnsi="宋体" w:eastAsia="宋体" w:cs="黑体"/>
          <w:b/>
          <w:bCs/>
          <w:color w:val="000000"/>
          <w:sz w:val="24"/>
          <w:szCs w:val="24"/>
          <w:highlight w:val="none"/>
          <w:lang w:eastAsia="zh-CN"/>
        </w:rPr>
        <w:t>：</w:t>
      </w:r>
    </w:p>
    <w:p>
      <w:pPr>
        <w:spacing w:before="156" w:beforeLines="50" w:after="156" w:afterLines="50" w:line="360" w:lineRule="auto"/>
        <w:ind w:firstLine="4800" w:firstLineChars="2000"/>
        <w:jc w:val="right"/>
        <w:rPr>
          <w:rFonts w:hint="eastAsia" w:ascii="Arial" w:hAnsi="Arial"/>
          <w:sz w:val="24"/>
          <w:highlight w:val="none"/>
        </w:rPr>
      </w:pPr>
      <w:r>
        <w:rPr>
          <w:rFonts w:hint="eastAsia" w:ascii="Arial" w:hAnsi="Arial"/>
          <w:color w:val="000000"/>
          <w:sz w:val="24"/>
          <w:highlight w:val="none"/>
        </w:rPr>
        <w:t xml:space="preserve">   年   月   日</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sz w:val="24"/>
          <w:szCs w:val="24"/>
          <w:highlight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sz w:val="24"/>
          <w:szCs w:val="24"/>
          <w:highlight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sz w:val="24"/>
          <w:szCs w:val="24"/>
          <w:highlight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sz w:val="24"/>
          <w:highlight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sz w:val="24"/>
          <w:szCs w:val="24"/>
          <w:highlight w:val="none"/>
          <w:lang w:eastAsia="zh-CN"/>
        </w:rPr>
      </w:pPr>
      <w:r>
        <w:rPr>
          <w:rFonts w:hint="eastAsia" w:ascii="宋体" w:hAnsi="宋体" w:eastAsia="宋体" w:cs="黑体"/>
          <w:b/>
          <w:bCs/>
          <w:color w:val="000000"/>
          <w:sz w:val="24"/>
          <w:highlight w:val="none"/>
        </w:rPr>
        <w:t>销售机构签章</w:t>
      </w:r>
      <w:r>
        <w:rPr>
          <w:rFonts w:hint="eastAsia" w:ascii="宋体" w:hAnsi="宋体" w:eastAsia="宋体" w:cs="黑体"/>
          <w:b/>
          <w:bCs/>
          <w:color w:val="000000"/>
          <w:sz w:val="24"/>
          <w:szCs w:val="24"/>
          <w:highlight w:val="none"/>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sz w:val="24"/>
          <w:szCs w:val="24"/>
          <w:highlight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sz w:val="24"/>
          <w:szCs w:val="24"/>
          <w:highlight w:val="none"/>
          <w:lang w:eastAsia="zh-CN"/>
        </w:rPr>
      </w:pPr>
    </w:p>
    <w:p>
      <w:pPr>
        <w:spacing w:before="156" w:beforeLines="50" w:after="156" w:afterLines="50" w:line="360" w:lineRule="auto"/>
        <w:ind w:firstLine="4800" w:firstLineChars="2000"/>
        <w:jc w:val="right"/>
        <w:rPr>
          <w:rFonts w:ascii="宋体" w:hAnsi="宋体" w:cs="宋体"/>
          <w:bCs/>
          <w:color w:val="000000"/>
          <w:sz w:val="24"/>
        </w:rPr>
      </w:pPr>
      <w:r>
        <w:rPr>
          <w:rFonts w:hint="eastAsia" w:ascii="Arial" w:hAnsi="Arial"/>
          <w:color w:val="000000"/>
          <w:sz w:val="24"/>
          <w:highlight w:val="none"/>
        </w:rPr>
        <w:t xml:space="preserve">   年   月   日</w:t>
      </w:r>
    </w:p>
    <w:p>
      <w:pPr>
        <w:spacing w:before="156" w:beforeLines="50" w:after="156" w:afterLines="50" w:line="360" w:lineRule="auto"/>
        <w:ind w:firstLine="0" w:firstLineChars="0"/>
        <w:jc w:val="center"/>
        <w:rPr>
          <w:rFonts w:ascii="宋体" w:hAnsi="宋体" w:cs="宋体"/>
          <w:bCs/>
          <w:color w:val="000000"/>
          <w:sz w:val="24"/>
          <w:highlight w:val="none"/>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13</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color w:val="000000"/>
      </w:rPr>
      <w:t>理财非存款 产品有风险 投资须谨慎</w:t>
    </w:r>
    <w:r>
      <w:rPr>
        <w:b/>
        <w:bCs/>
      </w:rPr>
      <w:drawing>
        <wp:anchor distT="0" distB="0" distL="114300" distR="114300" simplePos="0" relativeHeight="251659264"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color w:val="00000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F5FAE6B"/>
    <w:multiLevelType w:val="singleLevel"/>
    <w:tmpl w:val="AF5FAE6B"/>
    <w:lvl w:ilvl="0" w:tentative="0">
      <w:start w:val="1"/>
      <w:numFmt w:val="chineseCounting"/>
      <w:suff w:val="nothing"/>
      <w:lvlText w:val="（%1）"/>
      <w:lvlJc w:val="left"/>
      <w:pPr>
        <w:ind w:left="0" w:firstLine="420"/>
      </w:pPr>
      <w:rPr>
        <w:rFonts w:hint="eastAsia"/>
        <w:color w:val="000000"/>
      </w:rPr>
    </w:lvl>
  </w:abstractNum>
  <w:abstractNum w:abstractNumId="1">
    <w:nsid w:val="60C03881"/>
    <w:multiLevelType w:val="singleLevel"/>
    <w:tmpl w:val="60C03881"/>
    <w:lvl w:ilvl="0" w:tentative="0">
      <w:start w:val="1"/>
      <w:numFmt w:val="chineseCounting"/>
      <w:suff w:val="nothing"/>
      <w:lvlText w:val="（%1）"/>
      <w:lvlJc w:val="left"/>
      <w:pPr>
        <w:ind w:left="0" w:firstLine="420"/>
      </w:pPr>
      <w:rPr>
        <w:rFonts w:hint="eastAsia"/>
        <w:color w:val="000000"/>
      </w:rPr>
    </w:lvl>
  </w:abstractNum>
  <w:abstractNum w:abstractNumId="2">
    <w:nsid w:val="61CBC088"/>
    <w:multiLevelType w:val="singleLevel"/>
    <w:tmpl w:val="61CBC088"/>
    <w:lvl w:ilvl="0" w:tentative="0">
      <w:start w:val="1"/>
      <w:numFmt w:val="chineseCounting"/>
      <w:suff w:val="nothing"/>
      <w:lvlText w:val="（%1）"/>
      <w:lvlJc w:val="left"/>
      <w:pPr>
        <w:ind w:left="0" w:firstLine="420"/>
      </w:pPr>
      <w:rPr>
        <w:rFonts w:hint="eastAsia"/>
        <w:b w:val="0"/>
        <w:bCs w:val="0"/>
        <w:color w:val="000000"/>
      </w:rPr>
    </w:lvl>
  </w:abstractNum>
  <w:abstractNum w:abstractNumId="3">
    <w:nsid w:val="61CBC11F"/>
    <w:multiLevelType w:val="singleLevel"/>
    <w:tmpl w:val="61CBC11F"/>
    <w:lvl w:ilvl="0" w:tentative="0">
      <w:start w:val="1"/>
      <w:numFmt w:val="chineseCounting"/>
      <w:suff w:val="nothing"/>
      <w:lvlText w:val="（%1）"/>
      <w:lvlJc w:val="left"/>
      <w:pPr>
        <w:ind w:left="0" w:firstLine="420"/>
      </w:pPr>
      <w:rPr>
        <w:rFonts w:hint="eastAsia"/>
        <w:color w:val="000000"/>
      </w:rPr>
    </w:lvl>
  </w:abstractNum>
  <w:abstractNum w:abstractNumId="4">
    <w:nsid w:val="61CBC1A0"/>
    <w:multiLevelType w:val="singleLevel"/>
    <w:tmpl w:val="61CBC1A0"/>
    <w:lvl w:ilvl="0" w:tentative="0">
      <w:start w:val="1"/>
      <w:numFmt w:val="chineseCounting"/>
      <w:suff w:val="nothing"/>
      <w:lvlText w:val="（%1）"/>
      <w:lvlJc w:val="left"/>
      <w:pPr>
        <w:ind w:left="0" w:firstLine="420"/>
      </w:pPr>
      <w:rPr>
        <w:rFonts w:hint="eastAsia"/>
        <w:color w:val="000000"/>
      </w:rPr>
    </w:lvl>
  </w:abstractNum>
  <w:abstractNum w:abstractNumId="5">
    <w:nsid w:val="61CBC209"/>
    <w:multiLevelType w:val="singleLevel"/>
    <w:tmpl w:val="61CBC209"/>
    <w:lvl w:ilvl="0" w:tentative="0">
      <w:start w:val="1"/>
      <w:numFmt w:val="chineseCounting"/>
      <w:suff w:val="nothing"/>
      <w:lvlText w:val="（%1）"/>
      <w:lvlJc w:val="left"/>
      <w:pPr>
        <w:ind w:left="0" w:firstLine="420"/>
      </w:pPr>
      <w:rPr>
        <w:rFonts w:hint="eastAsia"/>
        <w:color w:val="000000"/>
      </w:rPr>
    </w:lvl>
  </w:abstractNum>
  <w:abstractNum w:abstractNumId="6">
    <w:nsid w:val="61CBC248"/>
    <w:multiLevelType w:val="singleLevel"/>
    <w:tmpl w:val="61CBC248"/>
    <w:lvl w:ilvl="0" w:tentative="0">
      <w:start w:val="2"/>
      <w:numFmt w:val="chineseCounting"/>
      <w:suff w:val="nothing"/>
      <w:lvlText w:val="（%1）"/>
      <w:lvlJc w:val="left"/>
      <w:pPr>
        <w:ind w:left="0" w:firstLine="420"/>
      </w:pPr>
      <w:rPr>
        <w:rFonts w:hint="eastAsia"/>
        <w:color w:val="000000"/>
      </w:rPr>
    </w:lvl>
  </w:abstractNum>
  <w:abstractNum w:abstractNumId="7">
    <w:nsid w:val="61CBC28E"/>
    <w:multiLevelType w:val="singleLevel"/>
    <w:tmpl w:val="61CBC28E"/>
    <w:lvl w:ilvl="0" w:tentative="0">
      <w:start w:val="1"/>
      <w:numFmt w:val="chineseCounting"/>
      <w:suff w:val="nothing"/>
      <w:lvlText w:val="（%1）"/>
      <w:lvlJc w:val="left"/>
      <w:pPr>
        <w:ind w:left="0" w:firstLine="420"/>
      </w:pPr>
      <w:rPr>
        <w:rFonts w:hint="eastAsia"/>
        <w:color w:val="000000"/>
      </w:rPr>
    </w:lvl>
  </w:abstractNum>
  <w:num w:numId="1">
    <w:abstractNumId w:val="2"/>
  </w:num>
  <w:num w:numId="2">
    <w:abstractNumId w:val="3"/>
  </w:num>
  <w:num w:numId="3">
    <w:abstractNumId w:val="1"/>
  </w:num>
  <w:num w:numId="4">
    <w:abstractNumId w:val="0"/>
  </w:num>
  <w:num w:numId="5">
    <w:abstractNumId w:val="4"/>
  </w:num>
  <w:num w:numId="6">
    <w:abstractNumId w:val="5"/>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drawingGridHorizontalSpacing w:val="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16F498D"/>
    <w:rsid w:val="0226402A"/>
    <w:rsid w:val="02266A4E"/>
    <w:rsid w:val="0233240B"/>
    <w:rsid w:val="02B57702"/>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10E7747B"/>
    <w:rsid w:val="10F25E29"/>
    <w:rsid w:val="11FA0C01"/>
    <w:rsid w:val="128B25FE"/>
    <w:rsid w:val="12DA17D8"/>
    <w:rsid w:val="15862C7E"/>
    <w:rsid w:val="164976A9"/>
    <w:rsid w:val="178D1D7E"/>
    <w:rsid w:val="17EA7887"/>
    <w:rsid w:val="18321B09"/>
    <w:rsid w:val="18616AA2"/>
    <w:rsid w:val="191F0F43"/>
    <w:rsid w:val="19E235E1"/>
    <w:rsid w:val="1A7E4CCF"/>
    <w:rsid w:val="1BCD72C9"/>
    <w:rsid w:val="1BFB7C22"/>
    <w:rsid w:val="1C09008C"/>
    <w:rsid w:val="1D0817CE"/>
    <w:rsid w:val="1DC66AFF"/>
    <w:rsid w:val="1E635082"/>
    <w:rsid w:val="1F0F7AA5"/>
    <w:rsid w:val="1F962D64"/>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E223F6"/>
    <w:rsid w:val="2A7A79DE"/>
    <w:rsid w:val="2B5C1F0C"/>
    <w:rsid w:val="2BD054E2"/>
    <w:rsid w:val="2EAD6691"/>
    <w:rsid w:val="2F0D25D9"/>
    <w:rsid w:val="2F7F7146"/>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AFD2178"/>
    <w:rsid w:val="3B1C12F3"/>
    <w:rsid w:val="3BD53B5C"/>
    <w:rsid w:val="3CC57F13"/>
    <w:rsid w:val="3D4C282D"/>
    <w:rsid w:val="3D970F4E"/>
    <w:rsid w:val="3DE106C6"/>
    <w:rsid w:val="3E540971"/>
    <w:rsid w:val="3E786275"/>
    <w:rsid w:val="3E931F0D"/>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45701D"/>
    <w:rsid w:val="47AC6180"/>
    <w:rsid w:val="48BF1281"/>
    <w:rsid w:val="4B2F6DF6"/>
    <w:rsid w:val="4CC51C60"/>
    <w:rsid w:val="4D3204EA"/>
    <w:rsid w:val="4D697EB1"/>
    <w:rsid w:val="4DFF95C2"/>
    <w:rsid w:val="4E08799D"/>
    <w:rsid w:val="4E2B414A"/>
    <w:rsid w:val="4F5679CC"/>
    <w:rsid w:val="501840BA"/>
    <w:rsid w:val="52B042C0"/>
    <w:rsid w:val="53827B5D"/>
    <w:rsid w:val="53E86B53"/>
    <w:rsid w:val="54D66C67"/>
    <w:rsid w:val="568633C7"/>
    <w:rsid w:val="57061882"/>
    <w:rsid w:val="57280BF2"/>
    <w:rsid w:val="57EFCB6D"/>
    <w:rsid w:val="582C3B01"/>
    <w:rsid w:val="582D059F"/>
    <w:rsid w:val="582D396D"/>
    <w:rsid w:val="59083CAE"/>
    <w:rsid w:val="592570E8"/>
    <w:rsid w:val="59435FE6"/>
    <w:rsid w:val="59480030"/>
    <w:rsid w:val="59A3360E"/>
    <w:rsid w:val="5ADE2855"/>
    <w:rsid w:val="5B056CAE"/>
    <w:rsid w:val="5BD024EE"/>
    <w:rsid w:val="5C664A4B"/>
    <w:rsid w:val="5CE67D31"/>
    <w:rsid w:val="5E5F4050"/>
    <w:rsid w:val="5F04726A"/>
    <w:rsid w:val="5F6D37D2"/>
    <w:rsid w:val="5F9C081D"/>
    <w:rsid w:val="5FFFB74F"/>
    <w:rsid w:val="606677EA"/>
    <w:rsid w:val="60F34C3C"/>
    <w:rsid w:val="617668BD"/>
    <w:rsid w:val="61D01645"/>
    <w:rsid w:val="6367DD6B"/>
    <w:rsid w:val="63723353"/>
    <w:rsid w:val="64164D78"/>
    <w:rsid w:val="64993141"/>
    <w:rsid w:val="659F27EB"/>
    <w:rsid w:val="659F600E"/>
    <w:rsid w:val="67CE6661"/>
    <w:rsid w:val="680A5A06"/>
    <w:rsid w:val="68B9403E"/>
    <w:rsid w:val="68D511B9"/>
    <w:rsid w:val="68FA6041"/>
    <w:rsid w:val="69827CEE"/>
    <w:rsid w:val="6BDE71F2"/>
    <w:rsid w:val="6BF70A90"/>
    <w:rsid w:val="6C9577EB"/>
    <w:rsid w:val="6CBA3A99"/>
    <w:rsid w:val="6D3A1203"/>
    <w:rsid w:val="6E9C369D"/>
    <w:rsid w:val="6EF41B11"/>
    <w:rsid w:val="702573F3"/>
    <w:rsid w:val="70B57531"/>
    <w:rsid w:val="70FA499F"/>
    <w:rsid w:val="716B743E"/>
    <w:rsid w:val="730C182D"/>
    <w:rsid w:val="73FC9A3F"/>
    <w:rsid w:val="73FF4C72"/>
    <w:rsid w:val="751974A1"/>
    <w:rsid w:val="758B30E4"/>
    <w:rsid w:val="75F42331"/>
    <w:rsid w:val="761F7C3C"/>
    <w:rsid w:val="76683D2A"/>
    <w:rsid w:val="76C62D9E"/>
    <w:rsid w:val="78244617"/>
    <w:rsid w:val="7A923507"/>
    <w:rsid w:val="7ACB640D"/>
    <w:rsid w:val="7BFF1A29"/>
    <w:rsid w:val="7C044D89"/>
    <w:rsid w:val="7C63442B"/>
    <w:rsid w:val="7D3AA22F"/>
    <w:rsid w:val="7DE35ECA"/>
    <w:rsid w:val="7E1A0C5A"/>
    <w:rsid w:val="7E3212D3"/>
    <w:rsid w:val="7EFD1348"/>
    <w:rsid w:val="7F5F887D"/>
    <w:rsid w:val="7FCC7D05"/>
    <w:rsid w:val="7FEF42B8"/>
    <w:rsid w:val="7FFE9423"/>
    <w:rsid w:val="9FD01BC3"/>
    <w:rsid w:val="B3FE25BF"/>
    <w:rsid w:val="B6FD953B"/>
    <w:rsid w:val="BDD70CAF"/>
    <w:rsid w:val="BE6E0F8F"/>
    <w:rsid w:val="C679D4D5"/>
    <w:rsid w:val="D3FFF2E3"/>
    <w:rsid w:val="D4B948F0"/>
    <w:rsid w:val="D7BE90C3"/>
    <w:rsid w:val="DBDD7E2D"/>
    <w:rsid w:val="DCDFD4D5"/>
    <w:rsid w:val="EBBF9F9A"/>
    <w:rsid w:val="EBFF8C08"/>
    <w:rsid w:val="EFFEEDBC"/>
    <w:rsid w:val="F3F331A4"/>
    <w:rsid w:val="F3FF81F7"/>
    <w:rsid w:val="F7FE62B6"/>
    <w:rsid w:val="FA543BA3"/>
    <w:rsid w:val="FD7F9463"/>
    <w:rsid w:val="FD97D879"/>
    <w:rsid w:val="FDFF954C"/>
    <w:rsid w:val="FEAED78B"/>
    <w:rsid w:val="FFB737C4"/>
    <w:rsid w:val="FFDFC9EA"/>
    <w:rsid w:val="FFF499F8"/>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qFormat/>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qFormat/>
    <w:uiPriority w:val="0"/>
    <w:rPr>
      <w:sz w:val="21"/>
      <w:szCs w:val="21"/>
    </w:rPr>
  </w:style>
  <w:style w:type="character" w:customStyle="1" w:styleId="16">
    <w:name w:val="批注文字 字符"/>
    <w:link w:val="5"/>
    <w:qFormat/>
    <w:uiPriority w:val="0"/>
    <w:rPr>
      <w:rFonts w:ascii="Calibri" w:hAnsi="Calibri" w:cs="黑体"/>
      <w:kern w:val="2"/>
      <w:sz w:val="21"/>
      <w:szCs w:val="24"/>
    </w:rPr>
  </w:style>
  <w:style w:type="character" w:customStyle="1" w:styleId="17">
    <w:name w:val="批注框文本 字符"/>
    <w:link w:val="6"/>
    <w:qFormat/>
    <w:uiPriority w:val="0"/>
    <w:rPr>
      <w:rFonts w:ascii="Calibri" w:hAnsi="Calibri" w:cs="黑体"/>
      <w:kern w:val="2"/>
      <w:sz w:val="18"/>
      <w:szCs w:val="18"/>
    </w:rPr>
  </w:style>
  <w:style w:type="character" w:customStyle="1" w:styleId="18">
    <w:name w:val="批注主题 字符"/>
    <w:link w:val="10"/>
    <w:qFormat/>
    <w:uiPriority w:val="0"/>
    <w:rPr>
      <w:rFonts w:ascii="Calibri" w:hAnsi="Calibri" w:cs="黑体"/>
      <w:b/>
      <w:bCs/>
      <w:kern w:val="2"/>
      <w:sz w:val="21"/>
      <w:szCs w:val="24"/>
    </w:rPr>
  </w:style>
  <w:style w:type="paragraph" w:customStyle="1" w:styleId="19">
    <w:name w:val="List Paragraph"/>
    <w:basedOn w:val="1"/>
    <w:unhideWhenUsed/>
    <w:qFormat/>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qFormat/>
    <w:uiPriority w:val="0"/>
    <w:rPr>
      <w:rFonts w:ascii="Calibri" w:hAnsi="Calibri" w:cs="黑体"/>
      <w:b/>
      <w:bCs/>
      <w:kern w:val="2"/>
      <w:sz w:val="21"/>
      <w:szCs w:val="24"/>
    </w:rPr>
  </w:style>
  <w:style w:type="character" w:customStyle="1" w:styleId="23">
    <w:name w:val="批注框文本 Char"/>
    <w:link w:val="6"/>
    <w:qFormat/>
    <w:uiPriority w:val="0"/>
    <w:rPr>
      <w:rFonts w:ascii="Calibri" w:hAnsi="Calibri" w:cs="黑体"/>
      <w:kern w:val="2"/>
      <w:sz w:val="18"/>
      <w:szCs w:val="18"/>
    </w:rPr>
  </w:style>
  <w:style w:type="paragraph" w:customStyle="1" w:styleId="24">
    <w:name w:val="样式1"/>
    <w:basedOn w:val="1"/>
    <w:next w:val="1"/>
    <w:qFormat/>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66</Pages>
  <Words>43080</Words>
  <Characters>46130</Characters>
  <Lines>1</Lines>
  <Paragraphs>1</Paragraphs>
  <TotalTime>0</TotalTime>
  <ScaleCrop>false</ScaleCrop>
  <LinksUpToDate>false</LinksUpToDate>
  <CharactersWithSpaces>46480</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2014-11-04T04:08:00Z</dcterms:created>
  <dc:creator>Administrator</dc:creator>
  <cp:lastModifiedBy>hccb</cp:lastModifiedBy>
  <dcterms:modified xsi:type="dcterms:W3CDTF">2026-09-03T08:01:30Z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8019D979EAD8AD1F480E956A9C7CE412_43</vt:lpwstr>
  </property>
  <property fmtid="{D5CDD505-2E9C-101B-9397-08002B2CF9AE}" pid="3" name="KSOProductBuildVer">
    <vt:lpwstr>2052-11.8.2.8411</vt:lpwstr>
  </property>
</Properties>
</file>