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杭银理财幸福99季添益1908期理财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0"/>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上述风险仅为列举情况，可能未能详尽列明投资本理财计划可能面临的全部风险和可能导致投资者本金及收益损失的所有因素。针对本理财计划可能面临的各类潜在风险，管理人将本着勤勉尽责的管理原则，采用包括不限于如下风险控制措施予以应对：</w:t>
      </w:r>
    </w:p>
    <w:p>
      <w:pPr>
        <w:numPr>
          <w:ilvl w:val="0"/>
          <w:numId w:val="5"/>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针对各类核心风险，实施精细化分级管控。对于市场风险，建立市场行情动态监测、资产估值校验、投资组合管理机制，实时跟踪利率、汇率、资本市场等波动变量，通过限额管理、分散投资、压力测试等方式缓释市场波动风险；对于信用风险，建立严格的交易对手准入、信用评级、尽职调查及存续期跟踪机制，常态化开展信用风险排查与预警，严控信用违约风险；对于流动性风险，建立流动性指标常态化监测、大额申赎管控、应急流动性储备等机制，严格落实流动性风险限额管理，有效应对产品与市场流动性波动变化风险。</w:t>
      </w:r>
    </w:p>
    <w:p>
      <w:pPr>
        <w:numPr>
          <w:ilvl w:val="0"/>
          <w:numId w:val="5"/>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强化操作风险与合规风险管控，建立全面内部控制体系，对业务操作、系统运维、人员管理等关键环节实施常态化稽核检查与风险排查，规范岗位操作权限，完善系统风控壁垒，维护理财计划稳健运营。</w:t>
      </w:r>
    </w:p>
    <w:p>
      <w:pPr>
        <w:numPr>
          <w:ilvl w:val="0"/>
          <w:numId w:val="5"/>
        </w:numPr>
        <w:spacing w:line="360" w:lineRule="auto"/>
        <w:ind w:left="0" w:leftChars="0" w:firstLine="482" w:firstLineChars="200"/>
        <w:jc w:val="left"/>
        <w:outlineLvl w:val="9"/>
        <w:rPr>
          <w:rFonts w:hint="eastAsia" w:ascii="宋体" w:hAnsi="宋体" w:cs="宋体"/>
          <w:b/>
          <w:sz w:val="24"/>
          <w:highlight w:val="none"/>
          <w:lang w:eastAsia="zh"/>
        </w:rPr>
      </w:pPr>
      <w:r>
        <w:rPr>
          <w:rFonts w:hint="eastAsia" w:ascii="宋体" w:hAnsi="宋体" w:cs="宋体"/>
          <w:b/>
          <w:sz w:val="24"/>
          <w:highlight w:val="none"/>
          <w:lang w:eastAsia="zh"/>
        </w:rPr>
        <w:t>持续完善风险治理结构，建立自上而下、权责清晰的风险管理组织体系，构建“事前防范、事中监控、事后处置”的全链条风险治理机制，各类风险统一归口管理、分级分类管控，切实保障投资者合规合法权益。</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7"/>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8"/>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8"/>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8"/>
        </w:numPr>
        <w:spacing w:line="360" w:lineRule="auto"/>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国务院银行业监督管理机构规定的其他情形。</w:t>
      </w:r>
    </w:p>
    <w:p>
      <w:pPr>
        <w:numPr>
          <w:ilvl w:val="0"/>
          <w:numId w:val="9"/>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9"/>
        </w:numPr>
        <w:spacing w:line="360" w:lineRule="auto"/>
        <w:jc w:val="left"/>
        <w:outlineLvl w:val="9"/>
        <w:rPr>
          <w:rFonts w:hint="eastAsia" w:ascii="宋体" w:hAnsi="宋体" w:cs="宋体"/>
          <w:bCs/>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9"/>
        </w:numPr>
        <w:spacing w:line="360" w:lineRule="auto"/>
        <w:jc w:val="left"/>
        <w:outlineLvl w:val="9"/>
        <w:rPr>
          <w:rFonts w:hint="eastAsia" w:ascii="宋体" w:hAnsi="宋体" w:cs="宋体"/>
          <w:b/>
          <w:bCs/>
          <w:sz w:val="24"/>
          <w:highlight w:val="none"/>
        </w:rPr>
      </w:pPr>
      <w:r>
        <w:rPr>
          <w:rFonts w:hint="eastAsia" w:ascii="宋体" w:hAnsi="宋体" w:cs="宋体"/>
          <w:b/>
          <w:bCs/>
          <w:color w:val="000000"/>
          <w:sz w:val="24"/>
          <w:highlight w:val="none"/>
          <w:lang w:eastAsia="zh-CN"/>
        </w:rPr>
        <w:t>根据适当性管理原则，将理财投资人分为专业投资者和普通投资者。其中专业投资者应符合下列条件之一：</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1.银行业金融机构、保险业金融机构、金融控股公司、证券基金期货经营机构、私募基金管理人；</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2.上述机构面向投资者发行的金融产品，信托公司管理的资产服务信托、公益慈善信托；</w:t>
      </w:r>
    </w:p>
    <w:p>
      <w:pPr>
        <w:numPr>
          <w:ilvl w:val="0"/>
          <w:numId w:val="0"/>
        </w:numPr>
        <w:spacing w:line="360" w:lineRule="auto"/>
        <w:ind w:left="0" w:leftChars="0" w:firstLine="420" w:firstLine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3.社会保障基金、企业年金、职业年金等养老基金，慈善基金等社会公益基金，合格境外机构投资者（QFII）、人民币合格境外机构投资者（ROFII）。</w:t>
      </w:r>
    </w:p>
    <w:p>
      <w:pPr>
        <w:numPr>
          <w:ilvl w:val="0"/>
          <w:numId w:val="0"/>
        </w:numPr>
        <w:spacing w:line="360" w:lineRule="auto"/>
        <w:ind w:left="420" w:leftChars="0"/>
        <w:jc w:val="left"/>
        <w:outlineLvl w:val="9"/>
        <w:rPr>
          <w:rFonts w:hint="eastAsia" w:ascii="宋体" w:hAnsi="宋体" w:cs="宋体"/>
          <w:bCs/>
          <w:sz w:val="24"/>
          <w:highlight w:val="none"/>
        </w:rPr>
      </w:pPr>
      <w:r>
        <w:rPr>
          <w:rFonts w:hint="eastAsia" w:ascii="宋体" w:hAnsi="宋体" w:cs="宋体"/>
          <w:bCs/>
          <w:color w:val="000000"/>
          <w:sz w:val="24"/>
          <w:highlight w:val="none"/>
          <w:lang w:eastAsia="zh-CN"/>
        </w:rPr>
        <w:t>专业投资者之外的投资者为普通投资者。</w:t>
      </w:r>
    </w:p>
    <w:p>
      <w:pPr>
        <w:numPr>
          <w:ilvl w:val="0"/>
          <w:numId w:val="0"/>
        </w:numPr>
        <w:spacing w:line="360" w:lineRule="auto"/>
        <w:ind w:left="420" w:leftChars="0"/>
        <w:jc w:val="left"/>
        <w:outlineLvl w:val="9"/>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color w:val="000000"/>
          <w:sz w:val="24"/>
          <w:highlight w:val="none"/>
        </w:rPr>
        <w:t>风险提示方：杭银理财有限责任公司</w:t>
      </w:r>
    </w:p>
    <w:p>
      <w:pPr>
        <w:pStyle w:val="9"/>
        <w:keepNext w:val="0"/>
        <w:keepLines w:val="0"/>
        <w:pageBreakBefore/>
        <w:widowControl/>
        <w:suppressLineNumbers w:val="0"/>
        <w:autoSpaceDE w:val="0"/>
        <w:autoSpaceDN w:val="0"/>
        <w:adjustRightInd w:val="0"/>
        <w:spacing w:before="0" w:beforeAutospacing="0" w:after="0" w:afterAutospacing="0" w:line="360" w:lineRule="auto"/>
        <w:ind w:left="0" w:leftChars="0" w:right="0"/>
        <w:jc w:val="center"/>
        <w:outlineLvl w:val="2"/>
        <w:rPr>
          <w:rFonts w:hint="eastAsia" w:ascii="宋体" w:hAnsi="宋体" w:eastAsia="宋体" w:cs="宋体"/>
          <w:b/>
          <w:bCs/>
          <w:sz w:val="24"/>
          <w:szCs w:val="24"/>
        </w:rPr>
      </w:pPr>
      <w:r>
        <w:rPr>
          <w:rFonts w:hint="eastAsia" w:ascii="宋体" w:hAnsi="宋体" w:eastAsia="宋体" w:cs="宋体"/>
          <w:b/>
          <w:bCs/>
          <w:color w:val="000000"/>
          <w:kern w:val="0"/>
          <w:sz w:val="24"/>
          <w:szCs w:val="24"/>
          <w:lang w:val="en-US" w:eastAsia="zh-CN" w:bidi="ar"/>
        </w:rPr>
        <w:t>投资者确认栏（普通投资者填写）</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本人/本机构经销售机构评估的风险承受能力等级为：</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（投资者填写）</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如超过一年未进行风险承受能力评估或影响本人风险承受能力的因素发生变化，本人/本机构将于再次购买理财计划时及时完成风险承受能力评估。</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left"/>
        <w:rPr>
          <w:rFonts w:hint="eastAsia" w:ascii="宋体" w:hAnsi="宋体" w:eastAsia="宋体" w:cs="宋体"/>
          <w:b/>
          <w:bCs/>
          <w:color w:val="000000"/>
          <w:sz w:val="24"/>
          <w:szCs w:val="24"/>
          <w:u w:val="single"/>
        </w:rPr>
      </w:pPr>
      <w:r>
        <w:rPr>
          <w:rFonts w:hint="eastAsia" w:ascii="宋体" w:hAnsi="宋体" w:eastAsia="宋体" w:cs="宋体"/>
          <w:b/>
          <w:bCs/>
          <w:color w:val="000000"/>
          <w:kern w:val="0"/>
          <w:sz w:val="24"/>
          <w:szCs w:val="24"/>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（投资者需全文抄录以下文字以完成确认：</w:t>
      </w:r>
      <w:r>
        <w:rPr>
          <w:rFonts w:hint="eastAsia" w:ascii="宋体" w:hAnsi="宋体" w:eastAsia="宋体" w:cs="宋体"/>
          <w:b/>
          <w:bCs/>
          <w:color w:val="000000"/>
          <w:kern w:val="0"/>
          <w:sz w:val="24"/>
          <w:szCs w:val="24"/>
          <w:lang w:val="en-US" w:eastAsia="zh-CN" w:bidi="ar"/>
        </w:rPr>
        <w:t>“本人/本机构已经阅读上述风险揭示，愿意承担投资风险。”如通过线上渠道购买，认/申购交易确认即知晓并同意自身风险承受能力等级并确认风险揭示内容，愿意承担投资风险，与书面签署具有同等效力。</w:t>
      </w: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lang w:val="en-US" w:eastAsia="zh-CN" w:bidi="ar"/>
        </w:rPr>
        <w:t>本人/本机构同时确认如下：</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u w:val="single"/>
        </w:rPr>
      </w:pP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个人投资者（签字）：</w:t>
      </w:r>
      <w:r>
        <w:rPr>
          <w:rFonts w:hint="eastAsia" w:ascii="宋体" w:hAnsi="宋体" w:eastAsia="宋体" w:cs="宋体"/>
          <w:color w:val="000000"/>
          <w:kern w:val="0"/>
          <w:sz w:val="24"/>
          <w:szCs w:val="24"/>
          <w:u w:val="single"/>
          <w:lang w:val="en-US" w:eastAsia="zh-CN" w:bidi="ar"/>
        </w:rPr>
        <w:t xml:space="preserve">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机构投资者（盖章）： </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机构投资者法定代表人或授权代表（签字或盖章）：</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line="360" w:lineRule="auto"/>
        <w:ind w:left="0" w:right="0"/>
        <w:jc w:val="left"/>
        <w:rPr>
          <w:rFonts w:ascii="宋体" w:hAnsi="宋体" w:cs="宋体"/>
          <w:bCs/>
          <w:color w:val="000000"/>
          <w:sz w:val="24"/>
          <w:highlight w:val="none"/>
        </w:rPr>
      </w:pPr>
      <w:r>
        <w:rPr>
          <w:rFonts w:hint="eastAsia" w:ascii="宋体" w:hAnsi="宋体" w:eastAsia="宋体" w:cs="宋体"/>
          <w:color w:val="000000"/>
          <w:kern w:val="2"/>
          <w:sz w:val="21"/>
          <w:szCs w:val="21"/>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color w:val="000000"/>
      </w:rPr>
    </w:lvl>
  </w:abstractNum>
  <w:abstractNum w:abstractNumId="1">
    <w:nsid w:val="AC40BB97"/>
    <w:multiLevelType w:val="singleLevel"/>
    <w:tmpl w:val="AC40BB97"/>
    <w:lvl w:ilvl="0" w:tentative="0">
      <w:start w:val="1"/>
      <w:numFmt w:val="chineseCounting"/>
      <w:suff w:val="nothing"/>
      <w:lvlText w:val="%1、"/>
      <w:lvlJc w:val="left"/>
      <w:rPr>
        <w:rFonts w:hint="eastAsia"/>
        <w:color w:val="000000"/>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FFFB3463"/>
    <w:multiLevelType w:val="singleLevel"/>
    <w:tmpl w:val="FFFB3463"/>
    <w:lvl w:ilvl="0" w:tentative="0">
      <w:start w:val="1"/>
      <w:numFmt w:val="chineseCounting"/>
      <w:suff w:val="space"/>
      <w:lvlText w:val="（%1）"/>
      <w:lvlJc w:val="left"/>
      <w:rPr>
        <w:rFonts w:hint="eastAsia"/>
      </w:rPr>
    </w:lvl>
  </w:abstractNum>
  <w:abstractNum w:abstractNumId="4">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5">
    <w:nsid w:val="197A43F5"/>
    <w:multiLevelType w:val="singleLevel"/>
    <w:tmpl w:val="197A43F5"/>
    <w:lvl w:ilvl="0" w:tentative="0">
      <w:start w:val="3"/>
      <w:numFmt w:val="chineseCounting"/>
      <w:suff w:val="nothing"/>
      <w:lvlText w:val="（%1）"/>
      <w:lvlJc w:val="left"/>
      <w:pPr>
        <w:ind w:left="0" w:firstLine="420"/>
      </w:pPr>
      <w:rPr>
        <w:rFonts w:hint="eastAsia"/>
        <w:color w:val="000000"/>
      </w:rPr>
    </w:lvl>
  </w:abstractNum>
  <w:abstractNum w:abstractNumId="6">
    <w:nsid w:val="40727DE8"/>
    <w:multiLevelType w:val="singleLevel"/>
    <w:tmpl w:val="40727DE8"/>
    <w:lvl w:ilvl="0" w:tentative="0">
      <w:start w:val="1"/>
      <w:numFmt w:val="decimal"/>
      <w:suff w:val="nothing"/>
      <w:lvlText w:val="%1．"/>
      <w:lvlJc w:val="left"/>
      <w:pPr>
        <w:ind w:left="0" w:firstLine="400"/>
      </w:pPr>
      <w:rPr>
        <w:rFonts w:hint="default"/>
        <w:color w:val="000000"/>
      </w:rPr>
    </w:lvl>
  </w:abstractNum>
  <w:abstractNum w:abstractNumId="7">
    <w:nsid w:val="75D2544F"/>
    <w:multiLevelType w:val="singleLevel"/>
    <w:tmpl w:val="75D2544F"/>
    <w:lvl w:ilvl="0" w:tentative="0">
      <w:start w:val="1"/>
      <w:numFmt w:val="chineseCounting"/>
      <w:suff w:val="nothing"/>
      <w:lvlText w:val="（%1）"/>
      <w:lvlJc w:val="left"/>
      <w:pPr>
        <w:ind w:left="0" w:firstLine="420"/>
      </w:pPr>
      <w:rPr>
        <w:rFonts w:hint="eastAsia"/>
        <w:b/>
        <w:bCs/>
        <w:color w:val="000000"/>
      </w:rPr>
    </w:lvl>
  </w:abstractNum>
  <w:abstractNum w:abstractNumId="8">
    <w:nsid w:val="79A7505F"/>
    <w:multiLevelType w:val="singleLevel"/>
    <w:tmpl w:val="79A7505F"/>
    <w:lvl w:ilvl="0" w:tentative="0">
      <w:start w:val="2"/>
      <w:numFmt w:val="chineseCounting"/>
      <w:suff w:val="nothing"/>
      <w:lvlText w:val="（%1）"/>
      <w:lvlJc w:val="left"/>
      <w:pPr>
        <w:ind w:left="0" w:firstLine="420"/>
      </w:pPr>
      <w:rPr>
        <w:rFonts w:hint="eastAsia"/>
        <w:b/>
        <w:bCs/>
        <w:color w:val="000000"/>
      </w:rPr>
    </w:lvl>
  </w:abstractNum>
  <w:num w:numId="1">
    <w:abstractNumId w:val="1"/>
  </w:num>
  <w:num w:numId="2">
    <w:abstractNumId w:val="0"/>
  </w:num>
  <w:num w:numId="3">
    <w:abstractNumId w:val="6"/>
  </w:num>
  <w:num w:numId="4">
    <w:abstractNumId w:val="5"/>
  </w:num>
  <w:num w:numId="5">
    <w:abstractNumId w:val="3"/>
  </w:num>
  <w:num w:numId="6">
    <w:abstractNumId w:val="2"/>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B77710"/>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8614DC1"/>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7B7359"/>
    <w:rsid w:val="5ADE2855"/>
    <w:rsid w:val="5B056CAE"/>
    <w:rsid w:val="5C664A4B"/>
    <w:rsid w:val="5CE67D31"/>
    <w:rsid w:val="5CF66EA4"/>
    <w:rsid w:val="5E5F4050"/>
    <w:rsid w:val="5F04726A"/>
    <w:rsid w:val="5F6D37D2"/>
    <w:rsid w:val="5F9C081D"/>
    <w:rsid w:val="606677EA"/>
    <w:rsid w:val="60F34C3C"/>
    <w:rsid w:val="617668BD"/>
    <w:rsid w:val="61D01645"/>
    <w:rsid w:val="63723353"/>
    <w:rsid w:val="64164D78"/>
    <w:rsid w:val="64993141"/>
    <w:rsid w:val="659F27EB"/>
    <w:rsid w:val="659F600E"/>
    <w:rsid w:val="66D37A2C"/>
    <w:rsid w:val="679D4332"/>
    <w:rsid w:val="67C25BA0"/>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5A41FE"/>
    <w:rsid w:val="7C63442B"/>
    <w:rsid w:val="7C7C3745"/>
    <w:rsid w:val="7D3AA22F"/>
    <w:rsid w:val="7D546952"/>
    <w:rsid w:val="7D56646C"/>
    <w:rsid w:val="7DE35ECA"/>
    <w:rsid w:val="7DEFCC9B"/>
    <w:rsid w:val="7E1A0C5A"/>
    <w:rsid w:val="7E3212D3"/>
    <w:rsid w:val="7F365A97"/>
    <w:rsid w:val="7F5F887D"/>
    <w:rsid w:val="7FCC7D05"/>
    <w:rsid w:val="7FEE9983"/>
    <w:rsid w:val="7FEF42B8"/>
    <w:rsid w:val="7FFF0B3B"/>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EFDFEE78"/>
    <w:rsid w:val="F3C7F184"/>
    <w:rsid w:val="F3F331A4"/>
    <w:rsid w:val="F3FE7E0E"/>
    <w:rsid w:val="F3FF81F7"/>
    <w:rsid w:val="F4EDC7A5"/>
    <w:rsid w:val="F6D7AFF1"/>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33877</Words>
  <Characters>34745</Characters>
  <Lines>1</Lines>
  <Paragraphs>1</Paragraphs>
  <TotalTime>3</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2026-09-01T01:27:44Z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A6DC37101B004CE3980F956AFE420ED0_43</vt:lpwstr>
  </property>
  <property fmtid="{D5CDD505-2E9C-101B-9397-08002B2CF9AE}" pid="3" name="KSOProductBuildVer">
    <vt:lpwstr>2052-11.8.2.8411</vt:lpwstr>
  </property>
</Properties>
</file>