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杭银理财幸福99季添益1908期理财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Z7002221000279</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杭银理财幸福99季添益1908期理财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季添益1908期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TYG3M1908</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A份额（销售代码〖TYG3M1908〗）：普通个人投资者和机构客户。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B份额（销售代码〖TYG3M1908B〗）：高净值等特邀客户专属。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C份额（销售代码〖TYG3M1908C〗）：特定客群专属。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〖B份额〗起点〖20〗万元整，超过认购/申购起点部分，应为〖1〗元的整数倍。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每季</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单位净值〖保留小数点后四位〗，〖四位后去尾〗</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w:t>
            </w:r>
            <w:r>
              <w:rPr>
                <w:rFonts w:ascii="宋体" w:hAnsi="宋体" w:eastAsia="宋体" w:cs="宋体"/>
                <w:b/>
                <w:i w:val="0"/>
                <w:caps w:val="0"/>
                <w:strike w:val="0"/>
                <w:dstrike w:val="0"/>
                <w:color w:val="000000"/>
                <w:kern w:val="2"/>
                <w:position w:val="-1"/>
                <w:sz w:val="21"/>
                <w:u w:val="none"/>
                <w:vertAlign w:val="baseline"/>
              </w:rPr>
              <w:t>〖中债-新综合指数(1年以下)全价指数×90%+中国人民银行公布的个人活期存款利率×10%〗（年化）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t>。</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w:t>
            </w:r>
            <w:r>
              <w:rPr>
                <w:rFonts w:ascii="宋体" w:hAnsi="宋体" w:eastAsia="宋体" w:cs="宋体"/>
                <w:b/>
                <w:i w:val="0"/>
                <w:caps w:val="0"/>
                <w:strike w:val="0"/>
                <w:dstrike w:val="0"/>
                <w:color w:val="000000"/>
                <w:kern w:val="2"/>
                <w:position w:val="-1"/>
                <w:sz w:val="21"/>
                <w:u w:val="none"/>
                <w:vertAlign w:val="baseline"/>
              </w:rPr>
              <w:t>〖中债-新综合指数(1年以下)全价指数×90%+中国人民银行公布的个人活期存款利率×10%〗（年化）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t>。</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8.信息技术服务费：收取年化〖</w:t>
            </w: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佛山农村商业银行股份有限公司</w:t>
            </w:r>
          </w:p>
        </w:tc>
        <w:tc>
          <w:tcPr>
            <w:tcW w:w="1200" w:type="dxa"/>
            <w:vAlign w:val="center"/>
          </w:tcPr>
          <w:p>
            <w:pPr>
              <w:jc w:val="left"/>
            </w:pPr>
            <w:r>
              <w:t>住所</w:t>
            </w:r>
          </w:p>
        </w:tc>
        <w:tc>
          <w:tcPr>
            <w:tcW w:w="3800" w:type="dxa"/>
            <w:vAlign w:val="center"/>
          </w:tcPr>
          <w:p>
            <w:pPr>
              <w:jc w:val="center"/>
            </w:pPr>
            <w:r>
              <w:t>佛山市禅城区华远东路5号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0757-83032251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宁波象山农村商业银行股份有限公司</w:t>
            </w:r>
          </w:p>
        </w:tc>
        <w:tc>
          <w:tcPr>
            <w:tcW w:w="1200" w:type="dxa"/>
            <w:vAlign w:val="center"/>
          </w:tcPr>
          <w:p>
            <w:pPr>
              <w:jc w:val="left"/>
            </w:pPr>
            <w:r>
              <w:t>住所</w:t>
            </w:r>
          </w:p>
        </w:tc>
        <w:tc>
          <w:tcPr>
            <w:tcW w:w="3800" w:type="dxa"/>
            <w:vAlign w:val="center"/>
          </w:tcPr>
          <w:p>
            <w:pPr>
              <w:jc w:val="center"/>
            </w:pPr>
            <w: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浙江东阳农村商业银行股份有限公司</w:t>
            </w:r>
          </w:p>
        </w:tc>
        <w:tc>
          <w:tcPr>
            <w:tcW w:w="1200" w:type="dxa"/>
            <w:vAlign w:val="center"/>
          </w:tcPr>
          <w:p>
            <w:pPr>
              <w:jc w:val="left"/>
            </w:pPr>
            <w:r>
              <w:t>住所</w:t>
            </w:r>
          </w:p>
        </w:tc>
        <w:tc>
          <w:tcPr>
            <w:tcW w:w="3800" w:type="dxa"/>
            <w:vAlign w:val="center"/>
          </w:tcPr>
          <w:p>
            <w:pPr>
              <w:jc w:val="center"/>
            </w:pPr>
            <w:r>
              <w:t>浙江省金华市东阳市双岘路18号东阳农商银行八楼财富中心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0579-86897175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浙江义乌农村商业银行股份有限公司</w:t>
            </w:r>
          </w:p>
        </w:tc>
        <w:tc>
          <w:tcPr>
            <w:tcW w:w="1200" w:type="dxa"/>
            <w:vAlign w:val="center"/>
          </w:tcPr>
          <w:p>
            <w:pPr>
              <w:jc w:val="left"/>
            </w:pPr>
            <w:r>
              <w:t>住所</w:t>
            </w:r>
          </w:p>
        </w:tc>
        <w:tc>
          <w:tcPr>
            <w:tcW w:w="3800" w:type="dxa"/>
            <w:vAlign w:val="center"/>
          </w:tcPr>
          <w:p>
            <w:pPr>
              <w:jc w:val="center"/>
            </w:pPr>
            <w:r>
              <w:t>义乌市福田街道城北路677号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0579-85562046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浙江江山农村商业银行股份有限公司</w:t>
            </w:r>
          </w:p>
        </w:tc>
        <w:tc>
          <w:tcPr>
            <w:tcW w:w="1200" w:type="dxa"/>
            <w:vAlign w:val="center"/>
          </w:tcPr>
          <w:p>
            <w:pPr>
              <w:jc w:val="left"/>
            </w:pPr>
            <w:r>
              <w:t>住所</w:t>
            </w:r>
          </w:p>
        </w:tc>
        <w:tc>
          <w:tcPr>
            <w:tcW w:w="3800" w:type="dxa"/>
            <w:vAlign w:val="center"/>
          </w:tcPr>
          <w:p>
            <w:pPr>
              <w:jc w:val="center"/>
            </w:pPr>
            <w: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浙江舟山定海海洋农村商业银行股份有限公司</w:t>
            </w:r>
          </w:p>
        </w:tc>
        <w:tc>
          <w:tcPr>
            <w:tcW w:w="1200" w:type="dxa"/>
            <w:vAlign w:val="center"/>
          </w:tcPr>
          <w:p>
            <w:pPr>
              <w:jc w:val="left"/>
            </w:pPr>
            <w:r>
              <w:t>住所</w:t>
            </w:r>
          </w:p>
        </w:tc>
        <w:tc>
          <w:tcPr>
            <w:tcW w:w="3800" w:type="dxa"/>
            <w:vAlign w:val="center"/>
          </w:tcPr>
          <w:p>
            <w:pPr>
              <w:jc w:val="center"/>
            </w:pPr>
            <w:r>
              <w:t>浙江省舟山市定海区环城东路81号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0580-2030956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3"/>
        </w:numPr>
        <w:spacing w:line="360" w:lineRule="auto"/>
        <w:ind w:left="0" w:leftChars="0" w:firstLine="482" w:firstLineChars="200"/>
        <w:outlineLvl w:val="2"/>
        <w:rPr>
          <w:rFonts w:hint="eastAsia" w:ascii="宋体" w:hAnsi="宋体" w:cs="宋体"/>
          <w:b/>
          <w:bCs/>
          <w:color w:val="000000"/>
          <w:sz w:val="24"/>
          <w:highlight w:val="none"/>
        </w:rPr>
      </w:pPr>
      <w:r>
        <w:rPr>
          <w:rFonts w:hint="eastAsia" w:ascii="宋体" w:hAnsi="宋体" w:cs="宋体"/>
          <w:b/>
          <w:bCs/>
          <w:color w:val="000000"/>
          <w:kern w:val="2"/>
          <w:sz w:val="24"/>
          <w:szCs w:val="24"/>
          <w:highlight w:val="none"/>
          <w:lang w:val="en-US" w:eastAsia="zh" w:bidi="ar-SA"/>
        </w:rPr>
        <w:t>关联关系方</w:t>
      </w:r>
    </w:p>
    <w:tbl>
      <w:tblPr>
        <w:tblStyle w:val="11"/>
        <w:tblW w:w="900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250"/>
        <w:gridCol w:w="4500"/>
        <w:gridCol w:w="225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250" w:type="dxa"/>
            <w:vAlign w:val="center"/>
          </w:tcPr>
          <w:p>
            <w:pPr>
              <w:jc w:val="center"/>
            </w:pPr>
            <w:r>
              <w:rPr>
                <w:rFonts w:eastAsia="宋体"/>
                <w:sz w:val="22"/>
              </w:rPr>
              <w:t>关联方类型</w:t>
            </w:r>
          </w:p>
        </w:tc>
        <w:tc>
          <w:tcPr>
            <w:tcW w:w="4500" w:type="dxa"/>
            <w:vAlign w:val="center"/>
          </w:tcPr>
          <w:p>
            <w:pPr>
              <w:jc w:val="center"/>
            </w:pPr>
            <w:r>
              <w:rPr>
                <w:rFonts w:eastAsia="宋体"/>
                <w:sz w:val="22"/>
              </w:rPr>
              <w:t>关联方机构名称</w:t>
            </w:r>
          </w:p>
        </w:tc>
        <w:tc>
          <w:tcPr>
            <w:tcW w:w="2250" w:type="dxa"/>
            <w:vAlign w:val="center"/>
          </w:tcPr>
          <w:p>
            <w:pPr>
              <w:jc w:val="center"/>
            </w:pPr>
            <w:r>
              <w:rPr>
                <w:rFonts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250" w:type="dxa"/>
            <w:vAlign w:val="center"/>
          </w:tcPr>
          <w:p>
            <w:pPr>
              <w:jc w:val="center"/>
            </w:pPr>
            <w:r>
              <w:rPr>
                <w:rFonts w:eastAsia="宋体"/>
                <w:sz w:val="22"/>
              </w:rPr>
              <w:t>托管机构</w:t>
            </w:r>
          </w:p>
        </w:tc>
        <w:tc>
          <w:tcPr>
            <w:tcW w:w="4500" w:type="dxa"/>
            <w:vAlign w:val="center"/>
          </w:tcPr>
          <w:p>
            <w:pPr>
              <w:jc w:val="center"/>
            </w:pPr>
            <w:r>
              <w:rPr>
                <w:rFonts w:eastAsia="宋体"/>
                <w:sz w:val="22"/>
              </w:rPr>
              <w:t>杭州银行股份有限公司</w:t>
            </w:r>
          </w:p>
        </w:tc>
        <w:tc>
          <w:tcPr>
            <w:tcW w:w="2250" w:type="dxa"/>
            <w:vAlign w:val="center"/>
          </w:tcPr>
          <w:p>
            <w:pPr>
              <w:jc w:val="center"/>
            </w:pPr>
            <w:r>
              <w:rPr>
                <w:rFonts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250" w:type="dxa"/>
            <w:vAlign w:val="center"/>
          </w:tcPr>
          <w:p>
            <w:pPr>
              <w:jc w:val="center"/>
            </w:pPr>
            <w:r>
              <w:rPr>
                <w:rFonts w:eastAsia="宋体"/>
                <w:sz w:val="22"/>
              </w:rPr>
              <w:t>销售机构</w:t>
            </w:r>
          </w:p>
        </w:tc>
        <w:tc>
          <w:tcPr>
            <w:tcW w:w="4500" w:type="dxa"/>
            <w:vAlign w:val="center"/>
          </w:tcPr>
          <w:p>
            <w:pPr>
              <w:jc w:val="center"/>
            </w:pPr>
            <w:r>
              <w:rPr>
                <w:rFonts w:eastAsia="宋体"/>
                <w:sz w:val="22"/>
              </w:rPr>
              <w:t>杭州银行股份有限公司</w:t>
            </w:r>
          </w:p>
        </w:tc>
        <w:tc>
          <w:tcPr>
            <w:tcW w:w="2250" w:type="dxa"/>
            <w:vAlign w:val="center"/>
          </w:tcPr>
          <w:p>
            <w:pPr>
              <w:jc w:val="center"/>
            </w:pPr>
            <w:r>
              <w:rPr>
                <w:rFonts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250" w:type="dxa"/>
            <w:vAlign w:val="center"/>
          </w:tcPr>
          <w:p>
            <w:pPr>
              <w:jc w:val="center"/>
            </w:pPr>
            <w:r>
              <w:rPr>
                <w:rFonts w:eastAsia="宋体"/>
                <w:sz w:val="22"/>
              </w:rPr>
              <w:t>销售机构</w:t>
            </w:r>
          </w:p>
        </w:tc>
        <w:tc>
          <w:tcPr>
            <w:tcW w:w="4500" w:type="dxa"/>
            <w:vAlign w:val="center"/>
          </w:tcPr>
          <w:p>
            <w:pPr>
              <w:jc w:val="center"/>
            </w:pPr>
            <w:r>
              <w:rPr>
                <w:rFonts w:eastAsia="宋体"/>
                <w:sz w:val="22"/>
              </w:rPr>
              <w:t>石嘴山银行股份有限公司</w:t>
            </w:r>
          </w:p>
        </w:tc>
        <w:tc>
          <w:tcPr>
            <w:tcW w:w="2250" w:type="dxa"/>
            <w:vAlign w:val="center"/>
          </w:tcPr>
          <w:p>
            <w:pPr>
              <w:jc w:val="center"/>
            </w:pPr>
            <w:r>
              <w:rPr>
                <w:rFonts w:eastAsia="宋体"/>
                <w:sz w:val="22"/>
              </w:rPr>
              <w:t>托管机构控股子公司</w:t>
            </w:r>
          </w:p>
        </w:tc>
      </w:tr>
    </w:tbl>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2.25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szCs w:val="24"/>
          <w:highlight w:val="none"/>
        </w:rPr>
        <w:t>T为当前投资周期内每单位份额的实际分红金额的合计（如有）</w:t>
      </w:r>
    </w:p>
    <w:p>
      <w:pPr>
        <w:numPr>
          <w:ilvl w:val="0"/>
          <w:numId w:val="31"/>
        </w:numPr>
        <w:spacing w:line="360" w:lineRule="auto"/>
        <w:ind w:left="0" w:leftChars="0"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理财计划财产的年化信息技术服务费为〖</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%〗，计算方法如下：</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H＝E×〖</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%〗÷365</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H为每日应计提的信息技术服务费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E为本理财计划前一日资产净值</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信息技术服务费原则上按日计提。</w:t>
      </w:r>
    </w:p>
    <w:p>
      <w:pPr>
        <w:numPr>
          <w:ilvl w:val="0"/>
          <w:numId w:val="31"/>
        </w:numPr>
        <w:spacing w:line="360" w:lineRule="auto"/>
        <w:ind w:left="0" w:leftChars="0"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应在发生重大诉讼等可能对理财计划投资者或者理财计划收益产生重大事项的事件后2个工作日内发布重大事项公告。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2">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5">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6">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7">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8">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9">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0">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1">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2">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6">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8">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19">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1">
    <w:nsid w:val="E70DF796"/>
    <w:multiLevelType w:val="singleLevel"/>
    <w:tmpl w:val="E70DF796"/>
    <w:lvl w:ilvl="0" w:tentative="0">
      <w:start w:val="1"/>
      <w:numFmt w:val="decimal"/>
      <w:suff w:val="nothing"/>
      <w:lvlText w:val="（%1）"/>
      <w:lvlJc w:val="left"/>
      <w:rPr>
        <w:color w:val="000000"/>
      </w:rPr>
    </w:lvl>
  </w:abstractNum>
  <w:abstractNum w:abstractNumId="22">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3">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4">
    <w:nsid w:val="167B0BB4"/>
    <w:multiLevelType w:val="singleLevel"/>
    <w:tmpl w:val="167B0BB4"/>
    <w:lvl w:ilvl="0" w:tentative="0">
      <w:start w:val="1"/>
      <w:numFmt w:val="decimal"/>
      <w:suff w:val="nothing"/>
      <w:lvlText w:val="（%1）"/>
      <w:lvlJc w:val="left"/>
    </w:lvl>
  </w:abstractNum>
  <w:abstractNum w:abstractNumId="35">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6">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7">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8">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39">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0">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1">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2">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3">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4">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5">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6">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7">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8">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49">
    <w:nsid w:val="5BA91325"/>
    <w:multiLevelType w:val="singleLevel"/>
    <w:tmpl w:val="5BA91325"/>
    <w:lvl w:ilvl="0" w:tentative="0">
      <w:start w:val="1"/>
      <w:numFmt w:val="decimal"/>
      <w:suff w:val="nothing"/>
      <w:lvlText w:val="（%1）"/>
      <w:lvlJc w:val="left"/>
      <w:rPr>
        <w:color w:val="000000"/>
      </w:rPr>
    </w:lvl>
  </w:abstractNum>
  <w:abstractNum w:abstractNumId="50">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1">
    <w:nsid w:val="69C07A9C"/>
    <w:multiLevelType w:val="singleLevel"/>
    <w:tmpl w:val="69C07A9C"/>
    <w:lvl w:ilvl="0" w:tentative="0">
      <w:start w:val="1"/>
      <w:numFmt w:val="lowerLetter"/>
      <w:suff w:val="space"/>
      <w:lvlText w:val="%1."/>
      <w:lvlJc w:val="left"/>
      <w:rPr>
        <w:color w:val="00000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7"/>
  </w:num>
  <w:num w:numId="2">
    <w:abstractNumId w:val="43"/>
  </w:num>
  <w:num w:numId="3">
    <w:abstractNumId w:val="28"/>
  </w:num>
  <w:num w:numId="4">
    <w:abstractNumId w:val="25"/>
  </w:num>
  <w:num w:numId="5">
    <w:abstractNumId w:val="32"/>
  </w:num>
  <w:num w:numId="6">
    <w:abstractNumId w:val="24"/>
  </w:num>
  <w:num w:numId="7">
    <w:abstractNumId w:val="15"/>
  </w:num>
  <w:num w:numId="8">
    <w:abstractNumId w:val="9"/>
  </w:num>
  <w:num w:numId="9">
    <w:abstractNumId w:val="12"/>
  </w:num>
  <w:num w:numId="10">
    <w:abstractNumId w:val="6"/>
  </w:num>
  <w:num w:numId="11">
    <w:abstractNumId w:val="7"/>
  </w:num>
  <w:num w:numId="12">
    <w:abstractNumId w:val="5"/>
  </w:num>
  <w:num w:numId="13">
    <w:abstractNumId w:val="29"/>
  </w:num>
  <w:num w:numId="14">
    <w:abstractNumId w:val="42"/>
  </w:num>
  <w:num w:numId="15">
    <w:abstractNumId w:val="27"/>
  </w:num>
  <w:num w:numId="16">
    <w:abstractNumId w:val="44"/>
  </w:num>
  <w:num w:numId="17">
    <w:abstractNumId w:val="49"/>
  </w:num>
  <w:num w:numId="18">
    <w:abstractNumId w:val="51"/>
  </w:num>
  <w:num w:numId="19">
    <w:abstractNumId w:val="37"/>
  </w:num>
  <w:num w:numId="20">
    <w:abstractNumId w:val="14"/>
  </w:num>
  <w:num w:numId="21">
    <w:abstractNumId w:val="36"/>
  </w:num>
  <w:num w:numId="22">
    <w:abstractNumId w:val="17"/>
  </w:num>
  <w:num w:numId="23">
    <w:abstractNumId w:val="4"/>
  </w:num>
  <w:num w:numId="24">
    <w:abstractNumId w:val="46"/>
  </w:num>
  <w:num w:numId="25">
    <w:abstractNumId w:val="3"/>
  </w:num>
  <w:num w:numId="26">
    <w:abstractNumId w:val="31"/>
  </w:num>
  <w:num w:numId="27">
    <w:abstractNumId w:val="35"/>
  </w:num>
  <w:num w:numId="28">
    <w:abstractNumId w:val="52"/>
  </w:num>
  <w:num w:numId="29">
    <w:abstractNumId w:val="30"/>
  </w:num>
  <w:num w:numId="30">
    <w:abstractNumId w:val="16"/>
  </w:num>
  <w:num w:numId="31">
    <w:abstractNumId w:val="39"/>
  </w:num>
  <w:num w:numId="32">
    <w:abstractNumId w:val="19"/>
  </w:num>
  <w:num w:numId="33">
    <w:abstractNumId w:val="41"/>
  </w:num>
  <w:num w:numId="34">
    <w:abstractNumId w:val="1"/>
  </w:num>
  <w:num w:numId="35">
    <w:abstractNumId w:val="20"/>
  </w:num>
  <w:num w:numId="36">
    <w:abstractNumId w:val="22"/>
  </w:num>
  <w:num w:numId="37">
    <w:abstractNumId w:val="45"/>
  </w:num>
  <w:num w:numId="38">
    <w:abstractNumId w:val="33"/>
  </w:num>
  <w:num w:numId="39">
    <w:abstractNumId w:val="13"/>
  </w:num>
  <w:num w:numId="40">
    <w:abstractNumId w:val="26"/>
  </w:num>
  <w:num w:numId="41">
    <w:abstractNumId w:val="21"/>
  </w:num>
  <w:num w:numId="42">
    <w:abstractNumId w:val="23"/>
  </w:num>
  <w:num w:numId="43">
    <w:abstractNumId w:val="50"/>
  </w:num>
  <w:num w:numId="44">
    <w:abstractNumId w:val="38"/>
  </w:num>
  <w:num w:numId="45">
    <w:abstractNumId w:val="0"/>
  </w:num>
  <w:num w:numId="46">
    <w:abstractNumId w:val="48"/>
  </w:num>
  <w:num w:numId="47">
    <w:abstractNumId w:val="10"/>
  </w:num>
  <w:num w:numId="48">
    <w:abstractNumId w:val="8"/>
  </w:num>
  <w:num w:numId="49">
    <w:abstractNumId w:val="11"/>
  </w:num>
  <w:num w:numId="50">
    <w:abstractNumId w:val="34"/>
  </w:num>
  <w:num w:numId="51">
    <w:abstractNumId w:val="18"/>
  </w:num>
  <w:num w:numId="52">
    <w:abstractNumId w:val="2"/>
  </w:num>
  <w:num w:numId="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B77710"/>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614DC1"/>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7B7359"/>
    <w:rsid w:val="5ADE2855"/>
    <w:rsid w:val="5B056CAE"/>
    <w:rsid w:val="5C664A4B"/>
    <w:rsid w:val="5CE67D31"/>
    <w:rsid w:val="5CF66EA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9D4332"/>
    <w:rsid w:val="67C25BA0"/>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4751CF"/>
    <w:rsid w:val="737FFDFA"/>
    <w:rsid w:val="73FC9A3F"/>
    <w:rsid w:val="751974A1"/>
    <w:rsid w:val="758B30E4"/>
    <w:rsid w:val="75F42331"/>
    <w:rsid w:val="761F7C3C"/>
    <w:rsid w:val="76683D2A"/>
    <w:rsid w:val="76C62D9E"/>
    <w:rsid w:val="779F8057"/>
    <w:rsid w:val="78244617"/>
    <w:rsid w:val="7A923507"/>
    <w:rsid w:val="7ACB640D"/>
    <w:rsid w:val="7BFF1A29"/>
    <w:rsid w:val="7C044D89"/>
    <w:rsid w:val="7C5A41FE"/>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33877</Words>
  <Characters>34745</Characters>
  <Lines>1</Lines>
  <Paragraphs>1</Paragraphs>
  <TotalTime>4</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2026-09-01T01:27:57Z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