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202602版</w:t>
      </w:r>
      <w:r>
        <w:rPr>
          <w:rFonts w:hint="eastAsia" w:ascii="宋体" w:hAnsi="宋体" w:cs="宋体"/>
          <w:color w:val="000000"/>
          <w:sz w:val="28"/>
          <w:szCs w:val="28"/>
          <w:highlight w:val="none"/>
        </w:rPr>
        <w:t>）</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Z7002225000278</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color w:val="000000"/>
          <w:sz w:val="24"/>
          <w:highlight w:val="none"/>
        </w:rPr>
      </w:pPr>
    </w:p>
    <w:p>
      <w:pPr>
        <w:numPr>
          <w:ilvl w:val="0"/>
          <w:numId w:val="3"/>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幸福99益合·添益（年年红）1年定开型2531期理财</w:t>
      </w:r>
      <w:r>
        <w:rPr>
          <w:rFonts w:hint="eastAsia" w:ascii="宋体" w:hAnsi="宋体" w:cs="宋体"/>
          <w:bCs/>
          <w:color w:val="000000"/>
          <w:highlight w:val="none"/>
        </w:rPr>
        <w:t>。</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开放期：</w:t>
      </w:r>
      <w:r>
        <w:rPr>
          <w:rFonts w:hint="eastAsia" w:ascii="宋体" w:hAnsi="宋体" w:cs="宋体"/>
          <w:bCs/>
          <w:color w:val="000000"/>
          <w:highlight w:val="none"/>
        </w:rPr>
        <w:t>指管理人向投资者提供申购</w:t>
      </w:r>
      <w:r>
        <w:rPr>
          <w:rFonts w:hint="eastAsia" w:ascii="宋体" w:hAnsi="宋体" w:cs="宋体"/>
          <w:bCs/>
          <w:color w:val="000000"/>
          <w:highlight w:val="none"/>
          <w:lang w:eastAsia="zh-CN"/>
        </w:rPr>
        <w:t>、</w:t>
      </w:r>
      <w:r>
        <w:rPr>
          <w:rFonts w:hint="eastAsia" w:ascii="宋体" w:hAnsi="宋体" w:cs="宋体"/>
          <w:bCs/>
          <w:color w:val="000000"/>
          <w:highlight w:val="none"/>
          <w:lang w:val="en-US" w:eastAsia="zh-CN"/>
        </w:rPr>
        <w:t>赎回</w:t>
      </w:r>
      <w:r>
        <w:rPr>
          <w:rFonts w:hint="eastAsia" w:ascii="宋体" w:hAnsi="宋体" w:cs="宋体"/>
          <w:bCs/>
          <w:color w:val="000000"/>
          <w:highlight w:val="none"/>
        </w:rPr>
        <w:t>交易的时间。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流</w:t>
      </w:r>
      <w:r>
        <w:rPr>
          <w:rFonts w:hint="eastAsia"/>
          <w:b/>
          <w:bCs w:val="0"/>
          <w:color w:val="000000"/>
          <w:highlight w:val="none"/>
          <w:lang w:val="en-US" w:eastAsia="zh-CN"/>
        </w:rPr>
        <w:t>动性受限资产：</w:t>
      </w:r>
      <w:r>
        <w:rPr>
          <w:rFonts w:hint="eastAsia"/>
          <w:color w:val="000000"/>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7个工作日可变现资产：</w:t>
      </w:r>
      <w:r>
        <w:rPr>
          <w:rFonts w:hint="eastAsia"/>
          <w:color w:val="000000"/>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outlineLvl w:val="1"/>
        <w:rPr>
          <w:rFonts w:hint="eastAsia" w:ascii="宋体" w:hAnsi="宋体" w:cs="宋体"/>
          <w:b/>
          <w:color w:val="000000"/>
          <w:kern w:val="2"/>
          <w:highlight w:val="none"/>
        </w:rPr>
      </w:pPr>
      <w:bookmarkStart w:id="0" w:name="_GoBack"/>
      <w:bookmarkEnd w:id="0"/>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幸福99益合·添益（年年红）1年定开型2531期理财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添益（年年红）1年定开型2531期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TYG12M2531</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Z7002225000278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A份额（销售代码〖TYG12M2531A〗）：普通个人投资者和机构客户。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B份额（销售代码〖TYG12M2531B〗）：普通个人投资者和机构投资者。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L份额（销售代码〖TYG12M2531L〗）：兰州银行专属，面向〖普通个人投资者和机构投资者〗发售。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ZA份额（自动赎回）（销售代码〖TYG12M2531ZA〗）：普通个人投资者和机构客户。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ZB份额（自动赎回）（销售代码〖TYG12M2531ZB〗）：普通个人投资者和机构客户。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ZC份额（自动赎回）（销售代码〖TYG12M2531ZC〗）：普通个人投资者和机构客户。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ZD份额（自动赎回）（销售代码〖TYG12M2531ZD〗）：普通个人投资者和机构客户。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ZG份额（自动赎回）（销售代码〖TYG12M2531ZG〗）：普通个人投资者和机构客户。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ZH份额（自动赎回）（销售代码〖TYG12M2531ZH〗）：普通个人投资者和机构客户。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ZI份额（自动赎回）（销售代码〖TYG12M2531ZI〗）：普通个人投资者和机构客户。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ZJ份额（自动赎回）（销售代码〖TYG12M2531ZJ〗）：普通个人投资者和机构客户。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
              </w:rPr>
              <w:t>ZA份额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ZG份额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ZH份额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ZI份额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ZJ份额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无需进行赎回申请，在每个投资周期结束日由系统自动为所有持仓投资者发起全部持有份额赎回申请，上一投资周期投资者的所有持仓份额不会进入下一个投资周期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highlight w:val="none"/>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〖ZG份额〗单户持有上限为〖1〗亿元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〖ZI份额〗单户持有上限为〖1〗亿元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〖ZJ份额〗单户持有上限为〖1〗亿元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highlight w:val="none"/>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在满足收益分配基准日理财计划份额净值大于1元的情况下，管理人将〖定期〗将大于1元部分的收益进行全部或部分收益分配，具体分配方案以管理人公告为准。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本理财计划〖L份额〗业绩比较基准为〖2.45%-2.65%〗（年化）。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本理财计划〖ZC份额〗业绩比较基准为〖2.55%-2.75%〗（年化）。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本理财计划〖ZD份额〗业绩比较基准为〖2.50%-2.70%〗（年化）。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本理财计划〖ZG份额〗业绩比较基准为〖2.50%-2.70%〗（年化）。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本理财计划〖ZH份额〗业绩比较基准为〖2.65%-2.85%〗（年化）。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本理财计划〖ZI份额〗业绩比较基准为〖2.55%-2.75%〗（年化）。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本理财计划〖ZJ份额〗业绩比较基准为〖2.60%-2.80%〗（年化）。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00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highlight w:val="none"/>
                <w:lang w:val="en-US" w:eastAsia="zh-CN" w:bidi="ar-SA"/>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000000"/>
                <w:sz w:val="21"/>
                <w:szCs w:val="21"/>
                <w:highlight w:val="none"/>
                <w:lang w:eastAsia="zh-CN"/>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〖L份额〗收取年化〖0.20%〗的销售服务费, 〖ZA份额〗收取年化〖0.30%〗的销售服务费, 〖ZB份额〗收取年化〖0.20%〗的销售服务费, 〖ZC份额〗收取年化〖0.10%〗的销售服务费, 〖ZD份额〗收取年化〖0.15%〗的销售服务费, 〖ZG份额〗收取年化〖0.20%〗的销售服务费, 〖ZH份额〗收取年化〖0.05%〗的销售服务费, 〖ZI份额〗收取年化〖0.15%〗的销售服务费, 〖ZJ份额〗收取年化〖0.10%〗的销售服务费。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〖L份额〗收取年化〖0.20%〗的固定管理费, 〖ZA份额〗收取年化〖0.20%〗的固定管理费, 〖ZB份额〗收取年化〖0.20%〗的固定管理费, 〖ZC份额〗收取年化〖0.20%〗的固定管理费, 〖ZD份额〗收取年化〖0.20%〗的固定管理费, 〖ZG份额〗收取年化〖0.15%〗的固定管理费, 〖ZH份额〗收取年化〖0.15%〗的固定管理费, 〖ZI份额〗收取年化〖0.15%〗的固定管理费, 〖ZJ份额〗收取年化〖0.15%〗的固定管理费。</w:t>
            </w:r>
            <w:r>
              <w:rPr>
                <w:rFonts w:hint="eastAsia" w:ascii="宋体" w:hAnsi="宋体" w:cs="宋体"/>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〖ZG份额〗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〖ZH份额〗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〖ZI份额〗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〖ZJ份额〗</w:t>
            </w:r>
            <w:r>
              <w:rPr>
                <w:rFonts w:hint="eastAsia" w:ascii="宋体" w:hAnsi="宋体" w:cs="宋体"/>
                <w:color w:val="000000"/>
                <w:kern w:val="2"/>
                <w:sz w:val="21"/>
                <w:szCs w:val="21"/>
                <w:highlight w:val="none"/>
                <w:lang w:val="en-US" w:eastAsia="zh-CN" w:bidi="ar-SA"/>
              </w:rPr>
              <w:t>从下一运作周期开始收取年化</w:t>
            </w:r>
            <w:r>
              <w:rPr>
                <w:rFonts w:hint="eastAsia" w:ascii="宋体" w:hAnsi="宋体" w:eastAsia="宋体" w:cs="宋体"/>
                <w:color w:val="000000"/>
                <w:kern w:val="2"/>
                <w:sz w:val="21"/>
                <w:szCs w:val="21"/>
                <w:highlight w:val="none"/>
                <w:lang w:val="en-US" w:eastAsia="zh-CN" w:bidi="ar-SA"/>
              </w:rPr>
              <w:t>〖0.20%〗的固定管理费</w:t>
            </w:r>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特殊资产类型</w:t>
            </w:r>
          </w:p>
        </w:tc>
        <w:tc>
          <w:tcPr>
            <w:tcW w:w="4500" w:type="dxa"/>
            <w:vAlign w:val="center"/>
          </w:tcPr>
          <w:p>
            <w:pPr>
              <w:jc w:val="center"/>
              <w:textAlignment w:val="center"/>
            </w:pPr>
            <w:r>
              <w:rPr>
                <w:rFonts w:ascii="宋体" w:hAnsi="宋体" w:eastAsia="宋体" w:cs="宋体"/>
              </w:rPr>
              <w:t>非标准化债权类资产</w:t>
            </w:r>
          </w:p>
        </w:tc>
        <w:tc>
          <w:tcPr>
            <w:tcW w:w="2000" w:type="dxa"/>
            <w:vAlign w:val="center"/>
          </w:tcPr>
          <w:p>
            <w:pPr>
              <w:jc w:val="center"/>
              <w:textAlignment w:val="center"/>
            </w:pPr>
            <w:r>
              <w:rPr>
                <w:rFonts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000000"/>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highlight w:val="none"/>
        </w:rPr>
      </w:pPr>
      <w:r>
        <w:rPr>
          <w:rFonts w:hint="eastAsia" w:ascii="宋体" w:hAnsi="宋体" w:eastAsia="宋体" w:cs="宋体"/>
          <w:color w:val="000000"/>
          <w:kern w:val="2"/>
          <w:sz w:val="24"/>
          <w:szCs w:val="24"/>
          <w:highlight w:val="none"/>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color w:val="000000"/>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color w:val="00000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桂林银行股份有限公司</w:t>
            </w:r>
          </w:p>
        </w:tc>
        <w:tc>
          <w:tcPr>
            <w:tcW w:w="1200" w:type="dxa"/>
            <w:vAlign w:val="center"/>
          </w:tcPr>
          <w:p>
            <w:pPr>
              <w:jc w:val="left"/>
            </w:pPr>
            <w:r>
              <w:t>住所</w:t>
            </w:r>
          </w:p>
        </w:tc>
        <w:tc>
          <w:tcPr>
            <w:tcW w:w="3800" w:type="dxa"/>
            <w:vAlign w:val="center"/>
          </w:tcPr>
          <w:p>
            <w:pPr>
              <w:jc w:val="center"/>
            </w:pPr>
            <w:r>
              <w:t>桂林市临桂区公园北路8号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0773-3835657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78" w:hRule="atLeast"/>
        </w:trPr>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5"/>
        </w:numPr>
        <w:spacing w:line="360" w:lineRule="auto"/>
        <w:ind w:firstLine="482" w:firstLineChars="200"/>
        <w:jc w:val="left"/>
        <w:outlineLvl w:val="2"/>
        <w:rPr>
          <w:rFonts w:hint="eastAsia" w:ascii="宋体" w:hAnsi="宋体" w:eastAsia="宋体" w:cs="宋体"/>
          <w:b/>
          <w:color w:val="000000"/>
          <w:kern w:val="2"/>
          <w:sz w:val="24"/>
          <w:szCs w:val="24"/>
          <w:highlight w:val="none"/>
          <w:lang w:val="en-US" w:eastAsia="zh-CN" w:bidi="ar-SA"/>
        </w:rPr>
      </w:pPr>
      <w:r>
        <w:rPr>
          <w:rFonts w:hint="eastAsia" w:ascii="宋体" w:hAnsi="宋体" w:eastAsia="宋体" w:cs="宋体"/>
          <w:b/>
          <w:color w:val="000000"/>
          <w:kern w:val="2"/>
          <w:sz w:val="24"/>
          <w:szCs w:val="24"/>
          <w:highlight w:val="none"/>
          <w:lang w:val="en-US" w:eastAsia="zh" w:bidi="ar-SA"/>
        </w:rPr>
        <w:t>关联关系方</w:t>
      </w:r>
    </w:p>
    <w:tbl>
      <w:tblPr>
        <w:tblStyle w:val="11"/>
        <w:tblW w:w="7581" w:type="dxa"/>
        <w:tblInd w:w="38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154"/>
        <w:gridCol w:w="2864"/>
        <w:gridCol w:w="256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54" w:type="dxa"/>
            <w:vAlign w:val="center"/>
          </w:tcPr>
          <w:p>
            <w:pPr>
              <w:jc w:val="center"/>
            </w:pPr>
            <w:r>
              <w:rPr>
                <w:rFonts w:eastAsia="宋体"/>
                <w:sz w:val="22"/>
              </w:rPr>
              <w:t>关联方类型</w:t>
            </w:r>
          </w:p>
        </w:tc>
        <w:tc>
          <w:tcPr>
            <w:tcW w:w="2864" w:type="dxa"/>
            <w:vAlign w:val="center"/>
          </w:tcPr>
          <w:p>
            <w:pPr>
              <w:jc w:val="center"/>
            </w:pPr>
            <w:r>
              <w:rPr>
                <w:rFonts w:eastAsia="宋体"/>
                <w:sz w:val="22"/>
              </w:rPr>
              <w:t>关联方机构名称</w:t>
            </w:r>
          </w:p>
        </w:tc>
        <w:tc>
          <w:tcPr>
            <w:tcW w:w="2563" w:type="dxa"/>
            <w:vAlign w:val="center"/>
          </w:tcPr>
          <w:p>
            <w:pPr>
              <w:jc w:val="center"/>
            </w:pPr>
            <w:r>
              <w:rPr>
                <w:rFonts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54" w:type="dxa"/>
            <w:vAlign w:val="center"/>
          </w:tcPr>
          <w:p>
            <w:pPr>
              <w:jc w:val="center"/>
            </w:pPr>
            <w:r>
              <w:rPr>
                <w:rFonts w:eastAsia="宋体"/>
                <w:sz w:val="22"/>
              </w:rPr>
              <w:t>托管机构</w:t>
            </w:r>
          </w:p>
        </w:tc>
        <w:tc>
          <w:tcPr>
            <w:tcW w:w="2864" w:type="dxa"/>
            <w:vAlign w:val="center"/>
          </w:tcPr>
          <w:p>
            <w:pPr>
              <w:jc w:val="center"/>
            </w:pPr>
            <w:r>
              <w:rPr>
                <w:rFonts w:eastAsia="宋体"/>
                <w:sz w:val="22"/>
              </w:rPr>
              <w:t>杭州银行股份有限公司</w:t>
            </w:r>
          </w:p>
        </w:tc>
        <w:tc>
          <w:tcPr>
            <w:tcW w:w="2563" w:type="dxa"/>
            <w:vAlign w:val="center"/>
          </w:tcPr>
          <w:p>
            <w:pPr>
              <w:jc w:val="center"/>
            </w:pPr>
            <w:r>
              <w:rPr>
                <w:rFonts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54" w:type="dxa"/>
            <w:vAlign w:val="center"/>
          </w:tcPr>
          <w:p>
            <w:pPr>
              <w:jc w:val="center"/>
            </w:pPr>
            <w:r>
              <w:rPr>
                <w:rFonts w:eastAsia="宋体"/>
                <w:sz w:val="22"/>
              </w:rPr>
              <w:t>销售机构</w:t>
            </w:r>
          </w:p>
        </w:tc>
        <w:tc>
          <w:tcPr>
            <w:tcW w:w="2864" w:type="dxa"/>
            <w:vAlign w:val="center"/>
          </w:tcPr>
          <w:p>
            <w:pPr>
              <w:jc w:val="center"/>
            </w:pPr>
            <w:r>
              <w:rPr>
                <w:rFonts w:eastAsia="宋体"/>
                <w:sz w:val="22"/>
              </w:rPr>
              <w:t>杭州银行股份有限公司</w:t>
            </w:r>
          </w:p>
        </w:tc>
        <w:tc>
          <w:tcPr>
            <w:tcW w:w="2563" w:type="dxa"/>
            <w:vAlign w:val="center"/>
          </w:tcPr>
          <w:p>
            <w:pPr>
              <w:jc w:val="center"/>
            </w:pPr>
            <w:r>
              <w:rPr>
                <w:rFonts w:eastAsia="宋体"/>
                <w:sz w:val="22"/>
              </w:rPr>
              <w:t>托管机构托管人</w:t>
            </w:r>
          </w:p>
        </w:tc>
      </w:tr>
    </w:tbl>
    <w:p>
      <w:pPr>
        <w:numPr>
          <w:ilvl w:val="0"/>
          <w:numId w:val="0"/>
        </w:numPr>
        <w:spacing w:line="360" w:lineRule="auto"/>
        <w:ind w:left="420" w:leftChars="200"/>
        <w:jc w:val="left"/>
        <w:outlineLvl w:val="9"/>
        <w:rPr>
          <w:rFonts w:hint="eastAsia" w:ascii="宋体" w:hAnsi="宋体" w:eastAsia="宋体" w:cs="宋体"/>
          <w:b/>
          <w:color w:val="000000"/>
          <w:kern w:val="2"/>
          <w:sz w:val="24"/>
          <w:szCs w:val="24"/>
          <w:highlight w:val="none"/>
          <w:lang w:val="en-US" w:eastAsia="zh-CN" w:bidi="ar-SA"/>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L份额〗、〖ZA份额〗、〖ZB份额〗、〖ZC份额〗、〖ZD份额〗、〖ZG份额〗、〖ZH份额〗、〖ZI份额〗、〖ZJ份额〗。A份额的年化销售服务费率为〖0.30%〗, B份额的年化销售服务费率为〖0.20%〗,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w:t>
      </w:r>
      <w:r>
        <w:rPr>
          <w:rFonts w:ascii="宋体" w:hAnsi="宋体" w:eastAsia="宋体" w:cs="宋体"/>
          <w:b w:val="0"/>
          <w:i w:val="0"/>
          <w:caps w:val="0"/>
          <w:strike w:val="0"/>
          <w:dstrike w:val="0"/>
          <w:shadow w:val="0"/>
          <w:emboss w:val="0"/>
          <w:imprint w:val="0"/>
          <w:color w:val="000000"/>
          <w:kern w:val="2"/>
          <w:position w:val="-1"/>
          <w:sz w:val="24"/>
          <w:u w:val="none"/>
          <w:vertAlign w:val="baseline"/>
        </w:rPr>
        <w:t>0%〗, ZA份额的年化销售服务费率为〖0.30%〗, ZB份额的年化销售服务费率为〖0.20%〗, ZC份额的年化销售服务费率为〖0.10%〗, ZD份额的年化销售服务费率为〖0.15%〗, ZG份额的年化销售服务费率为〖0.20%〗, ZH份额的年化销售服务费率为〖0.05%〗, ZI份额的年化销售服务费率为〖0.15%〗, ZJ份额的年化销售服务费率为〖0.10%〗。计算方法如下：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（1）销售服务费按日计提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L份额的年化固定管理费率为〖0.20%〗, ZA份额的年化固定管理费率为〖0.20%〗, ZB份额的年化固定管理费率为〖0.20%〗, ZC份额的年化固定管理费率为〖0.20%〗, ZD份额的年化固定管理费率为〖0.20%〗, ZG份额的年化固定管理费率为〖0.15%〗, ZH份额的年化固定管理费率为〖0.15%〗, ZI份额的年化固定管理费率为〖0.15%〗, ZJ份额的年化固定管理费率为〖0.15%〗,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highlight w:val="none"/>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（1）若本理财计划份额投资周期的折合年化收益率超过业绩比较基准下限但未达到业绩比较基准上限，则超过业绩比较基准下限的部分管理人收取〖50%〗作为浮动管理费，即：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2）若本理财计划份额投资周期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H为产品〖A份额〗当前确认日应收取浮动管理费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R为产品〖A份额〗业绩比较基准上限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highlight w:val="none"/>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color w:val="000000"/>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37"/>
        </w:numPr>
        <w:spacing w:line="360" w:lineRule="auto"/>
        <w:ind w:firstLine="480" w:firstLineChars="200"/>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w:t>
      </w:r>
      <w:r>
        <w:rPr>
          <w:rFonts w:hint="eastAsia" w:ascii="宋体" w:hAnsi="宋体" w:cs="宋体"/>
          <w:b/>
          <w:bCs/>
          <w:color w:val="000000"/>
          <w:kern w:val="2"/>
          <w:sz w:val="24"/>
          <w:szCs w:val="24"/>
          <w:highlight w:val="none"/>
          <w:lang w:val="en-US" w:eastAsia="zh" w:bidi="ar"/>
        </w:rPr>
        <w:t>等</w:t>
      </w:r>
      <w:r>
        <w:rPr>
          <w:rFonts w:hint="eastAsia" w:ascii="宋体" w:hAnsi="宋体" w:eastAsia="宋体" w:cs="宋体"/>
          <w:b/>
          <w:bCs/>
          <w:color w:val="000000"/>
          <w:kern w:val="2"/>
          <w:sz w:val="24"/>
          <w:szCs w:val="24"/>
          <w:highlight w:val="none"/>
          <w:lang w:val="en-US" w:eastAsia="zh-CN" w:bidi="ar"/>
        </w:rPr>
        <w:t>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w:t>
      </w:r>
      <w:r>
        <w:rPr>
          <w:rFonts w:hint="eastAsia" w:ascii="宋体" w:hAnsi="宋体" w:cs="宋体"/>
          <w:color w:val="000000"/>
          <w:kern w:val="2"/>
          <w:sz w:val="24"/>
          <w:szCs w:val="24"/>
          <w:highlight w:val="none"/>
          <w:lang w:val="en-US" w:eastAsia="zh" w:bidi="ar"/>
        </w:rPr>
        <w:t>等</w:t>
      </w:r>
      <w:r>
        <w:rPr>
          <w:rFonts w:hint="eastAsia" w:ascii="宋体" w:hAnsi="宋体" w:eastAsia="宋体" w:cs="宋体"/>
          <w:color w:val="000000"/>
          <w:kern w:val="2"/>
          <w:sz w:val="24"/>
          <w:szCs w:val="24"/>
          <w:highlight w:val="none"/>
          <w:lang w:val="en-US" w:eastAsia="zh-CN" w:bidi="ar"/>
        </w:rPr>
        <w:t>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扣除浮动管理费后，理财计划的单位净值大于1，故理财计划进行现金分红，分红金额为4,701.23元，分红后产品的单位净值为1.0000。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投资者最终收益为：100,000.00×（1.0000-1.0000）+4,701.23=4,701.23（元），理财计划赎回时，投资者获得的实际收益相当于达到年化收益率水平为：4,701.23/100,000.00×365/362=4.74%。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w:t>
      </w:r>
      <w:r>
        <w:rPr>
          <w:rFonts w:hint="eastAsia" w:ascii="宋体" w:hAnsi="宋体" w:cs="宋体"/>
          <w:b/>
          <w:bCs/>
          <w:color w:val="000000"/>
          <w:kern w:val="2"/>
          <w:sz w:val="24"/>
          <w:szCs w:val="24"/>
          <w:highlight w:val="none"/>
          <w:lang w:val="en-US" w:eastAsia="zh" w:bidi="ar"/>
        </w:rPr>
        <w:t>等</w:t>
      </w:r>
      <w:r>
        <w:rPr>
          <w:rFonts w:hint="eastAsia" w:ascii="宋体" w:hAnsi="宋体" w:eastAsia="宋体" w:cs="宋体"/>
          <w:b/>
          <w:bCs/>
          <w:color w:val="000000"/>
          <w:kern w:val="2"/>
          <w:sz w:val="24"/>
          <w:szCs w:val="24"/>
          <w:highlight w:val="none"/>
          <w:lang w:val="en-US" w:eastAsia="zh-CN" w:bidi="ar"/>
        </w:rPr>
        <w:t>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w:t>
      </w:r>
      <w:r>
        <w:rPr>
          <w:rFonts w:hint="eastAsia" w:ascii="宋体" w:hAnsi="宋体" w:cs="宋体"/>
          <w:color w:val="000000"/>
          <w:kern w:val="2"/>
          <w:sz w:val="24"/>
          <w:szCs w:val="24"/>
          <w:highlight w:val="none"/>
          <w:lang w:val="en-US" w:eastAsia="zh" w:bidi="ar"/>
        </w:rPr>
        <w:t>等</w:t>
      </w:r>
      <w:r>
        <w:rPr>
          <w:rFonts w:hint="eastAsia" w:ascii="宋体" w:hAnsi="宋体" w:eastAsia="宋体" w:cs="宋体"/>
          <w:color w:val="000000"/>
          <w:kern w:val="2"/>
          <w:sz w:val="24"/>
          <w:szCs w:val="24"/>
          <w:highlight w:val="none"/>
          <w:lang w:val="en-US" w:eastAsia="zh-CN" w:bidi="ar"/>
        </w:rPr>
        <w:t>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扣除浮动管理费后，理财计划的单位净值大于1，故理财计划进行现金分红，分红金额为4058.56元，分红后产品的单位净值为1.0000。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w:t>
      </w:r>
      <w:r>
        <w:rPr>
          <w:rFonts w:hint="eastAsia" w:ascii="宋体" w:hAnsi="宋体" w:cs="宋体"/>
          <w:color w:val="000000"/>
          <w:kern w:val="2"/>
          <w:sz w:val="24"/>
          <w:szCs w:val="24"/>
          <w:highlight w:val="none"/>
          <w:lang w:val="en-US" w:eastAsia="zh" w:bidi="ar"/>
        </w:rPr>
        <w:t>等</w:t>
      </w:r>
      <w:r>
        <w:rPr>
          <w:rFonts w:hint="eastAsia" w:ascii="宋体" w:hAnsi="宋体" w:eastAsia="宋体" w:cs="宋体"/>
          <w:color w:val="000000"/>
          <w:kern w:val="2"/>
          <w:sz w:val="24"/>
          <w:szCs w:val="24"/>
          <w:highlight w:val="none"/>
          <w:lang w:val="en-US" w:eastAsia="zh-CN" w:bidi="ar"/>
        </w:rPr>
        <w:t>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理财计划的单位净值大于1，故理财计划进行现金分红，分红金额为3,650.00元，分红后产品的单位净值为1.0000。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w:t>
      </w:r>
      <w:r>
        <w:rPr>
          <w:rFonts w:hint="eastAsia" w:ascii="宋体" w:hAnsi="宋体" w:cs="宋体"/>
          <w:color w:val="000000"/>
          <w:kern w:val="2"/>
          <w:sz w:val="24"/>
          <w:szCs w:val="24"/>
          <w:highlight w:val="none"/>
          <w:lang w:val="en-US" w:eastAsia="zh" w:bidi="ar"/>
        </w:rPr>
        <w:t>等</w:t>
      </w:r>
      <w:r>
        <w:rPr>
          <w:rFonts w:hint="eastAsia" w:ascii="宋体" w:hAnsi="宋体" w:eastAsia="宋体" w:cs="宋体"/>
          <w:color w:val="000000"/>
          <w:kern w:val="2"/>
          <w:sz w:val="24"/>
          <w:szCs w:val="24"/>
          <w:highlight w:val="none"/>
          <w:lang w:val="en-US" w:eastAsia="zh-CN" w:bidi="ar"/>
        </w:rPr>
        <w:t>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交易确认及时间</w:t>
      </w:r>
    </w:p>
    <w:p>
      <w:pPr>
        <w:numPr>
          <w:ilvl w:val="0"/>
          <w:numId w:val="4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numPr>
          <w:ilvl w:val="0"/>
          <w:numId w:val="4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color w:val="000000"/>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kern w:val="0"/>
          <w:sz w:val="24"/>
          <w:szCs w:val="24"/>
          <w:highlight w:val="none"/>
        </w:rPr>
      </w:pPr>
      <w:r>
        <w:rPr>
          <w:rFonts w:hint="eastAsia" w:ascii="宋体" w:hAnsi="宋体" w:eastAsia="宋体" w:cs="宋体"/>
          <w:color w:val="000000"/>
          <w:kern w:val="2"/>
          <w:sz w:val="24"/>
          <w:szCs w:val="24"/>
          <w:highlight w:val="none"/>
          <w:lang w:val="en-US" w:eastAsia="zh-CN" w:bidi="ar"/>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r>
        <w:rPr>
          <w:rFonts w:hint="eastAsia" w:ascii="宋体" w:hAnsi="宋体" w:cs="宋体"/>
          <w:bCs/>
          <w:color w:val="000000"/>
          <w:sz w:val="24"/>
          <w:highlight w:val="none"/>
          <w:lang w:val="en-US" w:eastAsia="zh-CN"/>
        </w:rPr>
        <w:t>。</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应在发生重大诉讼等可能对理财计划投资者或者理财计划收益产生重大事项的事件后2个工作日内发布重大事项公告</w:t>
      </w:r>
      <w:r>
        <w:rPr>
          <w:rFonts w:hint="eastAsia" w:ascii="宋体" w:hAnsi="宋体" w:cs="宋体"/>
          <w:bCs/>
          <w:color w:val="000000"/>
          <w:sz w:val="24"/>
          <w:highlight w:val="none"/>
        </w:rPr>
        <w:t>。</w:t>
      </w:r>
    </w:p>
    <w:p>
      <w:pPr>
        <w:numPr>
          <w:ilvl w:val="0"/>
          <w:numId w:val="55"/>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ind w:firstLine="480" w:firstLineChars="200"/>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F13EF2"/>
    <w:rsid w:val="0226402A"/>
    <w:rsid w:val="02266A4E"/>
    <w:rsid w:val="0233240B"/>
    <w:rsid w:val="03AE1ACD"/>
    <w:rsid w:val="05305490"/>
    <w:rsid w:val="057E13C6"/>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C96A86"/>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51D21"/>
    <w:rsid w:val="1C060CA0"/>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187"/>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E9839F4"/>
    <w:rsid w:val="4F5679CC"/>
    <w:rsid w:val="501840BA"/>
    <w:rsid w:val="52AB4326"/>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5007D9"/>
    <w:rsid w:val="6FAB028B"/>
    <w:rsid w:val="6FB17196"/>
    <w:rsid w:val="702573F3"/>
    <w:rsid w:val="706E8E93"/>
    <w:rsid w:val="707D2BA0"/>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7093B"/>
    <w:rsid w:val="7FDEAF5B"/>
    <w:rsid w:val="7FEF42B8"/>
    <w:rsid w:val="7FFE13BE"/>
    <w:rsid w:val="7FFEC540"/>
    <w:rsid w:val="7FFF0B3B"/>
    <w:rsid w:val="8FDF62B9"/>
    <w:rsid w:val="91EFF198"/>
    <w:rsid w:val="96BDDFD1"/>
    <w:rsid w:val="9FD01BC3"/>
    <w:rsid w:val="ABDD3B57"/>
    <w:rsid w:val="AF77296E"/>
    <w:rsid w:val="AFDF70B9"/>
    <w:rsid w:val="B3FE25BF"/>
    <w:rsid w:val="B7BFE81B"/>
    <w:rsid w:val="BDF8743E"/>
    <w:rsid w:val="BDFF8728"/>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AF8C4A"/>
    <w:rsid w:val="FFB4FDF1"/>
    <w:rsid w:val="FFBB8619"/>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43082</Words>
  <Characters>47341</Characters>
  <Lines>1</Lines>
  <Paragraphs>1</Paragraphs>
  <TotalTime>3</TotalTime>
  <ScaleCrop>false</ScaleCrop>
  <LinksUpToDate>false</LinksUpToDate>
  <CharactersWithSpaces>47703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2014-11-11T20:08:00Z</dcterms:created>
  <dc:creator>Administrator</dc:creator>
  <cp:lastModifiedBy>hccb</cp:lastModifiedBy>
  <dcterms:modified xsi:type="dcterms:W3CDTF">2026-08-26T03:33:00Z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86AC8B81FB7E38A80B378D6AB0AB006D_43</vt:lpwstr>
  </property>
  <property fmtid="{D5CDD505-2E9C-101B-9397-08002B2CF9AE}" pid="3" name="KSOProductBuildVer">
    <vt:lpwstr>2052-11.8.2.8411</vt:lpwstr>
  </property>
</Properties>
</file>