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幸福99添益(安享优选)90天持有期3期理财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Z7002224000257</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幸福99添益(安享优选)90天持有期3期理财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幸福99添益(安享优选)90天持有期3期理财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幸福99添益(安享优选)90天持有期3期理财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幸福99添益(安享优选)90天持有期3期理财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幸福99添益(安享优选)90天持有期3期理财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幸福99添益(安享优选)90天持有期3期理财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keepNext w:val="0"/>
        <w:keepLines w:val="0"/>
        <w:widowControl w:val="0"/>
        <w:numPr>
          <w:ilvl w:val="0"/>
          <w:numId w:val="7"/>
        </w:numPr>
        <w:suppressLineNumbers w:val="0"/>
        <w:adjustRightInd/>
        <w:spacing w:before="0" w:beforeAutospacing="0" w:after="0" w:afterAutospacing="0" w:line="360" w:lineRule="auto"/>
        <w:ind w:left="0" w:right="0" w:firstLine="422" w:firstLineChars="200"/>
        <w:jc w:val="both"/>
        <w:rPr>
          <w:rFonts w:hint="eastAsia" w:ascii="宋体" w:hAnsi="宋体" w:cs="宋体"/>
          <w:b/>
          <w:color w:val="auto"/>
          <w:kern w:val="2"/>
          <w:highlight w:val="none"/>
        </w:rPr>
      </w:pPr>
      <w:r>
        <w:rPr>
          <w:rFonts w:hint="eastAsia" w:ascii="宋体" w:hAnsi="宋体" w:cs="宋体"/>
          <w:b/>
          <w:color w:val="000000"/>
          <w:kern w:val="2"/>
          <w:highlight w:val="none"/>
          <w:lang w:eastAsia="zh-CN"/>
        </w:rPr>
        <w:t>持有期：</w:t>
      </w:r>
      <w:r>
        <w:rPr>
          <w:rFonts w:hint="eastAsia" w:ascii="宋体" w:hAnsi="宋体" w:cs="宋体"/>
          <w:b w:val="0"/>
          <w:bCs/>
          <w:color w:val="000000"/>
          <w:kern w:val="2"/>
          <w:highlight w:val="none"/>
          <w:lang w:eastAsia="zh-CN"/>
        </w:rPr>
        <w:t>指</w:t>
      </w:r>
      <w:r>
        <w:rPr>
          <w:rFonts w:hint="eastAsia" w:ascii="宋体" w:hAnsi="宋体" w:eastAsia="宋体" w:cs="宋体"/>
          <w:b w:val="0"/>
          <w:bCs w:val="0"/>
          <w:color w:val="000000"/>
          <w:kern w:val="2"/>
          <w:sz w:val="24"/>
          <w:szCs w:val="24"/>
          <w:lang w:val="en-US" w:eastAsia="zh-CN" w:bidi="ar"/>
        </w:rPr>
        <w:t>投资者认购或申购后，需</w:t>
      </w:r>
      <w:r>
        <w:rPr>
          <w:rFonts w:hint="eastAsia" w:ascii="宋体" w:hAnsi="宋体" w:eastAsia="宋体" w:cs="宋体"/>
          <w:color w:val="000000"/>
          <w:kern w:val="2"/>
          <w:sz w:val="24"/>
          <w:szCs w:val="24"/>
          <w:lang w:val="en-US" w:eastAsia="zh-CN" w:bidi="ar"/>
        </w:rPr>
        <w:t>持有固定期限后才可进行赎回。</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幸福99添益(安享优选)90天持有期3期理财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添益(安享优选)90天持有期3期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TYGC90D2409</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Z7002224000257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A份额（销售代码〖TYGC90D2409A〗）：面向普通个人投资者和机构客户发售。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C份额（销售代码〖TYGC90D2409C〗）：面向普通个人投资者和机构客户发售。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D份额（销售代码〖TYGC90D2409D〗）：面向普通个人投资者和机构客户发售。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F份额（销售代码〖TYGC90D2409F〗）：面向普通个人投资者和机构客户发售。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S份额（销售代码〖TYGC90D2409S〗）：面向普通个人投资者和机构客户发售。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Y份额（销售代码〖TYGC90D2409Y〗）：面向普通个人投资者和机构客户发售。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Z份额（销售代码〖TYGC90D2409Z〗）：面向普通个人投资者和机构客户发售。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2024</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2024</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2024</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〖2024〗年〖8〗月〖22〗日-〖2024〗年〖9〗月〖30〗日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〖A份额〗起点〖1〗元整，超过认购/申购起点部分，应为〖0〗元的整数倍。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〖C份额〗起点〖1〗元整，超过认购/申购起点部分，应为〖0〗元的整数倍。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〖D份额〗起点〖1〗元整，超过认购/申购起点部分，应为〖0〗元的整数倍。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〖F份额〗起点〖1〗元整，超过认购/申购起点部分，应为〖0〗元的整数倍。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〖S份额〗起点〖10〗万元整，超过认购/申购起点部分，应为〖0〗元的整数倍。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〖Y份额〗起点〖1〗元整，超过认购/申购起点部分，应为〖0〗元的整数倍。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〖Z份额〗起点〖1〗元整，超过认购/申购起点部分，应为〖0〗元的整数倍。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〖1〗千万元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lang w:val="en-US" w:eastAsia="zh-CN" w:bidi="ar"/>
              </w:rPr>
              <w:t>本理财计划的开放期为〖</w:t>
            </w:r>
            <w:r>
              <w:rPr>
                <w:rFonts w:hint="eastAsia" w:ascii="宋体" w:hAnsi="宋体" w:cs="宋体"/>
                <w:color w:val="000000"/>
                <w:kern w:val="2"/>
                <w:sz w:val="21"/>
                <w:szCs w:val="21"/>
                <w:lang w:val="en-US" w:eastAsia="zh-CN" w:bidi="ar"/>
              </w:rPr>
              <w:t>封闭期</w:t>
            </w:r>
            <w:r>
              <w:rPr>
                <w:rFonts w:hint="eastAsia" w:ascii="宋体" w:hAnsi="宋体" w:eastAsia="宋体" w:cs="宋体"/>
                <w:color w:val="000000"/>
                <w:kern w:val="2"/>
                <w:sz w:val="21"/>
                <w:szCs w:val="21"/>
                <w:lang w:val="en-US" w:eastAsia="zh-CN" w:bidi="ar"/>
              </w:rPr>
              <w:t>后</w:t>
            </w:r>
            <w:r>
              <w:rPr>
                <w:rFonts w:hint="eastAsia" w:ascii="宋体" w:hAnsi="宋体" w:cs="宋体"/>
                <w:color w:val="000000"/>
                <w:kern w:val="2"/>
                <w:sz w:val="21"/>
                <w:szCs w:val="21"/>
                <w:lang w:val="en-US" w:eastAsia="zh-CN" w:bidi="ar"/>
              </w:rPr>
              <w:t>的</w:t>
            </w:r>
            <w:r>
              <w:rPr>
                <w:rFonts w:hint="eastAsia" w:ascii="宋体" w:hAnsi="宋体" w:eastAsia="宋体" w:cs="宋体"/>
                <w:color w:val="000000"/>
                <w:kern w:val="2"/>
                <w:sz w:val="21"/>
                <w:szCs w:val="21"/>
                <w:lang w:val="en-US" w:eastAsia="zh-CN" w:bidi="ar"/>
              </w:rPr>
              <w:t>每个</w:t>
            </w:r>
            <w:r>
              <w:rPr>
                <w:rFonts w:hint="eastAsia" w:ascii="宋体" w:hAnsi="宋体" w:cs="宋体"/>
                <w:color w:val="000000"/>
                <w:kern w:val="2"/>
                <w:sz w:val="21"/>
                <w:szCs w:val="21"/>
                <w:lang w:val="en-US" w:eastAsia="zh-CN" w:bidi="ar"/>
              </w:rPr>
              <w:t>交易</w:t>
            </w:r>
            <w:r>
              <w:rPr>
                <w:rFonts w:hint="eastAsia" w:ascii="宋体" w:hAnsi="宋体" w:eastAsia="宋体" w:cs="宋体"/>
                <w:color w:val="000000"/>
                <w:kern w:val="2"/>
                <w:sz w:val="21"/>
                <w:szCs w:val="21"/>
                <w:lang w:val="en-US" w:eastAsia="zh-CN" w:bidi="ar"/>
              </w:rPr>
              <w:t>日〗。如遇开放确认日为非〖交易日〗，则顺延至〖交易日〗。如遇特殊情况，则以管理人公告为准。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leftChars="0" w:right="0" w:firstLine="0" w:firstLineChars="0"/>
              <w:contextualSpacing/>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持有期</w:t>
            </w:r>
          </w:p>
        </w:tc>
        <w:tc>
          <w:tcPr>
            <w:tcW w:w="7185" w:type="dxa"/>
            <w:noWrap w:val="0"/>
            <w:vAlign w:val="center"/>
          </w:tcPr>
          <w:p>
            <w:pPr>
              <w:keepNext w:val="0"/>
              <w:keepLines w:val="0"/>
              <w:widowControl w:val="0"/>
              <w:suppressLineNumbers w:val="0"/>
              <w:spacing w:before="0" w:beforeAutospacing="0" w:after="0" w:afterAutospacing="0" w:line="360" w:lineRule="auto"/>
              <w:ind w:left="0" w:leftChars="0" w:right="0" w:firstLine="0" w:firstLineChars="0"/>
              <w:contextualSpacing/>
              <w:jc w:val="both"/>
              <w:rPr>
                <w:rFonts w:hint="eastAsia" w:ascii="宋体" w:hAnsi="宋体" w:cs="宋体"/>
                <w:bCs/>
                <w:color w:val="auto"/>
                <w:sz w:val="21"/>
                <w:szCs w:val="21"/>
                <w:highlight w:val="none"/>
                <w:lang w:val="en-US" w:eastAsia="zh-CN"/>
              </w:rPr>
            </w:pPr>
            <w:r>
              <w:rPr>
                <w:rFonts w:hint="eastAsia" w:ascii="宋体" w:hAnsi="宋体" w:eastAsia="宋体" w:cs="宋体"/>
                <w:color w:val="000000"/>
                <w:kern w:val="2"/>
                <w:sz w:val="21"/>
                <w:szCs w:val="21"/>
                <w:lang w:val="en-US" w:eastAsia="zh-CN" w:bidi="ar"/>
              </w:rPr>
              <w:t>本理财计划的持有期为〖90〗天，投资者认购/申购份额确认成功后，每一笔份额需自理财计划成立日（含）/确认日（含）起最低持有满〖90〗天后方可按规则申请赎回。如投资者多次购买理财计划，其中持有〖90〗天及以上的份额，可申请赎回；持有〖90〗天以内的份额，不可申请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1.本理财计划在每个开放期的开放日工作时间均可进行申购，申购申请将在确认日，即</w:t>
            </w:r>
            <w:r>
              <w:rPr>
                <w:rFonts w:hint="eastAsia" w:ascii="宋体" w:hAnsi="宋体" w:cs="宋体"/>
                <w:color w:val="000000"/>
                <w:sz w:val="21"/>
                <w:szCs w:val="21"/>
                <w:highlight w:val="none"/>
                <w:lang w:eastAsia="zh-CN"/>
              </w:rPr>
              <w:t>申购申请</w:t>
            </w:r>
            <w:r>
              <w:rPr>
                <w:rFonts w:hint="eastAsia" w:ascii="宋体" w:hAnsi="宋体" w:cs="宋体"/>
                <w:color w:val="000000"/>
                <w:sz w:val="21"/>
                <w:szCs w:val="21"/>
                <w:highlight w:val="none"/>
              </w:rPr>
              <w:t>后的第〖1〗个〖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2.满足最低持有期后，本理财计划在每个开放期的开放日工作时间均可进行赎回，赎回申请将在确认日，即赎回申请日后的第</w:t>
            </w:r>
            <w:r>
              <w:rPr>
                <w:rFonts w:hint="eastAsia" w:ascii="宋体" w:hAnsi="宋体" w:eastAsia="宋体" w:cs="宋体"/>
                <w:color w:val="000000"/>
                <w:kern w:val="2"/>
                <w:sz w:val="21"/>
                <w:szCs w:val="21"/>
                <w:lang w:val="en-US" w:eastAsia="zh-CN" w:bidi="ar"/>
              </w:rPr>
              <w:t>〖1〗个〖交易日〗进行确认。确认日如遇非〖交易日〗，则顺延至〖下一交易日〗。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eastAsia="zh-CN"/>
              </w:rPr>
              <w:t>3</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4.在</w:t>
            </w:r>
            <w:r>
              <w:rPr>
                <w:rFonts w:hint="eastAsia" w:ascii="宋体" w:hAnsi="宋体" w:eastAsia="宋体" w:cs="宋体"/>
                <w:color w:val="000000"/>
                <w:kern w:val="2"/>
                <w:sz w:val="21"/>
                <w:szCs w:val="21"/>
                <w:lang w:val="en-US" w:eastAsia="zh-CN" w:bidi="ar"/>
              </w:rPr>
              <w:t>〖交易日〗的〖17:00〗之前提交的申购和赎回申请，申请日为提出申请当日；在〖交易日〗的〖17:00〗之后提交的申购和赎回申请，申请日为提出申请日的〖下一交易日〗。</w:t>
            </w:r>
          </w:p>
          <w:p>
            <w:pPr>
              <w:keepNext w:val="0"/>
              <w:keepLines w:val="0"/>
              <w:widowControl/>
              <w:suppressLineNumbers w:val="0"/>
              <w:spacing w:before="0" w:beforeAutospacing="0" w:after="0" w:afterAutospacing="0" w:line="360" w:lineRule="auto"/>
              <w:ind w:left="0" w:right="0"/>
              <w:contextualSpacing/>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5.募集期/开放期内提交的交易申请，在理财计划成立日/确认日前一日下午</w:t>
            </w:r>
            <w:r>
              <w:rPr>
                <w:rFonts w:hint="eastAsia" w:ascii="宋体" w:hAnsi="宋体" w:eastAsia="宋体" w:cs="宋体"/>
                <w:color w:val="000000"/>
                <w:kern w:val="2"/>
                <w:sz w:val="21"/>
                <w:szCs w:val="21"/>
                <w:lang w:val="en-US" w:eastAsia="zh-CN" w:bidi="ar"/>
              </w:rPr>
              <w:t>〖17:00〗</w:t>
            </w:r>
            <w:r>
              <w:rPr>
                <w:rFonts w:hint="eastAsia" w:ascii="宋体" w:hAnsi="宋体" w:eastAsia="宋体" w:cs="宋体"/>
                <w:color w:val="000000"/>
                <w:kern w:val="0"/>
                <w:sz w:val="21"/>
                <w:szCs w:val="21"/>
                <w:lang w:val="en-US" w:eastAsia="zh-CN" w:bidi="ar"/>
              </w:rPr>
              <w:t>之前可以撤单。（具体以销售机构规定为准）</w:t>
            </w:r>
          </w:p>
          <w:p>
            <w:pPr>
              <w:keepNext w:val="0"/>
              <w:keepLines w:val="0"/>
              <w:widowControl w:val="0"/>
              <w:suppressLineNumbers w:val="0"/>
              <w:spacing w:before="0" w:beforeAutospacing="0" w:after="0" w:afterAutospacing="0"/>
              <w:ind w:left="0" w:right="0"/>
              <w:jc w:val="both"/>
              <w:rPr>
                <w:rFonts w:hint="default" w:ascii="宋体" w:hAnsi="宋体" w:cs="宋体"/>
                <w:bCs/>
                <w:color w:val="auto"/>
                <w:sz w:val="21"/>
                <w:szCs w:val="21"/>
                <w:highlight w:val="none"/>
                <w:lang w:val="en-US" w:eastAsia="zh-CN"/>
              </w:rPr>
            </w:pPr>
            <w:r>
              <w:rPr>
                <w:rFonts w:hint="eastAsia" w:ascii="宋体" w:hAnsi="宋体" w:eastAsia="宋体" w:cs="宋体"/>
                <w:color w:val="000000"/>
                <w:kern w:val="2"/>
                <w:sz w:val="21"/>
                <w:szCs w:val="21"/>
                <w:lang w:val="en-US" w:eastAsia="zh-CN" w:bidi="ar"/>
              </w:rPr>
              <w:t>6.上述交易安排如有调整，请以管理人公告为准。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FF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bCs/>
                <w:color w:val="000000"/>
                <w:sz w:val="21"/>
                <w:szCs w:val="21"/>
                <w:highlight w:val="none"/>
                <w:lang w:val="en-US" w:eastAsia="zh-CN"/>
              </w:rPr>
            </w:pPr>
            <w:r>
              <w:rPr>
                <w:rFonts w:hint="eastAsia" w:ascii="宋体" w:hAnsi="宋体" w:cs="宋体"/>
                <w:color w:val="000000"/>
                <w:sz w:val="21"/>
                <w:szCs w:val="21"/>
                <w:highlight w:val="none"/>
                <w:lang w:val="en-US" w:eastAsia="zh-CN"/>
              </w:rPr>
              <w:t>1.</w:t>
            </w:r>
            <w:r>
              <w:rPr>
                <w:rFonts w:hint="eastAsia" w:ascii="宋体" w:hAnsi="宋体" w:eastAsia="宋体" w:cs="宋体"/>
                <w:color w:val="000000"/>
                <w:kern w:val="2"/>
                <w:sz w:val="21"/>
                <w:szCs w:val="21"/>
                <w:lang w:val="en-US" w:eastAsia="zh-CN" w:bidi="ar"/>
              </w:rPr>
              <w:t>单户持有份额不得超过理财计划总份额的50%。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FF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〖A份额〗单户持有上限为〖5〗千万元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〖C份额〗单户持有上限为〖5〗千万元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〖D份额〗单户持有上限为〖5〗千万元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〖F份额〗单户持有上限为〖5〗千万元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〖Y份额〗单户持有上限为〖5〗千万元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〖Z份额〗单户持有上限为〖5〗千万元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r>
              <w:rPr>
                <w:rFonts w:hint="eastAsia" w:ascii="宋体" w:hAnsi="宋体" w:cs="宋体"/>
                <w:bCs/>
                <w:color w:val="000000"/>
                <w:sz w:val="21"/>
                <w:szCs w:val="21"/>
                <w:highlight w:val="none"/>
                <w:lang w:eastAsia="zh-CN"/>
              </w:rPr>
              <w:t>-浮动管理费（如有）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w:t>
            </w:r>
            <w:r>
              <w:rPr>
                <w:rFonts w:hint="eastAsia" w:ascii="宋体" w:hAnsi="宋体" w:cs="宋体"/>
                <w:color w:val="000000"/>
                <w:sz w:val="21"/>
                <w:szCs w:val="21"/>
                <w:highlight w:val="none"/>
                <w:lang w:eastAsia="zh-CN"/>
              </w:rPr>
              <w:t>六</w:t>
            </w:r>
            <w:r>
              <w:rPr>
                <w:rFonts w:hint="eastAsia" w:ascii="宋体" w:hAnsi="宋体" w:cs="宋体"/>
                <w:color w:val="000000"/>
                <w:sz w:val="21"/>
                <w:szCs w:val="21"/>
                <w:highlight w:val="none"/>
              </w:rPr>
              <w:t>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六</w:t>
            </w:r>
            <w:r>
              <w:rPr>
                <w:rFonts w:hint="eastAsia" w:ascii="宋体" w:hAnsi="宋体" w:cs="宋体"/>
                <w:color w:val="000000"/>
                <w:sz w:val="21"/>
                <w:szCs w:val="21"/>
                <w:highlight w:val="none"/>
                <w:lang w:eastAsia="zh-CN"/>
              </w:rPr>
              <w:t>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确认日后〖2〗个〖交易日〗内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〖1〗个〖交易日〗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〖3〗个〖交易日〗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本理财计划〖D份额〗业绩比较基准为〖中国人民银行公布的1年期定期存款利率+0.1%〗（年化）。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本理财计划〖F份额〗业绩比较基准为〖中国人民银行公布的1年期定期存款利率+0.1%〗（年化）。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本理财计划〖S份额〗业绩比较基准为〖中国人民银行公布的1年期定期存款利率+0.1%〗（年化）。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本理财计划〖Y份额〗业绩比较基准为〖中国人民银行公布的1年期定期存款利率+0.1%〗（年化）。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同业存单、存款、信用债等资产，同时根据流动性管理需要和监管要求配置不低于5%的高流动性资产,管理人根据固定收益市场的历史表现，结合当前利率水平、资产配比及市场同类型产品情况，经综合测算得出本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〖C份额〗收取年化〖0.10%〗的销售服务费, 〖D份额〗收取年化〖0.10%〗的销售服务费, 〖F份额〗收取年化〖0.20%〗的销售服务费, 〖S份额〗收取年化〖0.00%〗的销售服务费, 〖Y份额〗收取年化〖0.20%〗的销售服务费, 〖Z份额〗收取年化〖0.20%〗的销售服务费。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〖C份额〗收取年化〖0.40%〗的固定管理费, 〖D份额〗收取年化〖0.30%〗的固定管理费, 〖F份额〗收取年化〖0.30%〗的固定管理费, 〖S份额〗收取年化〖0.45%〗的固定管理费, 〖Y份额〗收取年化〖0.20%〗的固定管理费, 〖Z份额〗收取年化〖0.30%〗的固定管理费。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本理财计划免除</w:t>
            </w:r>
            <w:r>
              <w:rPr>
                <w:rFonts w:hint="eastAsia" w:ascii="宋体" w:hAnsi="宋体" w:cs="宋体"/>
                <w:color w:val="000000"/>
                <w:sz w:val="21"/>
                <w:szCs w:val="21"/>
                <w:highlight w:val="none"/>
                <w:lang w:eastAsia="zh-CN"/>
              </w:rPr>
              <w:t>浮动管理</w:t>
            </w:r>
            <w:r>
              <w:rPr>
                <w:rFonts w:hint="eastAsia" w:ascii="宋体" w:hAnsi="宋体" w:cs="宋体"/>
                <w:color w:val="000000"/>
                <w:sz w:val="21"/>
                <w:szCs w:val="21"/>
                <w:highlight w:val="none"/>
              </w:rPr>
              <w:t>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权益类资产：包括国内发行上市优先股及相关资产的资产管理产品。</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0%-10%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大类资产配置策略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管理人通过对宏观经济运行状况、国家政策、货币政策、产业政策、市场资金环境及证券市场环境的分析来判断经济周期的阶段和位置，通过定量和定性相结合的方式进行大类资产管理。主动判断市场时机进行资产配置，确定在</w:t>
      </w:r>
      <w:r>
        <w:rPr>
          <w:rFonts w:hint="eastAsia" w:ascii="宋体" w:hAnsi="宋体" w:eastAsia="宋体" w:cs="宋体"/>
          <w:color w:val="000000"/>
          <w:kern w:val="0"/>
          <w:sz w:val="24"/>
          <w:szCs w:val="24"/>
          <w:lang w:val="en-US" w:eastAsia="zh-CN" w:bidi="ar"/>
        </w:rPr>
        <w:t>存款、存单、</w:t>
      </w:r>
      <w:r>
        <w:rPr>
          <w:rFonts w:hint="eastAsia" w:ascii="宋体" w:hAnsi="宋体" w:eastAsia="宋体" w:cs="宋体"/>
          <w:color w:val="000000"/>
          <w:kern w:val="2"/>
          <w:sz w:val="24"/>
          <w:szCs w:val="24"/>
          <w:lang w:val="en-US" w:eastAsia="zh-CN" w:bidi="ar"/>
        </w:rPr>
        <w:t>债券、优先股等各类资产上的投资比例。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管理人本着稳健投资的理念，基于宏观经济形势、货币政策、固定收益资产价格走势，采用安全性和流动性优先、优选投资品种，综合运用信用策略、久期策略、杠杆策略、曲线策略、交易策略等。</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权益类资产策略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管理人结合产品流动性和市场情况，择机在组合中配置优先股权益类资产。</w:t>
      </w:r>
    </w:p>
    <w:p>
      <w:pPr>
        <w:spacing w:line="360" w:lineRule="auto"/>
        <w:ind w:firstLine="480" w:firstLineChars="200"/>
        <w:jc w:val="left"/>
        <w:rPr>
          <w:rFonts w:hint="eastAsia" w:ascii="宋体" w:hAnsi="宋体" w:cs="宋体"/>
          <w:bCs/>
          <w:sz w:val="24"/>
          <w:highlight w:val="none"/>
        </w:rPr>
      </w:pP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a、c</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云南红塔银行股份有限公司</w:t>
            </w:r>
          </w:p>
        </w:tc>
        <w:tc>
          <w:tcPr>
            <w:tcW w:w="1200" w:type="dxa"/>
            <w:vAlign w:val="center"/>
          </w:tcPr>
          <w:p>
            <w:pPr>
              <w:jc w:val="left"/>
            </w:pPr>
            <w:r>
              <w:t>住所</w:t>
            </w:r>
          </w:p>
        </w:tc>
        <w:tc>
          <w:tcPr>
            <w:tcW w:w="3800" w:type="dxa"/>
            <w:vAlign w:val="center"/>
          </w:tcPr>
          <w:p>
            <w:pPr>
              <w:jc w:val="center"/>
            </w:pPr>
            <w:r>
              <w:t>云南省玉溪市东风南路2号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0871-65236622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交通银行股份有限公司</w:t>
            </w:r>
          </w:p>
        </w:tc>
        <w:tc>
          <w:tcPr>
            <w:tcW w:w="1200" w:type="dxa"/>
            <w:vAlign w:val="center"/>
          </w:tcPr>
          <w:p>
            <w:pPr>
              <w:jc w:val="left"/>
            </w:pPr>
            <w:r>
              <w:t>住所</w:t>
            </w:r>
          </w:p>
        </w:tc>
        <w:tc>
          <w:tcPr>
            <w:tcW w:w="3800" w:type="dxa"/>
            <w:vAlign w:val="center"/>
          </w:tcPr>
          <w:p>
            <w:pPr>
              <w:jc w:val="center"/>
            </w:pPr>
            <w:r>
              <w:t>中国(上海)自由贸易试验区银城中路188号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021-58781234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嘉兴银行股份有限公司</w:t>
            </w:r>
          </w:p>
        </w:tc>
        <w:tc>
          <w:tcPr>
            <w:tcW w:w="1200" w:type="dxa"/>
            <w:vAlign w:val="center"/>
          </w:tcPr>
          <w:p>
            <w:pPr>
              <w:jc w:val="left"/>
            </w:pPr>
            <w:r>
              <w:t>住所</w:t>
            </w:r>
          </w:p>
        </w:tc>
        <w:tc>
          <w:tcPr>
            <w:tcW w:w="3800" w:type="dxa"/>
            <w:vAlign w:val="center"/>
          </w:tcPr>
          <w:p>
            <w:pPr>
              <w:jc w:val="center"/>
            </w:pPr>
            <w:r>
              <w:t>浙江省嘉兴市昌盛南路1001号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0573-96528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宁波北仑农村商业银行股份有限公司</w:t>
            </w:r>
          </w:p>
        </w:tc>
        <w:tc>
          <w:tcPr>
            <w:tcW w:w="1200" w:type="dxa"/>
            <w:vAlign w:val="center"/>
          </w:tcPr>
          <w:p>
            <w:pPr>
              <w:jc w:val="left"/>
            </w:pPr>
            <w:r>
              <w:t>住所</w:t>
            </w:r>
          </w:p>
        </w:tc>
        <w:tc>
          <w:tcPr>
            <w:tcW w:w="3800" w:type="dxa"/>
            <w:vAlign w:val="center"/>
          </w:tcPr>
          <w:p>
            <w:pPr>
              <w:jc w:val="center"/>
            </w:pPr>
            <w:r>
              <w:t>宁波市北仑区新碶宝山路69号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0574-86965857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浙江临安农村商业银行股份有限公司</w:t>
            </w:r>
          </w:p>
        </w:tc>
        <w:tc>
          <w:tcPr>
            <w:tcW w:w="1200" w:type="dxa"/>
            <w:vAlign w:val="center"/>
          </w:tcPr>
          <w:p>
            <w:pPr>
              <w:jc w:val="left"/>
            </w:pPr>
            <w:r>
              <w:t>住所</w:t>
            </w:r>
          </w:p>
        </w:tc>
        <w:tc>
          <w:tcPr>
            <w:tcW w:w="3800" w:type="dxa"/>
            <w:vAlign w:val="center"/>
          </w:tcPr>
          <w:p>
            <w:pPr>
              <w:jc w:val="center"/>
            </w:pPr>
            <w:r>
              <w:t>杭州市临安区钱王街821号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0571-61105831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浙江兰溪农村商业银行股份有限公司</w:t>
            </w:r>
          </w:p>
        </w:tc>
        <w:tc>
          <w:tcPr>
            <w:tcW w:w="1200" w:type="dxa"/>
            <w:vAlign w:val="center"/>
          </w:tcPr>
          <w:p>
            <w:pPr>
              <w:jc w:val="left"/>
            </w:pPr>
            <w:r>
              <w:t>住所</w:t>
            </w:r>
          </w:p>
        </w:tc>
        <w:tc>
          <w:tcPr>
            <w:tcW w:w="3800" w:type="dxa"/>
            <w:vAlign w:val="center"/>
          </w:tcPr>
          <w:p>
            <w:pPr>
              <w:jc w:val="center"/>
            </w:pPr>
            <w:r>
              <w:t>浙江省兰溪市兰江街道丹溪大道18号兰溪农商银行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浙江南浔农村商业银行股份有限公司</w:t>
            </w:r>
          </w:p>
        </w:tc>
        <w:tc>
          <w:tcPr>
            <w:tcW w:w="1200" w:type="dxa"/>
            <w:vAlign w:val="center"/>
          </w:tcPr>
          <w:p>
            <w:pPr>
              <w:jc w:val="left"/>
            </w:pPr>
            <w:r>
              <w:t>住所</w:t>
            </w:r>
          </w:p>
        </w:tc>
        <w:tc>
          <w:tcPr>
            <w:tcW w:w="3800" w:type="dxa"/>
            <w:vAlign w:val="center"/>
          </w:tcPr>
          <w:p>
            <w:pPr>
              <w:jc w:val="center"/>
            </w:pPr>
            <w:r>
              <w:t>浙江省湖州市南浔区南浔镇人瑞路1188号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浙江台州路桥农村商业银行股份有限公司</w:t>
            </w:r>
          </w:p>
        </w:tc>
        <w:tc>
          <w:tcPr>
            <w:tcW w:w="1200" w:type="dxa"/>
            <w:vAlign w:val="center"/>
          </w:tcPr>
          <w:p>
            <w:pPr>
              <w:jc w:val="left"/>
            </w:pPr>
            <w:r>
              <w:t>住所</w:t>
            </w:r>
          </w:p>
        </w:tc>
        <w:tc>
          <w:tcPr>
            <w:tcW w:w="3800" w:type="dxa"/>
            <w:vAlign w:val="center"/>
          </w:tcPr>
          <w:p>
            <w:pPr>
              <w:jc w:val="center"/>
            </w:pPr>
            <w: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浙江德清农村商业银行股份有限公司</w:t>
            </w:r>
          </w:p>
        </w:tc>
        <w:tc>
          <w:tcPr>
            <w:tcW w:w="1200" w:type="dxa"/>
            <w:vAlign w:val="center"/>
          </w:tcPr>
          <w:p>
            <w:pPr>
              <w:jc w:val="left"/>
            </w:pPr>
            <w:r>
              <w:t>住所</w:t>
            </w:r>
          </w:p>
        </w:tc>
        <w:tc>
          <w:tcPr>
            <w:tcW w:w="3800" w:type="dxa"/>
            <w:vAlign w:val="center"/>
          </w:tcPr>
          <w:p>
            <w:pPr>
              <w:jc w:val="center"/>
            </w:pPr>
            <w:r>
              <w:t>浙江省德清县武康街道沈长圩街50号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浙江温岭农村商业银行股份有限公司</w:t>
            </w:r>
          </w:p>
        </w:tc>
        <w:tc>
          <w:tcPr>
            <w:tcW w:w="1200" w:type="dxa"/>
            <w:vAlign w:val="center"/>
          </w:tcPr>
          <w:p>
            <w:pPr>
              <w:jc w:val="left"/>
            </w:pPr>
            <w:r>
              <w:t>住所</w:t>
            </w:r>
          </w:p>
        </w:tc>
        <w:tc>
          <w:tcPr>
            <w:tcW w:w="3800" w:type="dxa"/>
            <w:vAlign w:val="center"/>
          </w:tcPr>
          <w:p>
            <w:pPr>
              <w:jc w:val="center"/>
            </w:pPr>
            <w: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浙江萧山农村商业银行股份有限公司</w:t>
            </w:r>
          </w:p>
        </w:tc>
        <w:tc>
          <w:tcPr>
            <w:tcW w:w="1200" w:type="dxa"/>
            <w:vAlign w:val="center"/>
          </w:tcPr>
          <w:p>
            <w:pPr>
              <w:jc w:val="left"/>
            </w:pPr>
            <w:r>
              <w:t>住所</w:t>
            </w:r>
          </w:p>
        </w:tc>
        <w:tc>
          <w:tcPr>
            <w:tcW w:w="3800" w:type="dxa"/>
            <w:vAlign w:val="center"/>
          </w:tcPr>
          <w:p>
            <w:pPr>
              <w:jc w:val="center"/>
            </w:pPr>
            <w: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浙江龙港农村商业银行股份有限公司</w:t>
            </w:r>
          </w:p>
        </w:tc>
        <w:tc>
          <w:tcPr>
            <w:tcW w:w="1200" w:type="dxa"/>
            <w:vAlign w:val="center"/>
          </w:tcPr>
          <w:p>
            <w:pPr>
              <w:jc w:val="left"/>
            </w:pPr>
            <w:r>
              <w:t>住所</w:t>
            </w:r>
          </w:p>
        </w:tc>
        <w:tc>
          <w:tcPr>
            <w:tcW w:w="3800" w:type="dxa"/>
            <w:vAlign w:val="center"/>
          </w:tcPr>
          <w:p>
            <w:pPr>
              <w:jc w:val="center"/>
            </w:pPr>
            <w:r>
              <w:t>浙江省龙港市人民路1000号荣御府5号楼101室</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0577-68719669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珠海农村商业银行股份有限公司</w:t>
            </w:r>
          </w:p>
        </w:tc>
        <w:tc>
          <w:tcPr>
            <w:tcW w:w="1200" w:type="dxa"/>
            <w:vAlign w:val="center"/>
          </w:tcPr>
          <w:p>
            <w:pPr>
              <w:jc w:val="left"/>
            </w:pPr>
            <w:r>
              <w:t>住所</w:t>
            </w:r>
          </w:p>
        </w:tc>
        <w:tc>
          <w:tcPr>
            <w:tcW w:w="3800" w:type="dxa"/>
            <w:vAlign w:val="center"/>
          </w:tcPr>
          <w:p>
            <w:pPr>
              <w:jc w:val="center"/>
            </w:pPr>
            <w:r>
              <w:t>珠海市香洲兴业路223号农信金融大厦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辽宁农村商业银行股份有限公司</w:t>
            </w:r>
          </w:p>
        </w:tc>
        <w:tc>
          <w:tcPr>
            <w:tcW w:w="1200" w:type="dxa"/>
            <w:vAlign w:val="center"/>
          </w:tcPr>
          <w:p>
            <w:pPr>
              <w:jc w:val="left"/>
            </w:pPr>
            <w:r>
              <w:t>住所</w:t>
            </w:r>
          </w:p>
        </w:tc>
        <w:tc>
          <w:tcPr>
            <w:tcW w:w="3800" w:type="dxa"/>
            <w:vAlign w:val="center"/>
          </w:tcPr>
          <w:p>
            <w:pPr>
              <w:jc w:val="center"/>
            </w:pPr>
            <w: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固定</w:t>
      </w:r>
      <w:r>
        <w:rPr>
          <w:rFonts w:hint="eastAsia" w:ascii="宋体" w:hAnsi="宋体" w:cs="宋体"/>
          <w:bCs/>
          <w:color w:val="000000"/>
          <w:sz w:val="24"/>
          <w:szCs w:val="24"/>
          <w:highlight w:val="none"/>
        </w:rPr>
        <w:t>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sz w:val="24"/>
          <w:highlight w:val="none"/>
        </w:rPr>
      </w:pPr>
      <w:r>
        <w:rPr>
          <w:rFonts w:hint="eastAsia" w:ascii="宋体" w:hAnsi="宋体" w:cs="宋体"/>
          <w:bCs/>
          <w:color w:val="000000"/>
          <w:kern w:val="2"/>
          <w:sz w:val="24"/>
          <w:szCs w:val="24"/>
          <w:highlight w:val="none"/>
          <w:lang w:val="en-US" w:eastAsia="zh-CN" w:bidi="ar-SA"/>
        </w:rPr>
        <w:t>本</w:t>
      </w:r>
      <w:r>
        <w:rPr>
          <w:rFonts w:hint="eastAsia" w:ascii="宋体" w:hAnsi="宋体" w:cs="宋体"/>
          <w:bCs/>
          <w:color w:val="000000"/>
          <w:sz w:val="24"/>
          <w:highlight w:val="none"/>
        </w:rPr>
        <w:t>理财</w:t>
      </w:r>
      <w:r>
        <w:rPr>
          <w:rFonts w:hint="eastAsia" w:ascii="宋体" w:hAnsi="宋体" w:cs="宋体"/>
          <w:bCs/>
          <w:color w:val="000000"/>
          <w:sz w:val="24"/>
          <w:highlight w:val="none"/>
          <w:lang w:eastAsia="zh-CN"/>
        </w:rPr>
        <w:t>计划免除浮动管理费。</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r>
        <w:rPr>
          <w:rFonts w:hint="eastAsia" w:ascii="宋体" w:hAnsi="宋体" w:cs="宋体"/>
          <w:bCs/>
          <w:color w:val="000000"/>
          <w:sz w:val="24"/>
          <w:highlight w:val="none"/>
          <w:lang w:eastAsia="zh-CN"/>
        </w:rPr>
        <w:t>-浮动管理费（如有）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kern w:val="2"/>
          <w:sz w:val="24"/>
          <w:szCs w:val="24"/>
          <w:highlight w:val="none"/>
          <w:lang w:val="en-US" w:eastAsia="zh-CN" w:bidi="ar-SA"/>
        </w:rPr>
      </w:pPr>
      <w:r>
        <w:rPr>
          <w:rFonts w:hint="eastAsia" w:ascii="宋体" w:hAnsi="宋体" w:cs="宋体"/>
          <w:b/>
          <w:color w:val="000000"/>
          <w:sz w:val="24"/>
          <w:highlight w:val="none"/>
        </w:rPr>
        <w:t>示例说明</w:t>
      </w:r>
    </w:p>
    <w:p>
      <w:pPr>
        <w:numPr>
          <w:ilvl w:val="0"/>
          <w:numId w:val="0"/>
        </w:numPr>
        <w:spacing w:line="360" w:lineRule="auto"/>
        <w:ind w:left="0" w:leftChars="0" w:firstLine="480" w:firstLineChars="20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扣除托管费、固定管理费、销售服务费（如有）后，投资产生盈利。</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到期时扣除托管费、固定管理费、销售服务费（如有）后，如理财计划净值为1.0426，期间无分红，此时，(1.0426/1.00-1)×365/362=4.30%，即投资收益达到年化〖4.30%〗，投资者最终收益为：100,000.00×(1.0426-1.00）=4,260.00（元）</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到期时扣除托管费、固定管理费、销售服务费（如有）后，如理财计划净值为0.9975，期间无分红，投资者最终收益为：100,000.00×（0.9975-1.00）=-250.00（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FF0000"/>
          <w:sz w:val="24"/>
          <w:highlight w:val="none"/>
        </w:rPr>
      </w:pP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本理财计划在每个开放期的开放日工作时间可进行申购，申购申请将在</w:t>
      </w:r>
      <w:r>
        <w:rPr>
          <w:rFonts w:hint="eastAsia" w:ascii="宋体" w:hAnsi="宋体" w:cs="宋体"/>
          <w:bCs/>
          <w:color w:val="000000"/>
          <w:sz w:val="24"/>
          <w:highlight w:val="none"/>
          <w:lang w:eastAsia="zh-CN"/>
        </w:rPr>
        <w:t>申购</w:t>
      </w:r>
      <w:r>
        <w:rPr>
          <w:rFonts w:hint="eastAsia" w:ascii="宋体" w:hAnsi="宋体" w:cs="宋体"/>
          <w:bCs/>
          <w:color w:val="000000"/>
          <w:sz w:val="24"/>
          <w:highlight w:val="none"/>
        </w:rPr>
        <w:t>确认日进行确认，即</w:t>
      </w:r>
      <w:r>
        <w:rPr>
          <w:rFonts w:hint="eastAsia" w:ascii="宋体" w:hAnsi="宋体" w:cs="宋体"/>
          <w:bCs/>
          <w:color w:val="000000"/>
          <w:sz w:val="24"/>
          <w:highlight w:val="none"/>
          <w:lang w:eastAsia="zh-CN"/>
        </w:rPr>
        <w:t>申购</w:t>
      </w:r>
      <w:r>
        <w:rPr>
          <w:rFonts w:hint="eastAsia" w:ascii="宋体" w:hAnsi="宋体" w:cs="宋体"/>
          <w:bCs/>
          <w:color w:val="000000"/>
          <w:sz w:val="24"/>
          <w:highlight w:val="none"/>
        </w:rPr>
        <w:t>开放期后的第〖1〗个〖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〗进行确认。</w:t>
      </w:r>
    </w:p>
    <w:p>
      <w:pPr>
        <w:keepNext w:val="0"/>
        <w:keepLines w:val="0"/>
        <w:widowControl w:val="0"/>
        <w:numPr>
          <w:ilvl w:val="0"/>
          <w:numId w:val="44"/>
        </w:numPr>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cs="宋体"/>
          <w:bCs/>
          <w:color w:val="000000"/>
          <w:sz w:val="24"/>
          <w:highlight w:val="none"/>
          <w:lang w:eastAsia="zh-CN"/>
        </w:rPr>
        <w:t>满足</w:t>
      </w:r>
      <w:r>
        <w:rPr>
          <w:rFonts w:hint="eastAsia" w:ascii="宋体" w:hAnsi="宋体" w:eastAsia="宋体" w:cs="宋体"/>
          <w:color w:val="000000"/>
          <w:kern w:val="2"/>
          <w:sz w:val="24"/>
          <w:szCs w:val="24"/>
          <w:lang w:val="en-US" w:eastAsia="zh-CN" w:bidi="ar"/>
        </w:rPr>
        <w:t>最低持有期后，本理财计划在每个开放期的开放日工作时间可进行赎回，赎回申请将在赎回确认日进行确认，即赎回开放期后的第〖1〗个〖交易日〗进行确认。</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确认日后〖2〗个〖交易日〗内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
        </w:rPr>
      </w:pPr>
      <w:r>
        <w:rPr>
          <w:rFonts w:hint="eastAsia" w:ascii="宋体" w:hAnsi="宋体" w:cs="宋体"/>
          <w:color w:val="000000"/>
          <w:kern w:val="0"/>
          <w:sz w:val="24"/>
          <w:szCs w:val="24"/>
          <w:highlight w:val="none"/>
          <w:lang w:eastAsia="zh"/>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2</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default"/>
          <w:sz w:val="24"/>
          <w:highlight w:val="none"/>
          <w:lang w:val="en-US" w:eastAsia="zh-CN"/>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spacing w:line="360" w:lineRule="auto"/>
        <w:rPr>
          <w:rFonts w:ascii="宋体" w:hAnsi="宋体" w:cs="宋体"/>
          <w:bCs/>
          <w:color w:val="000000"/>
          <w:sz w:val="24"/>
        </w:rPr>
      </w:pP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BCFE62D6"/>
    <w:multiLevelType w:val="multilevel"/>
    <w:tmpl w:val="BCFE62D6"/>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20">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1">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8">
    <w:nsid w:val="F574F5B6"/>
    <w:multiLevelType w:val="singleLevel"/>
    <w:tmpl w:val="F574F5B6"/>
    <w:lvl w:ilvl="0" w:tentative="0">
      <w:start w:val="1"/>
      <w:numFmt w:val="decimal"/>
      <w:suff w:val="nothing"/>
      <w:lvlText w:val="（%1）"/>
      <w:lvlJc w:val="left"/>
      <w:rPr>
        <w:color w:val="000000"/>
      </w:rPr>
    </w:lvl>
  </w:abstractNum>
  <w:abstractNum w:abstractNumId="29">
    <w:nsid w:val="F7D42B73"/>
    <w:multiLevelType w:val="multilevel"/>
    <w:tmpl w:val="F7D42B73"/>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2">
    <w:nsid w:val="FFDECCD3"/>
    <w:multiLevelType w:val="multilevel"/>
    <w:tmpl w:val="FFDECCD3"/>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3">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4">
    <w:nsid w:val="084A6179"/>
    <w:multiLevelType w:val="singleLevel"/>
    <w:tmpl w:val="084A6179"/>
    <w:lvl w:ilvl="0" w:tentative="0">
      <w:start w:val="1"/>
      <w:numFmt w:val="decimal"/>
      <w:suff w:val="nothing"/>
      <w:lvlText w:val="（%1）"/>
      <w:lvlJc w:val="left"/>
      <w:rPr>
        <w:rFonts w:hint="default"/>
        <w:highlight w:val="none"/>
      </w:rPr>
    </w:lvl>
  </w:abstractNum>
  <w:abstractNum w:abstractNumId="35">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6">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7">
    <w:nsid w:val="167B0BB4"/>
    <w:multiLevelType w:val="singleLevel"/>
    <w:tmpl w:val="167B0BB4"/>
    <w:lvl w:ilvl="0" w:tentative="0">
      <w:start w:val="1"/>
      <w:numFmt w:val="decimal"/>
      <w:suff w:val="nothing"/>
      <w:lvlText w:val="（%1）"/>
      <w:lvlJc w:val="left"/>
    </w:lvl>
  </w:abstractNum>
  <w:abstractNum w:abstractNumId="38">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9">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0">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41">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2">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3">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4">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6">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7">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9">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0">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1">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2">
    <w:nsid w:val="5BA91325"/>
    <w:multiLevelType w:val="singleLevel"/>
    <w:tmpl w:val="5BA91325"/>
    <w:lvl w:ilvl="0" w:tentative="0">
      <w:start w:val="1"/>
      <w:numFmt w:val="decimal"/>
      <w:suff w:val="nothing"/>
      <w:lvlText w:val="（%1）"/>
      <w:lvlJc w:val="left"/>
      <w:rPr>
        <w:color w:val="000000"/>
      </w:rPr>
    </w:lvl>
  </w:abstractNum>
  <w:abstractNum w:abstractNumId="53">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4">
    <w:nsid w:val="69C07A9C"/>
    <w:multiLevelType w:val="singleLevel"/>
    <w:tmpl w:val="69C07A9C"/>
    <w:lvl w:ilvl="0" w:tentative="0">
      <w:start w:val="1"/>
      <w:numFmt w:val="lowerLetter"/>
      <w:suff w:val="space"/>
      <w:lvlText w:val="%1."/>
      <w:lvlJc w:val="left"/>
      <w:rPr>
        <w:color w:val="00000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50"/>
  </w:num>
  <w:num w:numId="2">
    <w:abstractNumId w:val="46"/>
  </w:num>
  <w:num w:numId="3">
    <w:abstractNumId w:val="30"/>
  </w:num>
  <w:num w:numId="4">
    <w:abstractNumId w:val="26"/>
  </w:num>
  <w:num w:numId="5">
    <w:abstractNumId w:val="35"/>
  </w:num>
  <w:num w:numId="6">
    <w:abstractNumId w:val="25"/>
  </w:num>
  <w:num w:numId="7">
    <w:abstractNumId w:val="17"/>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15"/>
  </w:num>
  <w:num w:numId="15">
    <w:abstractNumId w:val="32"/>
  </w:num>
  <w:num w:numId="16">
    <w:abstractNumId w:val="45"/>
  </w:num>
  <w:num w:numId="17">
    <w:abstractNumId w:val="28"/>
  </w:num>
  <w:num w:numId="18">
    <w:abstractNumId w:val="47"/>
  </w:num>
  <w:num w:numId="19">
    <w:abstractNumId w:val="52"/>
  </w:num>
  <w:num w:numId="20">
    <w:abstractNumId w:val="54"/>
  </w:num>
  <w:num w:numId="21">
    <w:abstractNumId w:val="40"/>
  </w:num>
  <w:num w:numId="22">
    <w:abstractNumId w:val="16"/>
  </w:num>
  <w:num w:numId="23">
    <w:abstractNumId w:val="39"/>
  </w:num>
  <w:num w:numId="24">
    <w:abstractNumId w:val="19"/>
  </w:num>
  <w:num w:numId="25">
    <w:abstractNumId w:val="5"/>
  </w:num>
  <w:num w:numId="26">
    <w:abstractNumId w:val="49"/>
  </w:num>
  <w:num w:numId="27">
    <w:abstractNumId w:val="4"/>
  </w:num>
  <w:num w:numId="28">
    <w:abstractNumId w:val="34"/>
  </w:num>
  <w:num w:numId="29">
    <w:abstractNumId w:val="38"/>
  </w:num>
  <w:num w:numId="30">
    <w:abstractNumId w:val="55"/>
  </w:num>
  <w:num w:numId="31">
    <w:abstractNumId w:val="33"/>
  </w:num>
  <w:num w:numId="32">
    <w:abstractNumId w:val="18"/>
  </w:num>
  <w:num w:numId="33">
    <w:abstractNumId w:val="42"/>
  </w:num>
  <w:num w:numId="34">
    <w:abstractNumId w:val="0"/>
  </w:num>
  <w:num w:numId="35">
    <w:abstractNumId w:val="21"/>
  </w:num>
  <w:num w:numId="36">
    <w:abstractNumId w:val="44"/>
  </w:num>
  <w:num w:numId="37">
    <w:abstractNumId w:val="2"/>
  </w:num>
  <w:num w:numId="38">
    <w:abstractNumId w:val="22"/>
  </w:num>
  <w:num w:numId="39">
    <w:abstractNumId w:val="29"/>
  </w:num>
  <w:num w:numId="40">
    <w:abstractNumId w:val="48"/>
  </w:num>
  <w:num w:numId="41">
    <w:abstractNumId w:val="36"/>
  </w:num>
  <w:num w:numId="42">
    <w:abstractNumId w:val="14"/>
  </w:num>
  <w:num w:numId="43">
    <w:abstractNumId w:val="27"/>
  </w:num>
  <w:num w:numId="44">
    <w:abstractNumId w:val="23"/>
  </w:num>
  <w:num w:numId="45">
    <w:abstractNumId w:val="24"/>
  </w:num>
  <w:num w:numId="46">
    <w:abstractNumId w:val="53"/>
  </w:num>
  <w:num w:numId="47">
    <w:abstractNumId w:val="41"/>
  </w:num>
  <w:num w:numId="48">
    <w:abstractNumId w:val="1"/>
  </w:num>
  <w:num w:numId="49">
    <w:abstractNumId w:val="51"/>
  </w:num>
  <w:num w:numId="50">
    <w:abstractNumId w:val="11"/>
  </w:num>
  <w:num w:numId="51">
    <w:abstractNumId w:val="9"/>
  </w:num>
  <w:num w:numId="52">
    <w:abstractNumId w:val="12"/>
  </w:num>
  <w:num w:numId="53">
    <w:abstractNumId w:val="37"/>
  </w:num>
  <w:num w:numId="54">
    <w:abstractNumId w:val="20"/>
  </w:num>
  <w:num w:numId="55">
    <w:abstractNumId w:val="3"/>
  </w:num>
  <w:num w:numId="5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76F6F8A"/>
    <w:rsid w:val="089F06F0"/>
    <w:rsid w:val="08EC59C1"/>
    <w:rsid w:val="09012D55"/>
    <w:rsid w:val="093A6D15"/>
    <w:rsid w:val="09C724A3"/>
    <w:rsid w:val="09C80899"/>
    <w:rsid w:val="0A057859"/>
    <w:rsid w:val="0CB54915"/>
    <w:rsid w:val="0CE01EEC"/>
    <w:rsid w:val="0D2F3D4F"/>
    <w:rsid w:val="0D5B65FA"/>
    <w:rsid w:val="0D7A6610"/>
    <w:rsid w:val="0DA673EC"/>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6D3DCE"/>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520DE1"/>
    <w:rsid w:val="3486580A"/>
    <w:rsid w:val="34A35A92"/>
    <w:rsid w:val="34A453A9"/>
    <w:rsid w:val="34EC3C25"/>
    <w:rsid w:val="35112B96"/>
    <w:rsid w:val="351A5D92"/>
    <w:rsid w:val="35AA025C"/>
    <w:rsid w:val="35CA7D73"/>
    <w:rsid w:val="377307FA"/>
    <w:rsid w:val="3B1C12F3"/>
    <w:rsid w:val="3BD53B5C"/>
    <w:rsid w:val="3CC57F13"/>
    <w:rsid w:val="3D4C282D"/>
    <w:rsid w:val="3D970F4E"/>
    <w:rsid w:val="3DE106C6"/>
    <w:rsid w:val="3E540971"/>
    <w:rsid w:val="3E7508FE"/>
    <w:rsid w:val="3E786275"/>
    <w:rsid w:val="3E931F0D"/>
    <w:rsid w:val="3F7E2660"/>
    <w:rsid w:val="3FA31FDD"/>
    <w:rsid w:val="3FF6D16A"/>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7EB6B0"/>
    <w:rsid w:val="4CC51C60"/>
    <w:rsid w:val="4D3204EA"/>
    <w:rsid w:val="4D697EB1"/>
    <w:rsid w:val="4DDF8641"/>
    <w:rsid w:val="4DFF95C2"/>
    <w:rsid w:val="4E08799D"/>
    <w:rsid w:val="4E2B414A"/>
    <w:rsid w:val="4F5679CC"/>
    <w:rsid w:val="501840BA"/>
    <w:rsid w:val="527F7BDD"/>
    <w:rsid w:val="52B042C0"/>
    <w:rsid w:val="53827B5D"/>
    <w:rsid w:val="53E86B53"/>
    <w:rsid w:val="54D66C67"/>
    <w:rsid w:val="5593D271"/>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6D34D7"/>
    <w:rsid w:val="68B9403E"/>
    <w:rsid w:val="68D511B9"/>
    <w:rsid w:val="68FA6041"/>
    <w:rsid w:val="69827CEE"/>
    <w:rsid w:val="6BDE71F2"/>
    <w:rsid w:val="6C9577EB"/>
    <w:rsid w:val="6CBA3A99"/>
    <w:rsid w:val="6D3A1203"/>
    <w:rsid w:val="6E9C369D"/>
    <w:rsid w:val="6EF41B11"/>
    <w:rsid w:val="6F5F424F"/>
    <w:rsid w:val="6FFF49C1"/>
    <w:rsid w:val="702573F3"/>
    <w:rsid w:val="70B57531"/>
    <w:rsid w:val="70FA499F"/>
    <w:rsid w:val="730C182D"/>
    <w:rsid w:val="73FC9A3F"/>
    <w:rsid w:val="73FD8B13"/>
    <w:rsid w:val="751974A1"/>
    <w:rsid w:val="758B30E4"/>
    <w:rsid w:val="75F42331"/>
    <w:rsid w:val="761F7C3C"/>
    <w:rsid w:val="76683D2A"/>
    <w:rsid w:val="76C62D9E"/>
    <w:rsid w:val="78244617"/>
    <w:rsid w:val="7A923507"/>
    <w:rsid w:val="7ACB640D"/>
    <w:rsid w:val="7BFF1A29"/>
    <w:rsid w:val="7C044D89"/>
    <w:rsid w:val="7C63442B"/>
    <w:rsid w:val="7CDB2DB5"/>
    <w:rsid w:val="7CFF9610"/>
    <w:rsid w:val="7D3AA22F"/>
    <w:rsid w:val="7DE35ECA"/>
    <w:rsid w:val="7E1A0C5A"/>
    <w:rsid w:val="7E3212D3"/>
    <w:rsid w:val="7F5ED40B"/>
    <w:rsid w:val="7F5F887D"/>
    <w:rsid w:val="7FCC7D05"/>
    <w:rsid w:val="7FEF42B8"/>
    <w:rsid w:val="7FFF8EDB"/>
    <w:rsid w:val="9F9F25DF"/>
    <w:rsid w:val="9FD01BC3"/>
    <w:rsid w:val="ADFD0E4E"/>
    <w:rsid w:val="B3FE25BF"/>
    <w:rsid w:val="B97F0511"/>
    <w:rsid w:val="BE6E0F8F"/>
    <w:rsid w:val="C679D4D5"/>
    <w:rsid w:val="D3FFF2E3"/>
    <w:rsid w:val="D4B948F0"/>
    <w:rsid w:val="D74B89BD"/>
    <w:rsid w:val="D7BE90C3"/>
    <w:rsid w:val="DBDFAA48"/>
    <w:rsid w:val="E7BE8365"/>
    <w:rsid w:val="E9FF1448"/>
    <w:rsid w:val="EBFFA63A"/>
    <w:rsid w:val="F06DB0AB"/>
    <w:rsid w:val="F2F53720"/>
    <w:rsid w:val="F3F331A4"/>
    <w:rsid w:val="F3FF81F7"/>
    <w:rsid w:val="F7FE62B6"/>
    <w:rsid w:val="F7FFDCC3"/>
    <w:rsid w:val="F9B5CD4A"/>
    <w:rsid w:val="FA543BA3"/>
    <w:rsid w:val="FD7F9463"/>
    <w:rsid w:val="FEAED78B"/>
    <w:rsid w:val="FF760428"/>
    <w:rsid w:val="FFEF47D7"/>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38941</Words>
  <Characters>41131</Characters>
  <Lines>1</Lines>
  <Paragraphs>1</Paragraphs>
  <TotalTime>1</TotalTime>
  <ScaleCrop>false</ScaleCrop>
  <LinksUpToDate>false</LinksUpToDate>
  <CharactersWithSpaces>41482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2026-08-10T02:14:21Z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361B56629FA1978CC2634F6AE9611D03_43</vt:lpwstr>
  </property>
  <property fmtid="{D5CDD505-2E9C-101B-9397-08002B2CF9AE}" pid="3" name="KSOProductBuildVer">
    <vt:lpwstr>2052-11.8.2.8411</vt:lpwstr>
  </property>
</Properties>
</file>