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杭银理财幸福99月添益1801期理财</w:t>
      </w:r>
      <w:r>
        <w:rPr>
          <w:rFonts w:hint="eastAsia" w:ascii="宋体" w:hAnsi="宋体" w:cs="宋体"/>
          <w:b/>
          <w:bCs/>
          <w:color w:val="000000"/>
          <w:sz w:val="44"/>
          <w:szCs w:val="44"/>
          <w:highlight w:val="none"/>
        </w:rPr>
        <w:t>合同</w:t>
      </w:r>
    </w:p>
    <w:p>
      <w:pPr>
        <w:jc w:val="center"/>
        <w:rPr>
          <w:rFonts w:hint="eastAsia" w:ascii="宋体" w:hAnsi="宋体" w:cs="宋体"/>
          <w:sz w:val="44"/>
          <w:szCs w:val="44"/>
          <w:highlight w:val="none"/>
        </w:rPr>
      </w:pPr>
    </w:p>
    <w:p>
      <w:pPr>
        <w:jc w:val="center"/>
        <w:rPr>
          <w:rFonts w:hint="eastAsia" w:ascii="宋体" w:hAnsi="宋体" w:cs="宋体"/>
          <w:sz w:val="44"/>
          <w:szCs w:val="44"/>
          <w:highlight w:val="none"/>
        </w:rPr>
      </w:pPr>
    </w:p>
    <w:p>
      <w:pPr>
        <w:jc w:val="center"/>
        <w:rPr>
          <w:rFonts w:hint="eastAsia" w:ascii="宋体" w:hAnsi="宋体" w:cs="宋体"/>
          <w:sz w:val="44"/>
          <w:szCs w:val="44"/>
          <w:highlight w:val="none"/>
        </w:rPr>
      </w:pPr>
    </w:p>
    <w:p>
      <w:pPr>
        <w:jc w:val="center"/>
        <w:rPr>
          <w:rFonts w:hint="eastAsia" w:ascii="宋体" w:hAnsi="宋体" w:cs="宋体"/>
          <w:sz w:val="44"/>
          <w:szCs w:val="44"/>
          <w:highlight w:val="none"/>
        </w:rPr>
      </w:pPr>
    </w:p>
    <w:p>
      <w:pPr>
        <w:jc w:val="center"/>
        <w:rPr>
          <w:rFonts w:hint="eastAsia" w:ascii="宋体" w:hAnsi="宋体" w:cs="宋体"/>
          <w:sz w:val="44"/>
          <w:szCs w:val="44"/>
          <w:highlight w:val="none"/>
        </w:rPr>
      </w:pPr>
    </w:p>
    <w:p>
      <w:pPr>
        <w:jc w:val="center"/>
        <w:rPr>
          <w:rFonts w:hint="eastAsia" w:ascii="宋体" w:hAnsi="宋体" w:cs="宋体"/>
          <w:sz w:val="44"/>
          <w:szCs w:val="44"/>
          <w:highlight w:val="none"/>
        </w:rPr>
      </w:pPr>
    </w:p>
    <w:p>
      <w:pPr>
        <w:jc w:val="center"/>
        <w:rPr>
          <w:rFonts w:hint="eastAsia" w:ascii="宋体" w:hAnsi="宋体" w:cs="宋体"/>
          <w:sz w:val="44"/>
          <w:szCs w:val="44"/>
          <w:highlight w:val="none"/>
        </w:rPr>
      </w:pPr>
    </w:p>
    <w:p>
      <w:pPr>
        <w:jc w:val="center"/>
        <w:outlineLvl w:val="1"/>
        <w:rPr>
          <w:rFonts w:hint="eastAsia" w:ascii="宋体" w:hAnsi="宋体" w:cs="宋体"/>
          <w:sz w:val="32"/>
          <w:szCs w:val="32"/>
          <w:highlight w:val="none"/>
        </w:rPr>
      </w:pPr>
      <w:r>
        <w:rPr>
          <w:rFonts w:hint="eastAsia" w:ascii="宋体" w:hAnsi="宋体" w:cs="宋体"/>
          <w:color w:val="000000"/>
          <w:sz w:val="32"/>
          <w:szCs w:val="32"/>
          <w:highlight w:val="none"/>
        </w:rPr>
        <w:t>理财计划管理人：杭银理财有限责任公司</w:t>
      </w:r>
    </w:p>
    <w:p>
      <w:pPr>
        <w:ind w:firstLine="1280" w:firstLineChars="400"/>
        <w:jc w:val="left"/>
        <w:outlineLvl w:val="1"/>
        <w:rPr>
          <w:rFonts w:hint="eastAsia" w:ascii="宋体" w:hAnsi="宋体" w:cs="宋体"/>
          <w:sz w:val="32"/>
          <w:szCs w:val="32"/>
          <w:highlight w:val="none"/>
        </w:rPr>
      </w:pPr>
      <w:r>
        <w:rPr>
          <w:rFonts w:hint="eastAsia" w:ascii="宋体" w:hAnsi="宋体" w:cs="宋体"/>
          <w:color w:val="000000"/>
          <w:sz w:val="32"/>
          <w:szCs w:val="32"/>
          <w:highlight w:val="none"/>
        </w:rPr>
        <w:t>理财计划托管人：</w:t>
      </w:r>
      <w:r>
        <w:rPr>
          <w:rFonts w:hint="eastAsia" w:ascii="宋体" w:hAnsi="宋体" w:eastAsia="宋体" w:cs="宋体"/>
          <w:color w:val="000000"/>
          <w:kern w:val="2"/>
          <w:sz w:val="32"/>
          <w:szCs w:val="32"/>
          <w:highlight w:val="none"/>
          <w:lang w:val="en-US" w:eastAsia="zh-CN" w:bidi="ar-SA"/>
        </w:rPr>
        <w:t>杭州银行股份有限公司</w:t>
      </w:r>
    </w:p>
    <w:p>
      <w:pPr>
        <w:ind w:firstLine="1280" w:firstLineChars="400"/>
        <w:jc w:val="left"/>
        <w:rPr>
          <w:rFonts w:hint="eastAsia" w:ascii="宋体" w:hAnsi="宋体" w:cs="宋体"/>
          <w:sz w:val="32"/>
          <w:szCs w:val="32"/>
          <w:highlight w:val="none"/>
        </w:rPr>
      </w:pPr>
    </w:p>
    <w:p>
      <w:pPr>
        <w:jc w:val="center"/>
        <w:rPr>
          <w:rFonts w:hint="eastAsia" w:ascii="宋体" w:hAnsi="宋体" w:cs="宋体"/>
          <w:sz w:val="32"/>
          <w:szCs w:val="32"/>
          <w:highlight w:val="none"/>
        </w:rPr>
      </w:pPr>
    </w:p>
    <w:p>
      <w:pPr>
        <w:jc w:val="center"/>
        <w:rPr>
          <w:rFonts w:hint="eastAsia" w:ascii="宋体" w:hAnsi="宋体" w:cs="宋体"/>
          <w:sz w:val="32"/>
          <w:szCs w:val="32"/>
          <w:highlight w:val="none"/>
        </w:rPr>
      </w:pPr>
    </w:p>
    <w:p>
      <w:pPr>
        <w:jc w:val="center"/>
        <w:rPr>
          <w:rFonts w:hint="eastAsia" w:ascii="宋体" w:hAnsi="宋体" w:cs="宋体"/>
          <w:sz w:val="32"/>
          <w:szCs w:val="32"/>
          <w:highlight w:val="none"/>
        </w:rPr>
      </w:pPr>
    </w:p>
    <w:p>
      <w:pPr>
        <w:jc w:val="center"/>
        <w:rPr>
          <w:rFonts w:hint="eastAsia" w:ascii="宋体" w:hAnsi="宋体" w:cs="宋体"/>
          <w:sz w:val="32"/>
          <w:szCs w:val="32"/>
          <w:highlight w:val="none"/>
        </w:rPr>
      </w:pPr>
    </w:p>
    <w:p>
      <w:pPr>
        <w:jc w:val="center"/>
        <w:rPr>
          <w:rFonts w:hint="eastAsia" w:ascii="宋体" w:hAnsi="宋体" w:cs="宋体"/>
          <w:sz w:val="32"/>
          <w:szCs w:val="32"/>
          <w:highlight w:val="none"/>
        </w:rPr>
      </w:pPr>
    </w:p>
    <w:p>
      <w:pPr>
        <w:jc w:val="center"/>
        <w:rPr>
          <w:rFonts w:hint="eastAsia" w:ascii="宋体" w:hAnsi="宋体" w:cs="宋体"/>
          <w:sz w:val="32"/>
          <w:szCs w:val="32"/>
          <w:highlight w:val="none"/>
        </w:rPr>
      </w:pPr>
    </w:p>
    <w:p>
      <w:pPr>
        <w:jc w:val="center"/>
        <w:rPr>
          <w:rFonts w:hint="eastAsia" w:ascii="宋体" w:hAnsi="宋体" w:cs="宋体"/>
          <w:sz w:val="32"/>
          <w:szCs w:val="32"/>
          <w:highlight w:val="none"/>
        </w:rPr>
      </w:pPr>
    </w:p>
    <w:p>
      <w:pPr>
        <w:jc w:val="center"/>
        <w:rPr>
          <w:rFonts w:hint="eastAsia" w:ascii="宋体" w:hAnsi="宋体" w:cs="宋体"/>
          <w:b/>
          <w:bCs/>
          <w:sz w:val="44"/>
          <w:szCs w:val="44"/>
          <w:highlight w:val="none"/>
        </w:rPr>
      </w:pPr>
    </w:p>
    <w:p>
      <w:pPr>
        <w:jc w:val="center"/>
        <w:rPr>
          <w:rFonts w:hint="eastAsia" w:ascii="宋体" w:hAnsi="宋体" w:cs="宋体"/>
          <w:b/>
          <w:bCs/>
          <w:sz w:val="44"/>
          <w:szCs w:val="44"/>
          <w:highlight w:val="none"/>
        </w:rPr>
      </w:pPr>
    </w:p>
    <w:p>
      <w:pPr>
        <w:jc w:val="center"/>
        <w:rPr>
          <w:rFonts w:hint="eastAsia" w:ascii="宋体" w:hAnsi="宋体" w:cs="宋体"/>
          <w:b/>
          <w:bCs/>
          <w:sz w:val="44"/>
          <w:szCs w:val="44"/>
          <w:highlight w:val="none"/>
        </w:rPr>
      </w:pPr>
    </w:p>
    <w:p>
      <w:pPr>
        <w:jc w:val="center"/>
        <w:rPr>
          <w:rFonts w:hint="eastAsia" w:ascii="宋体" w:hAnsi="宋体" w:cs="宋体"/>
          <w:b/>
          <w:bCs/>
          <w:sz w:val="44"/>
          <w:szCs w:val="44"/>
          <w:highlight w:val="none"/>
        </w:rPr>
      </w:pPr>
    </w:p>
    <w:p>
      <w:pPr>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杭银理财幸福99月添益1801期理财</w:t>
      </w:r>
      <w:r>
        <w:rPr>
          <w:rFonts w:hint="eastAsia" w:ascii="宋体" w:hAnsi="宋体" w:cs="宋体"/>
          <w:b/>
          <w:bCs/>
          <w:color w:val="000000"/>
          <w:sz w:val="44"/>
          <w:szCs w:val="44"/>
          <w:highlight w:val="none"/>
        </w:rPr>
        <w:t>合同文件</w:t>
      </w:r>
    </w:p>
    <w:p>
      <w:pPr>
        <w:jc w:val="center"/>
        <w:rPr>
          <w:rFonts w:hint="eastAsia" w:ascii="宋体" w:hAnsi="宋体" w:cs="宋体"/>
          <w:sz w:val="44"/>
          <w:szCs w:val="44"/>
          <w:highlight w:val="none"/>
        </w:rPr>
      </w:pPr>
    </w:p>
    <w:p>
      <w:pPr>
        <w:jc w:val="center"/>
        <w:rPr>
          <w:rFonts w:hint="eastAsia" w:ascii="宋体" w:hAnsi="宋体" w:cs="宋体"/>
          <w:sz w:val="44"/>
          <w:szCs w:val="44"/>
          <w:highlight w:val="none"/>
        </w:rPr>
      </w:pPr>
    </w:p>
    <w:tbl>
      <w:tblPr>
        <w:tblStyle w:val="11"/>
        <w:tblW w:w="8191" w:type="dxa"/>
        <w:tblInd w:w="3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5160"/>
        <w:gridCol w:w="2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szCs w:val="21"/>
                <w:highlight w:val="none"/>
              </w:rPr>
            </w:pPr>
            <w:r>
              <w:rPr>
                <w:rFonts w:hint="eastAsia" w:ascii="宋体" w:hAnsi="宋体" w:cs="宋体"/>
                <w:b/>
                <w:bCs/>
                <w:color w:val="000000"/>
                <w:szCs w:val="21"/>
                <w:highlight w:val="none"/>
              </w:rPr>
              <w:t>序号</w:t>
            </w:r>
          </w:p>
        </w:tc>
        <w:tc>
          <w:tcPr>
            <w:tcW w:w="5160"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szCs w:val="21"/>
                <w:highlight w:val="none"/>
              </w:rPr>
            </w:pPr>
            <w:r>
              <w:rPr>
                <w:rFonts w:hint="eastAsia" w:ascii="宋体" w:hAnsi="宋体" w:cs="宋体"/>
                <w:b/>
                <w:bCs/>
                <w:color w:val="000000"/>
                <w:szCs w:val="21"/>
                <w:highlight w:val="none"/>
              </w:rPr>
              <w:t>理财计划合同文件中的文件名称</w:t>
            </w:r>
          </w:p>
        </w:tc>
        <w:tc>
          <w:tcPr>
            <w:tcW w:w="2266"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szCs w:val="21"/>
                <w:highlight w:val="none"/>
              </w:rPr>
            </w:pPr>
            <w:r>
              <w:rPr>
                <w:rFonts w:hint="eastAsia" w:ascii="宋体" w:hAnsi="宋体" w:cs="宋体"/>
                <w:b/>
                <w:bCs/>
                <w:color w:val="000000"/>
                <w:szCs w:val="21"/>
                <w:highlight w:val="none"/>
              </w:rPr>
              <w:t>文件简称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Cs w:val="21"/>
                <w:highlight w:val="none"/>
              </w:rPr>
            </w:pPr>
            <w:r>
              <w:rPr>
                <w:rFonts w:hint="eastAsia" w:ascii="宋体" w:hAnsi="宋体" w:cs="宋体"/>
                <w:color w:val="000000"/>
                <w:szCs w:val="21"/>
                <w:highlight w:val="none"/>
              </w:rPr>
              <w:t>1</w:t>
            </w:r>
          </w:p>
        </w:tc>
        <w:tc>
          <w:tcPr>
            <w:tcW w:w="5160" w:type="dxa"/>
            <w:noWrap w:val="0"/>
            <w:vAlign w:val="center"/>
          </w:tcPr>
          <w:p>
            <w:pPr>
              <w:keepNext w:val="0"/>
              <w:keepLines w:val="0"/>
              <w:suppressLineNumbers w:val="0"/>
              <w:spacing w:before="0" w:beforeAutospacing="0" w:after="0" w:afterAutospacing="0" w:line="360" w:lineRule="auto"/>
              <w:ind w:left="0" w:right="0"/>
              <w:jc w:val="left"/>
              <w:rPr>
                <w:rFonts w:hint="default" w:ascii="宋体" w:hAnsi="宋体" w:cs="宋体"/>
                <w:szCs w:val="21"/>
                <w:highlight w:val="none"/>
              </w:rPr>
            </w:pPr>
            <w:r>
              <w:rPr>
                <w:rFonts w:hint="eastAsia" w:ascii="宋体" w:hAnsi="宋体" w:eastAsia="宋体" w:cs="宋体"/>
                <w:color w:val="000000"/>
                <w:kern w:val="2"/>
                <w:sz w:val="21"/>
                <w:szCs w:val="21"/>
                <w:highlight w:val="none"/>
                <w:lang w:val="en-US" w:eastAsia="zh-CN" w:bidi="ar-SA"/>
              </w:rPr>
              <w:t>杭银理财幸福99月添益1801期理财</w:t>
            </w:r>
            <w:r>
              <w:rPr>
                <w:rFonts w:hint="eastAsia" w:ascii="宋体" w:hAnsi="宋体" w:cs="宋体"/>
                <w:color w:val="000000"/>
                <w:szCs w:val="21"/>
                <w:highlight w:val="none"/>
              </w:rPr>
              <w:t>风险揭示书</w:t>
            </w:r>
          </w:p>
        </w:tc>
        <w:tc>
          <w:tcPr>
            <w:tcW w:w="2266"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szCs w:val="21"/>
                <w:highlight w:val="none"/>
              </w:rPr>
            </w:pPr>
            <w:r>
              <w:rPr>
                <w:rFonts w:hint="eastAsia" w:ascii="宋体" w:hAnsi="宋体" w:cs="宋体"/>
                <w:color w:val="000000"/>
                <w:szCs w:val="21"/>
                <w:highlight w:val="none"/>
              </w:rPr>
              <w:t>理财计划风险揭示书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Cs w:val="21"/>
                <w:highlight w:val="none"/>
              </w:rPr>
            </w:pPr>
            <w:r>
              <w:rPr>
                <w:rFonts w:hint="eastAsia" w:ascii="宋体" w:hAnsi="宋体" w:cs="宋体"/>
                <w:color w:val="000000"/>
                <w:szCs w:val="21"/>
                <w:highlight w:val="none"/>
              </w:rPr>
              <w:t>2</w:t>
            </w:r>
          </w:p>
        </w:tc>
        <w:tc>
          <w:tcPr>
            <w:tcW w:w="5160" w:type="dxa"/>
            <w:noWrap w:val="0"/>
            <w:vAlign w:val="center"/>
          </w:tcPr>
          <w:p>
            <w:pPr>
              <w:keepNext w:val="0"/>
              <w:keepLines w:val="0"/>
              <w:suppressLineNumbers w:val="0"/>
              <w:spacing w:before="0" w:beforeAutospacing="0" w:after="0" w:afterAutospacing="0" w:line="360" w:lineRule="auto"/>
              <w:ind w:left="0" w:right="0"/>
              <w:jc w:val="left"/>
              <w:rPr>
                <w:rFonts w:hint="default" w:ascii="宋体" w:hAnsi="宋体" w:cs="宋体"/>
                <w:szCs w:val="21"/>
                <w:highlight w:val="none"/>
              </w:rPr>
            </w:pPr>
            <w:r>
              <w:rPr>
                <w:rFonts w:hint="eastAsia" w:ascii="宋体" w:hAnsi="宋体" w:eastAsia="宋体" w:cs="宋体"/>
                <w:color w:val="000000"/>
                <w:kern w:val="2"/>
                <w:sz w:val="21"/>
                <w:szCs w:val="21"/>
                <w:highlight w:val="none"/>
                <w:lang w:val="en-US" w:eastAsia="zh-CN" w:bidi="ar-SA"/>
              </w:rPr>
              <w:t>杭银理财幸福99月添益1801期理财</w:t>
            </w:r>
            <w:r>
              <w:rPr>
                <w:rFonts w:hint="eastAsia" w:ascii="宋体" w:hAnsi="宋体" w:cs="宋体"/>
                <w:color w:val="000000"/>
                <w:szCs w:val="21"/>
                <w:highlight w:val="none"/>
              </w:rPr>
              <w:t>产品说明书</w:t>
            </w:r>
          </w:p>
        </w:tc>
        <w:tc>
          <w:tcPr>
            <w:tcW w:w="2266"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szCs w:val="21"/>
                <w:highlight w:val="none"/>
              </w:rPr>
            </w:pPr>
            <w:r>
              <w:rPr>
                <w:rFonts w:hint="eastAsia" w:ascii="宋体" w:hAnsi="宋体" w:cs="宋体"/>
                <w:color w:val="000000"/>
                <w:szCs w:val="21"/>
                <w:highlight w:val="none"/>
              </w:rPr>
              <w:t>理财计划产品说明书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Cs w:val="21"/>
                <w:highlight w:val="none"/>
              </w:rPr>
            </w:pPr>
            <w:r>
              <w:rPr>
                <w:rFonts w:hint="eastAsia" w:ascii="宋体" w:hAnsi="宋体" w:cs="宋体"/>
                <w:color w:val="000000"/>
                <w:szCs w:val="21"/>
                <w:highlight w:val="none"/>
              </w:rPr>
              <w:t>3</w:t>
            </w:r>
          </w:p>
        </w:tc>
        <w:tc>
          <w:tcPr>
            <w:tcW w:w="5160" w:type="dxa"/>
            <w:noWrap w:val="0"/>
            <w:vAlign w:val="center"/>
          </w:tcPr>
          <w:p>
            <w:pPr>
              <w:keepNext w:val="0"/>
              <w:keepLines w:val="0"/>
              <w:suppressLineNumbers w:val="0"/>
              <w:spacing w:before="0" w:beforeAutospacing="0" w:after="0" w:afterAutospacing="0" w:line="360" w:lineRule="auto"/>
              <w:ind w:left="0" w:right="0"/>
              <w:jc w:val="left"/>
              <w:rPr>
                <w:rFonts w:hint="eastAsia" w:ascii="宋体" w:hAnsi="宋体" w:cs="宋体"/>
                <w:szCs w:val="21"/>
                <w:highlight w:val="none"/>
              </w:rPr>
            </w:pPr>
            <w:r>
              <w:rPr>
                <w:rFonts w:hint="eastAsia" w:ascii="宋体" w:hAnsi="宋体" w:cs="宋体"/>
                <w:color w:val="000000"/>
                <w:szCs w:val="21"/>
                <w:highlight w:val="none"/>
              </w:rPr>
              <w:t>杭银理财投资者权益须知</w:t>
            </w:r>
          </w:p>
        </w:tc>
        <w:tc>
          <w:tcPr>
            <w:tcW w:w="2266"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szCs w:val="21"/>
                <w:highlight w:val="none"/>
              </w:rPr>
            </w:pPr>
            <w:r>
              <w:rPr>
                <w:rFonts w:hint="eastAsia" w:ascii="宋体" w:hAnsi="宋体" w:cs="宋体"/>
                <w:color w:val="000000"/>
                <w:szCs w:val="21"/>
                <w:highlight w:val="none"/>
              </w:rPr>
              <w:t>投资者权益须知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Cs w:val="21"/>
                <w:highlight w:val="none"/>
              </w:rPr>
            </w:pPr>
            <w:r>
              <w:rPr>
                <w:rFonts w:hint="eastAsia" w:ascii="宋体" w:hAnsi="宋体" w:cs="宋体"/>
                <w:color w:val="000000"/>
                <w:szCs w:val="21"/>
                <w:highlight w:val="none"/>
              </w:rPr>
              <w:t>4</w:t>
            </w:r>
          </w:p>
        </w:tc>
        <w:tc>
          <w:tcPr>
            <w:tcW w:w="5160" w:type="dxa"/>
            <w:noWrap w:val="0"/>
            <w:vAlign w:val="center"/>
          </w:tcPr>
          <w:p>
            <w:pPr>
              <w:keepNext w:val="0"/>
              <w:keepLines w:val="0"/>
              <w:suppressLineNumbers w:val="0"/>
              <w:spacing w:before="0" w:beforeAutospacing="0" w:after="0" w:afterAutospacing="0" w:line="360" w:lineRule="auto"/>
              <w:ind w:left="0" w:right="0"/>
              <w:jc w:val="left"/>
              <w:rPr>
                <w:rFonts w:hint="eastAsia" w:ascii="宋体" w:hAnsi="宋体" w:cs="宋体"/>
                <w:szCs w:val="21"/>
                <w:highlight w:val="none"/>
              </w:rPr>
            </w:pPr>
            <w:r>
              <w:rPr>
                <w:rFonts w:hint="eastAsia" w:ascii="宋体" w:hAnsi="宋体" w:cs="宋体"/>
                <w:color w:val="000000"/>
                <w:szCs w:val="21"/>
                <w:highlight w:val="none"/>
              </w:rPr>
              <w:t>杭银理财理财计划投资协议书</w:t>
            </w:r>
          </w:p>
        </w:tc>
        <w:tc>
          <w:tcPr>
            <w:tcW w:w="2266"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szCs w:val="21"/>
                <w:highlight w:val="none"/>
              </w:rPr>
            </w:pPr>
            <w:r>
              <w:rPr>
                <w:rFonts w:hint="eastAsia" w:ascii="宋体" w:hAnsi="宋体" w:cs="宋体"/>
                <w:color w:val="000000"/>
                <w:szCs w:val="21"/>
                <w:highlight w:val="none"/>
              </w:rPr>
              <w:t>理财计划投资协议书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Cs w:val="21"/>
                <w:highlight w:val="none"/>
              </w:rPr>
            </w:pPr>
            <w:r>
              <w:rPr>
                <w:rFonts w:hint="eastAsia" w:ascii="宋体" w:hAnsi="宋体" w:cs="宋体"/>
                <w:color w:val="000000"/>
                <w:szCs w:val="21"/>
                <w:highlight w:val="none"/>
              </w:rPr>
              <w:t>5</w:t>
            </w:r>
          </w:p>
        </w:tc>
        <w:tc>
          <w:tcPr>
            <w:tcW w:w="5160" w:type="dxa"/>
            <w:noWrap w:val="0"/>
            <w:vAlign w:val="center"/>
          </w:tcPr>
          <w:p>
            <w:pPr>
              <w:keepNext w:val="0"/>
              <w:keepLines w:val="0"/>
              <w:suppressLineNumbers w:val="0"/>
              <w:spacing w:before="0" w:beforeAutospacing="0" w:after="0" w:afterAutospacing="0" w:line="360" w:lineRule="auto"/>
              <w:ind w:left="0" w:right="0"/>
              <w:jc w:val="left"/>
              <w:rPr>
                <w:rFonts w:hint="eastAsia" w:ascii="宋体" w:hAnsi="宋体" w:cs="宋体"/>
                <w:szCs w:val="21"/>
                <w:highlight w:val="none"/>
              </w:rPr>
            </w:pPr>
            <w:r>
              <w:rPr>
                <w:rFonts w:hint="eastAsia" w:ascii="宋体" w:hAnsi="宋体" w:cs="宋体"/>
                <w:color w:val="000000"/>
                <w:szCs w:val="21"/>
                <w:highlight w:val="none"/>
              </w:rPr>
              <w:t>杭银理财理财计划销售协议书</w:t>
            </w:r>
          </w:p>
        </w:tc>
        <w:tc>
          <w:tcPr>
            <w:tcW w:w="2266"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szCs w:val="21"/>
                <w:highlight w:val="none"/>
              </w:rPr>
            </w:pPr>
            <w:r>
              <w:rPr>
                <w:rFonts w:hint="eastAsia" w:ascii="宋体" w:hAnsi="宋体" w:cs="宋体"/>
                <w:color w:val="000000"/>
                <w:szCs w:val="21"/>
                <w:highlight w:val="none"/>
              </w:rPr>
              <w:t>理财计划销售协议书</w:t>
            </w:r>
          </w:p>
        </w:tc>
      </w:tr>
    </w:tbl>
    <w:p>
      <w:pPr>
        <w:rPr>
          <w:rFonts w:ascii="宋体" w:hAnsi="宋体" w:cs="宋体"/>
          <w:bCs/>
          <w:color w:val="000000"/>
          <w:sz w:val="24"/>
          <w:highlight w:val="none"/>
        </w:rPr>
      </w:pPr>
      <w:r>
        <w:rPr>
          <w:rFonts w:ascii="宋体" w:hAnsi="宋体" w:cs="宋体"/>
          <w:bCs/>
          <w:color w:val="000000"/>
          <w:sz w:val="24"/>
          <w:highlight w:val="none"/>
        </w:rPr>
        <w:br w:type="page"/>
      </w:r>
    </w:p>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杭银理财幸福99月添益1801期理财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color w:val="000000"/>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8"/>
        </w:numPr>
        <w:spacing w:line="360" w:lineRule="auto"/>
        <w:jc w:val="left"/>
        <w:outlineLvl w:val="9"/>
        <w:rPr>
          <w:rFonts w:hint="eastAsia" w:ascii="宋体" w:hAnsi="宋体" w:cs="宋体"/>
          <w:b/>
          <w:bCs/>
          <w:sz w:val="24"/>
          <w:highlight w:val="none"/>
        </w:rPr>
      </w:pPr>
      <w:r>
        <w:rPr>
          <w:rFonts w:hint="eastAsia" w:ascii="宋体" w:hAnsi="宋体" w:cs="宋体"/>
          <w:b/>
          <w:bCs/>
          <w:color w:val="000000"/>
          <w:sz w:val="24"/>
          <w:highlight w:val="none"/>
          <w:lang w:eastAsia="zh"/>
        </w:rPr>
        <w:t>根据适当性管理原则，将理财投资人分为专业投资者和普通投资者。其中专业投资者应符合下列条件之一：</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1.银行业金融机构、保险业金融机构、金融控股公司、证券基金期货经营机构、私募基金管理人；</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2.上述机构面向投资者发行的金融产品，信托公司管理的资产服务信托、公益慈善信托；</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3.社会保障基金、企业年金、职业年金等养老基金，慈善基金等社会公益基金，合格境外机构投资者（QFII）、人民币合格境外机构投资者（ROFII）。</w:t>
      </w:r>
    </w:p>
    <w:p>
      <w:pPr>
        <w:numPr>
          <w:ilvl w:val="0"/>
          <w:numId w:val="0"/>
        </w:numPr>
        <w:spacing w:line="360" w:lineRule="auto"/>
        <w:ind w:left="420" w:left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专业投资者之外的投资者为普通投资者。</w:t>
      </w:r>
    </w:p>
    <w:p>
      <w:pPr>
        <w:numPr>
          <w:ilvl w:val="0"/>
          <w:numId w:val="0"/>
        </w:numPr>
        <w:spacing w:line="360" w:lineRule="auto"/>
        <w:ind w:left="420" w:leftChars="0"/>
        <w:jc w:val="left"/>
        <w:outlineLvl w:val="9"/>
        <w:rPr>
          <w:rFonts w:hint="eastAsia" w:ascii="宋体" w:hAnsi="宋体" w:cs="宋体"/>
          <w:bCs/>
          <w:sz w:val="24"/>
          <w:highlight w:val="none"/>
        </w:rPr>
      </w:pP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color w:val="000000"/>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000000"/>
          <w:highlight w:val="none"/>
        </w:rPr>
        <w:br w:type="page"/>
      </w:r>
    </w:p>
    <w:p>
      <w:pPr>
        <w:pStyle w:val="9"/>
        <w:keepNext w:val="0"/>
        <w:keepLines w:val="0"/>
        <w:pageBreakBefore/>
        <w:widowControl/>
        <w:suppressLineNumbers w:val="0"/>
        <w:autoSpaceDE w:val="0"/>
        <w:autoSpaceDN w:val="0"/>
        <w:adjustRightInd w:val="0"/>
        <w:spacing w:before="0" w:beforeAutospacing="0" w:after="0" w:afterAutospacing="0" w:line="360" w:lineRule="auto"/>
        <w:ind w:left="0" w:leftChars="0" w:right="0"/>
        <w:jc w:val="center"/>
        <w:outlineLvl w:val="2"/>
        <w:rPr>
          <w:rFonts w:hint="eastAsia" w:ascii="宋体" w:hAnsi="宋体" w:eastAsia="宋体" w:cs="宋体"/>
          <w:b/>
          <w:bCs/>
          <w:sz w:val="24"/>
          <w:szCs w:val="24"/>
        </w:rPr>
      </w:pPr>
      <w:r>
        <w:rPr>
          <w:rFonts w:hint="eastAsia" w:ascii="宋体" w:hAnsi="宋体" w:eastAsia="宋体" w:cs="宋体"/>
          <w:b/>
          <w:bCs/>
          <w:color w:val="000000"/>
          <w:kern w:val="0"/>
          <w:sz w:val="24"/>
          <w:szCs w:val="24"/>
          <w:lang w:val="en-US" w:eastAsia="zh-CN" w:bidi="ar"/>
        </w:rPr>
        <w:t>投资者确认栏（普通投资者填写）</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本人/本机构经销售机构评估的风险承受能力等级为：</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（投资者填写）</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如超过一年未进行风险承受能力评估或影响本人风险承受能力的因素发生变化，本人/本机构将于再次购买理财计划时及时完成风险承受能力评估。</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声明：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本人/本机构购买本理财计划的资金为合法自有资金，不存在使用借款、贷款等非自有资金的情形；且系为合法目的投资本理财计划，而非为洗钱等违法违规之目的，本人/本机构将配合管理人或销售机构开展客户身份识别及尽职调查、反恐怖融资以及非居民金融账户尽职调查等，及时、真实、准确提供身份信息及资金来源信息。</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（投资者需全文抄录以下文字以完成确认：</w:t>
      </w:r>
      <w:r>
        <w:rPr>
          <w:rFonts w:hint="eastAsia" w:ascii="宋体" w:hAnsi="宋体" w:eastAsia="宋体" w:cs="宋体"/>
          <w:b/>
          <w:bCs/>
          <w:color w:val="000000"/>
          <w:kern w:val="0"/>
          <w:sz w:val="24"/>
          <w:szCs w:val="24"/>
          <w:lang w:val="en-US" w:eastAsia="zh-CN" w:bidi="ar"/>
        </w:rPr>
        <w:t>“本人/本机构已经阅读上述风险揭示，愿意承担投资风险。”如通过线上渠道购买，认/申购交易确认即知晓并同意自身风险承受能力等级并确认风险揭示内容，愿意承担投资风险，与书面签署具有同等效力。</w:t>
      </w: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lang w:val="en-US" w:eastAsia="zh-CN" w:bidi="ar"/>
        </w:rPr>
        <w:t>本人/本机构同时确认如下：</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个人投资者（签字）：</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机构投资者（盖章）：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机构投资者法定代表人或授权代表（签字或盖章）：</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left"/>
        <w:rPr>
          <w:rFonts w:hint="eastAsia" w:ascii="宋体" w:hAnsi="宋体" w:eastAsia="宋体" w:cs="黑体"/>
          <w:b/>
          <w:bCs/>
          <w:kern w:val="0"/>
          <w:sz w:val="21"/>
          <w:szCs w:val="21"/>
        </w:rPr>
      </w:pPr>
      <w:r>
        <w:rPr>
          <w:rFonts w:hint="eastAsia" w:ascii="宋体" w:hAnsi="宋体" w:eastAsia="宋体" w:cs="宋体"/>
          <w:color w:val="000000"/>
          <w:kern w:val="2"/>
          <w:sz w:val="21"/>
          <w:szCs w:val="21"/>
          <w:lang w:val="en-US" w:eastAsia="zh-CN" w:bidi="ar"/>
        </w:rPr>
        <w:t xml:space="preserve">                                             </w:t>
      </w:r>
      <w:r>
        <w:rPr>
          <w:rFonts w:hint="eastAsia" w:ascii="宋体" w:hAnsi="宋体" w:eastAsia="宋体" w:cs="宋体"/>
          <w:color w:val="000000"/>
          <w:kern w:val="0"/>
          <w:sz w:val="24"/>
          <w:szCs w:val="24"/>
          <w:lang w:val="en-US" w:eastAsia="zh-CN" w:bidi="ar"/>
        </w:rPr>
        <w:t>日期：</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年</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日</w:t>
      </w:r>
    </w:p>
    <w:p>
      <w:pPr>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杭银理财幸福99月添益1801期理财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Z7002221000242</w:t>
      </w:r>
      <w:r>
        <w:rPr>
          <w:rFonts w:hint="eastAsia" w:ascii="宋体" w:hAnsi="宋体" w:cs="宋体"/>
          <w:bCs/>
          <w:color w:val="000000"/>
          <w:sz w:val="24"/>
          <w:highlight w:val="none"/>
        </w:rPr>
        <w:t>〗</w:t>
      </w:r>
    </w:p>
    <w:p>
      <w:pPr>
        <w:spacing w:line="360" w:lineRule="auto"/>
        <w:jc w:val="center"/>
        <w:rPr>
          <w:rFonts w:hint="eastAsia" w:ascii="宋体" w:hAnsi="宋体" w:cs="宋体"/>
          <w:bCs/>
          <w:sz w:val="24"/>
          <w:highlight w:val="none"/>
        </w:rPr>
      </w:pPr>
    </w:p>
    <w:p>
      <w:pPr>
        <w:numPr>
          <w:ilvl w:val="0"/>
          <w:numId w:val="9"/>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重要须知</w:t>
      </w:r>
    </w:p>
    <w:p>
      <w:pPr>
        <w:numPr>
          <w:ilvl w:val="0"/>
          <w:numId w:val="10"/>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10"/>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10"/>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10"/>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10"/>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10"/>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10"/>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10"/>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10"/>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10"/>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10"/>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10"/>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10"/>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11"/>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12"/>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13"/>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13"/>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13"/>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000000"/>
          <w:kern w:val="2"/>
          <w:highlight w:val="none"/>
        </w:rPr>
        <w:t>。</w:t>
      </w:r>
    </w:p>
    <w:p>
      <w:pPr>
        <w:pStyle w:val="20"/>
        <w:numPr>
          <w:ilvl w:val="0"/>
          <w:numId w:val="13"/>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13"/>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13"/>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12"/>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14"/>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杭银理财幸福99月添益1801期理财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14"/>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杭银理财幸福99月添益1801期理财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14"/>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杭银理财幸福99月添益1801期理财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14"/>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杭银理财幸福99月添益1801期理财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14"/>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杭银理财幸福99月添益1801期理财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14"/>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12"/>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杭银理财幸福99月添益1801期理财</w:t>
      </w:r>
      <w:r>
        <w:rPr>
          <w:rFonts w:hint="eastAsia" w:ascii="宋体" w:hAnsi="宋体" w:cs="宋体"/>
          <w:bCs/>
          <w:highlight w:val="none"/>
        </w:rPr>
        <w:t>。</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15"/>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15"/>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15"/>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15"/>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12"/>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16"/>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1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17"/>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17"/>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8"/>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8"/>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杭银理财幸福99月添益1801期理财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月添益1801期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FRG1801</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Z7002221000242</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A份额（销售代码〖FRG1801〗）：普通个人投资者和机构客户。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B份额（销售代码〖FRG1801B〗）：其他代销机构。</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C份额（销售代码〖FRG1801C〗）：代销机构特邀客户。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〖110〗亿元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2018</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18</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2018</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2018</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〖2018〗年〖7〗月〖25〗日-〖2018〗年〖10〗月〖24〗日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每月</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eastAsia="宋体" w:cs="宋体"/>
                <w:color w:val="000000"/>
                <w:kern w:val="2"/>
                <w:sz w:val="21"/>
                <w:szCs w:val="21"/>
                <w:lang w:val="en-US" w:eastAsia="zh-CN" w:bidi="ar"/>
              </w:rPr>
              <w:t>A、C份额〖开放期为产品确认日前5-7个工作日〗，B份额〖开放期为产品确认日前1个工作日〗，</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理财计划存续期内，若理财计划开放日净赎回申请份额超过上一日日终理财计划总份额〖10%〗时，管理人有权暂停或拒绝接受赎回申请，并最迟于下一工作日进行对外公告。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 xml:space="preserve"> b </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w:t>
            </w:r>
            <w:r>
              <w:rPr>
                <w:rFonts w:hint="eastAsia" w:ascii="宋体" w:hAnsi="宋体" w:cs="宋体"/>
                <w:color w:val="000000"/>
                <w:sz w:val="21"/>
                <w:szCs w:val="21"/>
                <w:highlight w:val="none"/>
                <w:lang w:eastAsia="zh-CN"/>
              </w:rPr>
              <w:t>四</w:t>
            </w:r>
            <w:r>
              <w:rPr>
                <w:rFonts w:hint="eastAsia" w:ascii="宋体" w:hAnsi="宋体" w:cs="宋体"/>
                <w:color w:val="000000"/>
                <w:sz w:val="21"/>
                <w:szCs w:val="21"/>
                <w:highlight w:val="none"/>
              </w:rPr>
              <w:t>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SA"/>
              </w:rPr>
              <w:t>四</w:t>
            </w:r>
            <w:r>
              <w:rPr>
                <w:rFonts w:hint="eastAsia" w:ascii="宋体" w:hAnsi="宋体" w:cs="宋体"/>
                <w:color w:val="000000"/>
                <w:sz w:val="21"/>
                <w:szCs w:val="21"/>
                <w:highlight w:val="none"/>
                <w:lang w:eastAsia="zh-CN"/>
              </w:rPr>
              <w:t>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本理财计划〖A份额〗业绩比较基准为〖中国人民银行公布的7天通知存款利率〗（年化）。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本理财计划〖B份额〗业绩比较基准为〖中国人民银行公布的7天通知存款利率〗（年化）。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本理财计划〖C份额〗业绩比较基准为〖中国人民银行公布的7天通知存款利率〗（年化）。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重点投资于同业存单、存款、信用债等资产，同时根据流动性管理需要和监管要求配置不低于5%的高流动性资产,管理人根据固定收益市场的历史表现，结合当前利率水平、资产配比及市场同类型产品情况，经综合测算得出本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〖B份额〗收取年化〖0.3%〗的销售服务费, 〖C份额〗收取年化〖0.00%〗的销售服务费。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本理财计划免除</w:t>
            </w:r>
            <w:r>
              <w:rPr>
                <w:rFonts w:hint="eastAsia" w:ascii="宋体" w:hAnsi="宋体" w:cs="宋体"/>
                <w:color w:val="000000"/>
                <w:sz w:val="21"/>
                <w:szCs w:val="21"/>
                <w:highlight w:val="none"/>
                <w:lang w:eastAsia="zh-CN"/>
              </w:rPr>
              <w:t>浮动管理</w:t>
            </w:r>
            <w:r>
              <w:rPr>
                <w:rFonts w:hint="eastAsia" w:ascii="宋体" w:hAnsi="宋体" w:cs="宋体"/>
                <w:color w:val="000000"/>
                <w:sz w:val="21"/>
                <w:szCs w:val="21"/>
                <w:highlight w:val="none"/>
              </w:rPr>
              <w:t>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9"/>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2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权益类资产：包括国内发行上市优先股以及其他符合监管要求的权益类资产（不包括未上市企业股权）。</w:t>
      </w:r>
    </w:p>
    <w:p>
      <w:pPr>
        <w:numPr>
          <w:ilvl w:val="0"/>
          <w:numId w:val="2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0%-20%</w:t>
            </w:r>
          </w:p>
        </w:tc>
      </w:tr>
    </w:tbl>
    <w:p>
      <w:pPr>
        <w:pStyle w:val="20"/>
        <w:numPr>
          <w:ilvl w:val="0"/>
          <w:numId w:val="21"/>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21"/>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21"/>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21"/>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numPr>
          <w:ilvl w:val="0"/>
          <w:numId w:val="2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投资策略</w:t>
      </w:r>
    </w:p>
    <w:p>
      <w:pPr>
        <w:keepNext w:val="0"/>
        <w:keepLines w:val="0"/>
        <w:widowControl w:val="0"/>
        <w:suppressLineNumbers w:val="0"/>
        <w:adjustRightInd/>
        <w:spacing w:before="0" w:beforeAutospacing="0" w:after="0" w:afterAutospacing="0" w:line="360" w:lineRule="auto"/>
        <w:ind w:left="0" w:right="0" w:firstLine="480" w:firstLineChars="200"/>
        <w:jc w:val="both"/>
        <w:rPr>
          <w:rFonts w:hint="eastAsia" w:ascii="宋体" w:eastAsia="宋体" w:cs="宋体"/>
          <w:color w:val="FF0000"/>
          <w:sz w:val="21"/>
          <w:szCs w:val="21"/>
          <w:highlight w:val="none"/>
          <w:lang w:eastAsia="zh-CN"/>
        </w:rPr>
      </w:pPr>
      <w:r>
        <w:rPr>
          <w:rFonts w:hint="eastAsia" w:ascii="宋体" w:hAnsi="宋体" w:eastAsia="宋体" w:cs="宋体"/>
          <w:color w:val="000000"/>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color w:val="000000"/>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color w:val="000000"/>
          <w:kern w:val="2"/>
          <w:sz w:val="24"/>
          <w:szCs w:val="24"/>
          <w:lang w:val="en-US" w:eastAsia="zh-CN" w:bidi="ar"/>
        </w:rPr>
        <w:t>20%的资金于其他资产</w:t>
      </w:r>
      <w:r>
        <w:rPr>
          <w:rFonts w:hint="eastAsia" w:ascii="宋体" w:eastAsia="宋体" w:cs="宋体"/>
          <w:b/>
          <w:bCs/>
          <w:color w:val="000000"/>
          <w:kern w:val="2"/>
          <w:sz w:val="24"/>
          <w:szCs w:val="24"/>
          <w:lang w:val="en-US" w:eastAsia="zh-CN" w:bidi="ar"/>
        </w:rPr>
        <w:t>。</w:t>
      </w:r>
    </w:p>
    <w:p>
      <w:pPr>
        <w:numPr>
          <w:ilvl w:val="0"/>
          <w:numId w:val="2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投资集中度限制</w:t>
      </w:r>
    </w:p>
    <w:p>
      <w:pPr>
        <w:numPr>
          <w:ilvl w:val="0"/>
          <w:numId w:val="23"/>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2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2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2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本理财计划的总资产不得超过净资产的140%。</w:t>
      </w:r>
    </w:p>
    <w:p>
      <w:pPr>
        <w:numPr>
          <w:ilvl w:val="0"/>
          <w:numId w:val="2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流动性限制</w:t>
      </w:r>
    </w:p>
    <w:p>
      <w:pPr>
        <w:numPr>
          <w:ilvl w:val="0"/>
          <w:numId w:val="2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2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a、c</w:t>
      </w:r>
      <w:r>
        <w:rPr>
          <w:rFonts w:hint="eastAsia" w:ascii="宋体" w:hAnsi="宋体" w:cs="宋体"/>
          <w:bCs/>
          <w:color w:val="000000"/>
          <w:sz w:val="24"/>
          <w:highlight w:val="none"/>
        </w:rPr>
        <w:t>】</w:t>
      </w:r>
    </w:p>
    <w:p>
      <w:pPr>
        <w:numPr>
          <w:ilvl w:val="0"/>
          <w:numId w:val="26"/>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6"/>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6"/>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25"/>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2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20"/>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8"/>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8"/>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8"/>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9"/>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合作机构及主要职责</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3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上饶银行股份有限公司</w:t>
            </w:r>
          </w:p>
        </w:tc>
        <w:tc>
          <w:tcPr>
            <w:tcW w:w="1200" w:type="dxa"/>
            <w:vAlign w:val="center"/>
          </w:tcPr>
          <w:p>
            <w:pPr>
              <w:jc w:val="left"/>
            </w:pPr>
            <w:r>
              <w:t>住所</w:t>
            </w:r>
          </w:p>
        </w:tc>
        <w:tc>
          <w:tcPr>
            <w:tcW w:w="3800" w:type="dxa"/>
            <w:vAlign w:val="center"/>
          </w:tcPr>
          <w:p>
            <w:pPr>
              <w:jc w:val="cente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中国邮政储蓄银行股份有限公司</w:t>
            </w:r>
          </w:p>
        </w:tc>
        <w:tc>
          <w:tcPr>
            <w:tcW w:w="1200" w:type="dxa"/>
            <w:vAlign w:val="center"/>
          </w:tcPr>
          <w:p>
            <w:pPr>
              <w:jc w:val="left"/>
            </w:pPr>
            <w:r>
              <w:t>住所</w:t>
            </w:r>
          </w:p>
        </w:tc>
        <w:tc>
          <w:tcPr>
            <w:tcW w:w="3800" w:type="dxa"/>
            <w:vAlign w:val="center"/>
          </w:tcPr>
          <w:p>
            <w:pPr>
              <w:jc w:val="center"/>
            </w:pPr>
            <w:r>
              <w:t>北京市西城区金融大街3号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福建省福州市台江区江滨中大道398号兴业银行大厦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威海蓝海银行股份有限公司</w:t>
            </w:r>
          </w:p>
        </w:tc>
        <w:tc>
          <w:tcPr>
            <w:tcW w:w="1200" w:type="dxa"/>
            <w:vAlign w:val="center"/>
          </w:tcPr>
          <w:p>
            <w:pPr>
              <w:jc w:val="left"/>
            </w:pPr>
            <w:r>
              <w:t>住所</w:t>
            </w:r>
          </w:p>
        </w:tc>
        <w:tc>
          <w:tcPr>
            <w:tcW w:w="3800" w:type="dxa"/>
            <w:vAlign w:val="center"/>
          </w:tcPr>
          <w:p>
            <w:pPr>
              <w:jc w:val="center"/>
            </w:pPr>
            <w: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宁夏银行股份有限公司</w:t>
            </w:r>
          </w:p>
        </w:tc>
        <w:tc>
          <w:tcPr>
            <w:tcW w:w="1200" w:type="dxa"/>
            <w:vAlign w:val="center"/>
          </w:tcPr>
          <w:p>
            <w:pPr>
              <w:jc w:val="left"/>
            </w:pPr>
            <w:r>
              <w:t>住所</w:t>
            </w:r>
          </w:p>
        </w:tc>
        <w:tc>
          <w:tcPr>
            <w:tcW w:w="3800" w:type="dxa"/>
            <w:vAlign w:val="center"/>
          </w:tcPr>
          <w:p>
            <w:pPr>
              <w:jc w:val="center"/>
            </w:pPr>
            <w:r>
              <w:t>银川市金凤区北京中路157号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宁波宁海农村商业银行股份有限公司</w:t>
            </w:r>
          </w:p>
        </w:tc>
        <w:tc>
          <w:tcPr>
            <w:tcW w:w="1200" w:type="dxa"/>
            <w:vAlign w:val="center"/>
          </w:tcPr>
          <w:p>
            <w:pPr>
              <w:jc w:val="left"/>
            </w:pPr>
            <w:r>
              <w:t>住所</w:t>
            </w:r>
          </w:p>
        </w:tc>
        <w:tc>
          <w:tcPr>
            <w:tcW w:w="3800" w:type="dxa"/>
            <w:vAlign w:val="center"/>
          </w:tcPr>
          <w:p>
            <w:pPr>
              <w:jc w:val="center"/>
            </w:pPr>
            <w:r>
              <w:t>宁海县跃龙街道学勉路1号（金融中心1903）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0574-83522699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宁波甬城农村商业银行股份有限公司</w:t>
            </w:r>
          </w:p>
        </w:tc>
        <w:tc>
          <w:tcPr>
            <w:tcW w:w="1200" w:type="dxa"/>
            <w:vAlign w:val="center"/>
          </w:tcPr>
          <w:p>
            <w:pPr>
              <w:jc w:val="left"/>
            </w:pPr>
            <w:r>
              <w:t>住所</w:t>
            </w:r>
          </w:p>
        </w:tc>
        <w:tc>
          <w:tcPr>
            <w:tcW w:w="3800" w:type="dxa"/>
            <w:vAlign w:val="center"/>
          </w:tcPr>
          <w:p>
            <w:pPr>
              <w:jc w:val="center"/>
            </w:pPr>
            <w:r>
              <w:t>浙江省宁波市江北区育才路15、17号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0574-87667888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山西银行股份有限公司</w:t>
            </w:r>
          </w:p>
        </w:tc>
        <w:tc>
          <w:tcPr>
            <w:tcW w:w="1200" w:type="dxa"/>
            <w:vAlign w:val="center"/>
          </w:tcPr>
          <w:p>
            <w:pPr>
              <w:jc w:val="left"/>
            </w:pPr>
            <w:r>
              <w:t>住所</w:t>
            </w:r>
          </w:p>
        </w:tc>
        <w:tc>
          <w:tcPr>
            <w:tcW w:w="3800" w:type="dxa"/>
            <w:vAlign w:val="center"/>
          </w:tcPr>
          <w:p>
            <w:pPr>
              <w:jc w:val="center"/>
            </w:pPr>
            <w:r>
              <w:t>山西转型综合改革示范区学府产业园高新街15号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无锡锡商银行股份有限公司</w:t>
            </w:r>
          </w:p>
        </w:tc>
        <w:tc>
          <w:tcPr>
            <w:tcW w:w="1200" w:type="dxa"/>
            <w:vAlign w:val="center"/>
          </w:tcPr>
          <w:p>
            <w:pPr>
              <w:jc w:val="left"/>
            </w:pPr>
            <w:r>
              <w:t>住所</w:t>
            </w:r>
          </w:p>
        </w:tc>
        <w:tc>
          <w:tcPr>
            <w:tcW w:w="3800" w:type="dxa"/>
            <w:vAlign w:val="center"/>
          </w:tcPr>
          <w:p>
            <w:pPr>
              <w:jc w:val="center"/>
            </w:pPr>
            <w:r>
              <w:t>江苏省无锡市锡山区安镇街道东翔路578号红豆财富广场1-2层、5-11层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4008880555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日照银行股份有限公司</w:t>
            </w:r>
          </w:p>
        </w:tc>
        <w:tc>
          <w:tcPr>
            <w:tcW w:w="1200" w:type="dxa"/>
            <w:vAlign w:val="center"/>
          </w:tcPr>
          <w:p>
            <w:pPr>
              <w:jc w:val="left"/>
            </w:pPr>
            <w:r>
              <w:t>住所</w:t>
            </w:r>
          </w:p>
        </w:tc>
        <w:tc>
          <w:tcPr>
            <w:tcW w:w="3800" w:type="dxa"/>
            <w:vAlign w:val="center"/>
          </w:tcPr>
          <w:p>
            <w:pPr>
              <w:jc w:val="center"/>
            </w:pPr>
            <w:r>
              <w:t>日照市烟台路197号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江苏苏商银行股份有限公司</w:t>
            </w:r>
          </w:p>
        </w:tc>
        <w:tc>
          <w:tcPr>
            <w:tcW w:w="1200" w:type="dxa"/>
            <w:vAlign w:val="center"/>
          </w:tcPr>
          <w:p>
            <w:pPr>
              <w:jc w:val="left"/>
            </w:pPr>
            <w:r>
              <w:t>住所</w:t>
            </w:r>
          </w:p>
        </w:tc>
        <w:tc>
          <w:tcPr>
            <w:tcW w:w="3800" w:type="dxa"/>
            <w:vAlign w:val="center"/>
          </w:tcPr>
          <w:p>
            <w:pPr>
              <w:jc w:val="center"/>
            </w:pPr>
            <w: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025-66669001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浙江丽水莲都农村商业银行股份有限公司</w:t>
            </w:r>
          </w:p>
        </w:tc>
        <w:tc>
          <w:tcPr>
            <w:tcW w:w="1200" w:type="dxa"/>
            <w:vAlign w:val="center"/>
          </w:tcPr>
          <w:p>
            <w:pPr>
              <w:jc w:val="left"/>
            </w:pPr>
            <w:r>
              <w:t>住所</w:t>
            </w:r>
          </w:p>
        </w:tc>
        <w:tc>
          <w:tcPr>
            <w:tcW w:w="3800" w:type="dxa"/>
            <w:vAlign w:val="center"/>
          </w:tcPr>
          <w:p>
            <w:pPr>
              <w:jc w:val="center"/>
            </w:pPr>
            <w:r>
              <w:t>浙江省丽水市莲都区解放街438号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0578-2027170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浙江乐清农村商业银行股份有限公司</w:t>
            </w:r>
          </w:p>
        </w:tc>
        <w:tc>
          <w:tcPr>
            <w:tcW w:w="1200" w:type="dxa"/>
            <w:vAlign w:val="center"/>
          </w:tcPr>
          <w:p>
            <w:pPr>
              <w:jc w:val="left"/>
            </w:pPr>
            <w:r>
              <w:t>住所</w:t>
            </w:r>
          </w:p>
        </w:tc>
        <w:tc>
          <w:tcPr>
            <w:tcW w:w="3800" w:type="dxa"/>
            <w:vAlign w:val="center"/>
          </w:tcPr>
          <w:p>
            <w:pPr>
              <w:jc w:val="center"/>
            </w:pPr>
            <w:r>
              <w:t>浙江省乐清市城南街道伯乐西路99号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0577-62159999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浙江兰溪农村商业银行股份有限公司</w:t>
            </w:r>
          </w:p>
        </w:tc>
        <w:tc>
          <w:tcPr>
            <w:tcW w:w="1200" w:type="dxa"/>
            <w:vAlign w:val="center"/>
          </w:tcPr>
          <w:p>
            <w:pPr>
              <w:jc w:val="left"/>
            </w:pPr>
            <w:r>
              <w:t>住所</w:t>
            </w:r>
          </w:p>
        </w:tc>
        <w:tc>
          <w:tcPr>
            <w:tcW w:w="3800" w:type="dxa"/>
            <w:vAlign w:val="center"/>
          </w:tcPr>
          <w:p>
            <w:pPr>
              <w:jc w:val="center"/>
            </w:pPr>
            <w:r>
              <w:t>浙江省兰溪市兰江街道丹溪大道18号兰溪农商银行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浙江南浔农村商业银行股份有限公司</w:t>
            </w:r>
          </w:p>
        </w:tc>
        <w:tc>
          <w:tcPr>
            <w:tcW w:w="1200" w:type="dxa"/>
            <w:vAlign w:val="center"/>
          </w:tcPr>
          <w:p>
            <w:pPr>
              <w:jc w:val="left"/>
            </w:pPr>
            <w:r>
              <w:t>住所</w:t>
            </w:r>
          </w:p>
        </w:tc>
        <w:tc>
          <w:tcPr>
            <w:tcW w:w="3800" w:type="dxa"/>
            <w:vAlign w:val="center"/>
          </w:tcPr>
          <w:p>
            <w:pPr>
              <w:jc w:val="center"/>
            </w:pPr>
            <w:r>
              <w:t>浙江省湖州市南浔区南浔镇人瑞路1188号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浙江台州椒江农村商业银行股份有限公司</w:t>
            </w:r>
          </w:p>
        </w:tc>
        <w:tc>
          <w:tcPr>
            <w:tcW w:w="1200" w:type="dxa"/>
            <w:vAlign w:val="center"/>
          </w:tcPr>
          <w:p>
            <w:pPr>
              <w:jc w:val="left"/>
            </w:pPr>
            <w:r>
              <w:t>住所</w:t>
            </w:r>
          </w:p>
        </w:tc>
        <w:tc>
          <w:tcPr>
            <w:tcW w:w="3800" w:type="dxa"/>
            <w:vAlign w:val="center"/>
          </w:tcPr>
          <w:p>
            <w:pPr>
              <w:jc w:val="center"/>
            </w:pPr>
            <w:r>
              <w:t>浙江省台州市椒江区工人东路322号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浙江台州路桥农村商业银行股份有限公司</w:t>
            </w:r>
          </w:p>
        </w:tc>
        <w:tc>
          <w:tcPr>
            <w:tcW w:w="1200" w:type="dxa"/>
            <w:vAlign w:val="center"/>
          </w:tcPr>
          <w:p>
            <w:pPr>
              <w:jc w:val="left"/>
            </w:pPr>
            <w:r>
              <w:t>住所</w:t>
            </w:r>
          </w:p>
        </w:tc>
        <w:tc>
          <w:tcPr>
            <w:tcW w:w="3800" w:type="dxa"/>
            <w:vAlign w:val="center"/>
          </w:tcPr>
          <w:p>
            <w:pPr>
              <w:jc w:val="center"/>
            </w:pPr>
            <w:r>
              <w:t>浙江省台州市路桥区路北街道中心大道5789号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浙江台州黄岩农村商业银行股份有限公司</w:t>
            </w:r>
          </w:p>
        </w:tc>
        <w:tc>
          <w:tcPr>
            <w:tcW w:w="1200" w:type="dxa"/>
            <w:vAlign w:val="center"/>
          </w:tcPr>
          <w:p>
            <w:pPr>
              <w:jc w:val="left"/>
            </w:pPr>
            <w:r>
              <w:t>住所</w:t>
            </w:r>
          </w:p>
        </w:tc>
        <w:tc>
          <w:tcPr>
            <w:tcW w:w="3800" w:type="dxa"/>
            <w:vAlign w:val="center"/>
          </w:tcPr>
          <w:p>
            <w:pPr>
              <w:jc w:val="center"/>
            </w:pPr>
            <w:r>
              <w:t>浙江台州黄岩洞天路88号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0576-89996596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浙江嘉善农村商业银行股份有限公司</w:t>
            </w:r>
          </w:p>
        </w:tc>
        <w:tc>
          <w:tcPr>
            <w:tcW w:w="1200" w:type="dxa"/>
            <w:vAlign w:val="center"/>
          </w:tcPr>
          <w:p>
            <w:pPr>
              <w:jc w:val="left"/>
            </w:pPr>
            <w:r>
              <w:t>住所</w:t>
            </w:r>
          </w:p>
        </w:tc>
        <w:tc>
          <w:tcPr>
            <w:tcW w:w="3800" w:type="dxa"/>
            <w:vAlign w:val="center"/>
          </w:tcPr>
          <w:p>
            <w:pPr>
              <w:jc w:val="center"/>
            </w:pPr>
            <w:r>
              <w:t>浙江省嘉善县罗星街道车站南路999号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0573-84226126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浙江安吉农村商业银行股份有限公司</w:t>
            </w:r>
          </w:p>
        </w:tc>
        <w:tc>
          <w:tcPr>
            <w:tcW w:w="1200" w:type="dxa"/>
            <w:vAlign w:val="center"/>
          </w:tcPr>
          <w:p>
            <w:pPr>
              <w:jc w:val="left"/>
            </w:pPr>
            <w:r>
              <w:t>住所</w:t>
            </w:r>
          </w:p>
        </w:tc>
        <w:tc>
          <w:tcPr>
            <w:tcW w:w="3800" w:type="dxa"/>
            <w:vAlign w:val="center"/>
          </w:tcPr>
          <w:p>
            <w:pPr>
              <w:jc w:val="center"/>
            </w:pPr>
            <w:r>
              <w:t>浙江省安吉县昌硕街道昌硕东路1号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浙江开化农村商业银行股份有限公司</w:t>
            </w:r>
          </w:p>
        </w:tc>
        <w:tc>
          <w:tcPr>
            <w:tcW w:w="1200" w:type="dxa"/>
            <w:vAlign w:val="center"/>
          </w:tcPr>
          <w:p>
            <w:pPr>
              <w:jc w:val="left"/>
            </w:pPr>
            <w:r>
              <w:t>住所</w:t>
            </w:r>
          </w:p>
        </w:tc>
        <w:tc>
          <w:tcPr>
            <w:tcW w:w="3800" w:type="dxa"/>
            <w:vAlign w:val="center"/>
          </w:tcPr>
          <w:p>
            <w:pPr>
              <w:jc w:val="center"/>
            </w:pPr>
            <w: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浙江德清农村商业银行股份有限公司</w:t>
            </w:r>
          </w:p>
        </w:tc>
        <w:tc>
          <w:tcPr>
            <w:tcW w:w="1200" w:type="dxa"/>
            <w:vAlign w:val="center"/>
          </w:tcPr>
          <w:p>
            <w:pPr>
              <w:jc w:val="left"/>
            </w:pPr>
            <w:r>
              <w:t>住所</w:t>
            </w:r>
          </w:p>
        </w:tc>
        <w:tc>
          <w:tcPr>
            <w:tcW w:w="3800" w:type="dxa"/>
            <w:vAlign w:val="center"/>
          </w:tcPr>
          <w:p>
            <w:pPr>
              <w:jc w:val="center"/>
            </w:pPr>
            <w:r>
              <w:t>浙江省德清县武康街道沈长圩街50号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浙江文成农村商业银行股份有限公司</w:t>
            </w:r>
          </w:p>
        </w:tc>
        <w:tc>
          <w:tcPr>
            <w:tcW w:w="1200" w:type="dxa"/>
            <w:vAlign w:val="center"/>
          </w:tcPr>
          <w:p>
            <w:pPr>
              <w:jc w:val="left"/>
            </w:pPr>
            <w:r>
              <w:t>住所</w:t>
            </w:r>
          </w:p>
        </w:tc>
        <w:tc>
          <w:tcPr>
            <w:tcW w:w="3800" w:type="dxa"/>
            <w:vAlign w:val="center"/>
          </w:tcPr>
          <w:p>
            <w:pPr>
              <w:jc w:val="center"/>
            </w:pPr>
            <w: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浙江松阳农村商业银行股份有限公司</w:t>
            </w:r>
          </w:p>
        </w:tc>
        <w:tc>
          <w:tcPr>
            <w:tcW w:w="1200" w:type="dxa"/>
            <w:vAlign w:val="center"/>
          </w:tcPr>
          <w:p>
            <w:pPr>
              <w:jc w:val="left"/>
            </w:pPr>
            <w:r>
              <w:t>住所</w:t>
            </w:r>
          </w:p>
        </w:tc>
        <w:tc>
          <w:tcPr>
            <w:tcW w:w="3800" w:type="dxa"/>
            <w:vAlign w:val="center"/>
          </w:tcPr>
          <w:p>
            <w:pPr>
              <w:jc w:val="center"/>
            </w:pPr>
            <w:r>
              <w:t>浙江省丽水市松阳县水南街道要津南路71号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浙江桐乡农村商业银行股份有限公司</w:t>
            </w:r>
          </w:p>
        </w:tc>
        <w:tc>
          <w:tcPr>
            <w:tcW w:w="1200" w:type="dxa"/>
            <w:vAlign w:val="center"/>
          </w:tcPr>
          <w:p>
            <w:pPr>
              <w:jc w:val="left"/>
            </w:pPr>
            <w:r>
              <w:t>住所</w:t>
            </w:r>
          </w:p>
        </w:tc>
        <w:tc>
          <w:tcPr>
            <w:tcW w:w="3800" w:type="dxa"/>
            <w:vAlign w:val="center"/>
          </w:tcPr>
          <w:p>
            <w:pPr>
              <w:jc w:val="center"/>
            </w:pPr>
            <w:r>
              <w:t>浙江省桐乡市校场东路59号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浙江永康农村商业银行股份有限公司</w:t>
            </w:r>
          </w:p>
        </w:tc>
        <w:tc>
          <w:tcPr>
            <w:tcW w:w="1200" w:type="dxa"/>
            <w:vAlign w:val="center"/>
          </w:tcPr>
          <w:p>
            <w:pPr>
              <w:jc w:val="left"/>
            </w:pPr>
            <w:r>
              <w:t>住所</w:t>
            </w:r>
          </w:p>
        </w:tc>
        <w:tc>
          <w:tcPr>
            <w:tcW w:w="3800" w:type="dxa"/>
            <w:vAlign w:val="center"/>
          </w:tcPr>
          <w:p>
            <w:pPr>
              <w:jc w:val="center"/>
            </w:pPr>
            <w:r>
              <w:t>浙江省永康市九铃东路3259号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浙江江山农村商业银行股份有限公司</w:t>
            </w:r>
          </w:p>
        </w:tc>
        <w:tc>
          <w:tcPr>
            <w:tcW w:w="1200" w:type="dxa"/>
            <w:vAlign w:val="center"/>
          </w:tcPr>
          <w:p>
            <w:pPr>
              <w:jc w:val="left"/>
            </w:pPr>
            <w:r>
              <w:t>住所</w:t>
            </w:r>
          </w:p>
        </w:tc>
        <w:tc>
          <w:tcPr>
            <w:tcW w:w="3800" w:type="dxa"/>
            <w:vAlign w:val="center"/>
          </w:tcPr>
          <w:p>
            <w:pPr>
              <w:jc w:val="center"/>
            </w:pPr>
            <w:r>
              <w:t>江山市江滨路188号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浙江泰顺农村商业银行股份有限公司</w:t>
            </w:r>
          </w:p>
        </w:tc>
        <w:tc>
          <w:tcPr>
            <w:tcW w:w="1200" w:type="dxa"/>
            <w:vAlign w:val="center"/>
          </w:tcPr>
          <w:p>
            <w:pPr>
              <w:jc w:val="left"/>
            </w:pPr>
            <w:r>
              <w:t>住所</w:t>
            </w:r>
          </w:p>
        </w:tc>
        <w:tc>
          <w:tcPr>
            <w:tcW w:w="3800" w:type="dxa"/>
            <w:vAlign w:val="center"/>
          </w:tcPr>
          <w:p>
            <w:pPr>
              <w:jc w:val="center"/>
            </w:pPr>
            <w:r>
              <w:t>浙江泰顺县罗阳镇文祥大道181号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浙江缙云农村商业银行股份有限公司</w:t>
            </w:r>
          </w:p>
        </w:tc>
        <w:tc>
          <w:tcPr>
            <w:tcW w:w="1200" w:type="dxa"/>
            <w:vAlign w:val="center"/>
          </w:tcPr>
          <w:p>
            <w:pPr>
              <w:jc w:val="left"/>
            </w:pPr>
            <w:r>
              <w:t>住所</w:t>
            </w:r>
          </w:p>
        </w:tc>
        <w:tc>
          <w:tcPr>
            <w:tcW w:w="3800" w:type="dxa"/>
            <w:vAlign w:val="center"/>
          </w:tcPr>
          <w:p>
            <w:pPr>
              <w:jc w:val="center"/>
            </w:pPr>
            <w:r>
              <w:t>浙江省丽水市缙云县新区仙都路68号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0578-3025102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浙江网商银行股份有限公司</w:t>
            </w:r>
          </w:p>
        </w:tc>
        <w:tc>
          <w:tcPr>
            <w:tcW w:w="1200" w:type="dxa"/>
            <w:vAlign w:val="center"/>
          </w:tcPr>
          <w:p>
            <w:pPr>
              <w:jc w:val="left"/>
            </w:pPr>
            <w:r>
              <w:t>住所</w:t>
            </w:r>
          </w:p>
        </w:tc>
        <w:tc>
          <w:tcPr>
            <w:tcW w:w="3800" w:type="dxa"/>
            <w:vAlign w:val="center"/>
          </w:tcPr>
          <w:p>
            <w:pPr>
              <w:jc w:val="center"/>
            </w:pPr>
            <w: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浙江舟山普陀农村商业银行股份有限公司</w:t>
            </w:r>
          </w:p>
        </w:tc>
        <w:tc>
          <w:tcPr>
            <w:tcW w:w="1200" w:type="dxa"/>
            <w:vAlign w:val="center"/>
          </w:tcPr>
          <w:p>
            <w:pPr>
              <w:jc w:val="left"/>
            </w:pPr>
            <w:r>
              <w:t>住所</w:t>
            </w:r>
          </w:p>
        </w:tc>
        <w:tc>
          <w:tcPr>
            <w:tcW w:w="3800" w:type="dxa"/>
            <w:vAlign w:val="center"/>
          </w:tcPr>
          <w:p>
            <w:pPr>
              <w:jc w:val="center"/>
            </w:pPr>
            <w:r>
              <w:t>浙江省舟山市普陀区东港街道麒麟街225号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0580-3811083</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浙江衢州柯城农村商业银行股份有限公司</w:t>
            </w:r>
          </w:p>
        </w:tc>
        <w:tc>
          <w:tcPr>
            <w:tcW w:w="1200" w:type="dxa"/>
            <w:vAlign w:val="center"/>
          </w:tcPr>
          <w:p>
            <w:pPr>
              <w:jc w:val="left"/>
            </w:pPr>
            <w:r>
              <w:t>住所</w:t>
            </w:r>
          </w:p>
        </w:tc>
        <w:tc>
          <w:tcPr>
            <w:tcW w:w="3800" w:type="dxa"/>
            <w:vAlign w:val="center"/>
          </w:tcPr>
          <w:p>
            <w:pPr>
              <w:jc w:val="center"/>
            </w:pPr>
            <w: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浙江诸暨农村商业银行股份有限公司</w:t>
            </w:r>
          </w:p>
        </w:tc>
        <w:tc>
          <w:tcPr>
            <w:tcW w:w="1200" w:type="dxa"/>
            <w:vAlign w:val="center"/>
          </w:tcPr>
          <w:p>
            <w:pPr>
              <w:jc w:val="left"/>
            </w:pPr>
            <w:r>
              <w:t>住所</w:t>
            </w:r>
          </w:p>
        </w:tc>
        <w:tc>
          <w:tcPr>
            <w:tcW w:w="3800" w:type="dxa"/>
            <w:vAlign w:val="center"/>
          </w:tcPr>
          <w:p>
            <w:pPr>
              <w:jc w:val="center"/>
            </w:pPr>
            <w:r>
              <w:t>浙江省诸暨市暨阳街道大桥东路2号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浙江遂昌农村商业银行股份有限公司</w:t>
            </w:r>
          </w:p>
        </w:tc>
        <w:tc>
          <w:tcPr>
            <w:tcW w:w="1200" w:type="dxa"/>
            <w:vAlign w:val="center"/>
          </w:tcPr>
          <w:p>
            <w:pPr>
              <w:jc w:val="left"/>
            </w:pPr>
            <w:r>
              <w:t>住所</w:t>
            </w:r>
          </w:p>
        </w:tc>
        <w:tc>
          <w:tcPr>
            <w:tcW w:w="3800" w:type="dxa"/>
            <w:vAlign w:val="center"/>
          </w:tcPr>
          <w:p>
            <w:pPr>
              <w:jc w:val="center"/>
            </w:pPr>
            <w:r>
              <w:t>浙江省丽水市遂昌县妙高街道南门路81号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0578-8127508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浙江青田农村商业银行股份有限公司</w:t>
            </w:r>
          </w:p>
        </w:tc>
        <w:tc>
          <w:tcPr>
            <w:tcW w:w="1200" w:type="dxa"/>
            <w:vAlign w:val="center"/>
          </w:tcPr>
          <w:p>
            <w:pPr>
              <w:jc w:val="left"/>
            </w:pPr>
            <w:r>
              <w:t>住所</w:t>
            </w:r>
          </w:p>
        </w:tc>
        <w:tc>
          <w:tcPr>
            <w:tcW w:w="3800" w:type="dxa"/>
            <w:vAlign w:val="center"/>
          </w:tcPr>
          <w:p>
            <w:pPr>
              <w:jc w:val="center"/>
            </w:pPr>
            <w:r>
              <w:t>浙江省丽水市青田县鹤城街道鹤城东路180号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0578-6833720</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浙江龙泉农村商业银行股份有限公司</w:t>
            </w:r>
          </w:p>
        </w:tc>
        <w:tc>
          <w:tcPr>
            <w:tcW w:w="1200" w:type="dxa"/>
            <w:vAlign w:val="center"/>
          </w:tcPr>
          <w:p>
            <w:pPr>
              <w:jc w:val="left"/>
            </w:pPr>
            <w:r>
              <w:t>住所</w:t>
            </w:r>
          </w:p>
        </w:tc>
        <w:tc>
          <w:tcPr>
            <w:tcW w:w="3800" w:type="dxa"/>
            <w:vAlign w:val="center"/>
          </w:tcPr>
          <w:p>
            <w:pPr>
              <w:jc w:val="center"/>
            </w:pPr>
            <w:r>
              <w:t>浙江省丽水市龙泉市中山东路101号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0578-7761306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海南银行股份有限公司</w:t>
            </w:r>
          </w:p>
        </w:tc>
        <w:tc>
          <w:tcPr>
            <w:tcW w:w="1200" w:type="dxa"/>
            <w:vAlign w:val="center"/>
          </w:tcPr>
          <w:p>
            <w:pPr>
              <w:jc w:val="left"/>
            </w:pPr>
            <w:r>
              <w:t>住所</w:t>
            </w:r>
          </w:p>
        </w:tc>
        <w:tc>
          <w:tcPr>
            <w:tcW w:w="3800" w:type="dxa"/>
            <w:vAlign w:val="center"/>
          </w:tcPr>
          <w:p>
            <w:pPr>
              <w:jc w:val="center"/>
            </w:pPr>
            <w: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0898-66505978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温州银行股份有限公司</w:t>
            </w:r>
          </w:p>
        </w:tc>
        <w:tc>
          <w:tcPr>
            <w:tcW w:w="1200" w:type="dxa"/>
            <w:vAlign w:val="center"/>
          </w:tcPr>
          <w:p>
            <w:pPr>
              <w:jc w:val="left"/>
            </w:pPr>
            <w:r>
              <w:t>住所</w:t>
            </w:r>
          </w:p>
        </w:tc>
        <w:tc>
          <w:tcPr>
            <w:tcW w:w="3800" w:type="dxa"/>
            <w:vAlign w:val="center"/>
          </w:tcPr>
          <w:p>
            <w:pPr>
              <w:jc w:val="center"/>
            </w:pPr>
            <w:r>
              <w:t>浙江省温州市鹿城区会展路1316号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0577-88990092</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湖州吴兴农村商业银行股份有限公司</w:t>
            </w:r>
          </w:p>
        </w:tc>
        <w:tc>
          <w:tcPr>
            <w:tcW w:w="1200" w:type="dxa"/>
            <w:vAlign w:val="center"/>
          </w:tcPr>
          <w:p>
            <w:pPr>
              <w:jc w:val="left"/>
            </w:pPr>
            <w:r>
              <w:t>住所</w:t>
            </w:r>
          </w:p>
        </w:tc>
        <w:tc>
          <w:tcPr>
            <w:tcW w:w="3800" w:type="dxa"/>
            <w:vAlign w:val="center"/>
          </w:tcPr>
          <w:p>
            <w:pPr>
              <w:jc w:val="center"/>
            </w:pPr>
            <w:r>
              <w:t>浙江省湖州市吴兴区东街55号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澳门国际银行股份有限公司广州分行</w:t>
            </w:r>
          </w:p>
        </w:tc>
        <w:tc>
          <w:tcPr>
            <w:tcW w:w="1200" w:type="dxa"/>
            <w:vAlign w:val="center"/>
          </w:tcPr>
          <w:p>
            <w:pPr>
              <w:jc w:val="left"/>
            </w:pPr>
            <w:r>
              <w:t>住所</w:t>
            </w:r>
          </w:p>
        </w:tc>
        <w:tc>
          <w:tcPr>
            <w:tcW w:w="3800" w:type="dxa"/>
            <w:vAlign w:val="center"/>
          </w:tcPr>
          <w:p>
            <w:pPr>
              <w:jc w:val="center"/>
            </w:pPr>
            <w: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甘肃银行股份有限公司</w:t>
            </w:r>
          </w:p>
        </w:tc>
        <w:tc>
          <w:tcPr>
            <w:tcW w:w="1200" w:type="dxa"/>
            <w:vAlign w:val="center"/>
          </w:tcPr>
          <w:p>
            <w:pPr>
              <w:jc w:val="left"/>
            </w:pPr>
            <w:r>
              <w:t>住所</w:t>
            </w:r>
          </w:p>
        </w:tc>
        <w:tc>
          <w:tcPr>
            <w:tcW w:w="3800" w:type="dxa"/>
            <w:vAlign w:val="center"/>
          </w:tcPr>
          <w:p>
            <w:pPr>
              <w:jc w:val="center"/>
            </w:pPr>
            <w: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9"/>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估值</w:t>
      </w:r>
    </w:p>
    <w:p>
      <w:pPr>
        <w:numPr>
          <w:ilvl w:val="0"/>
          <w:numId w:val="3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3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3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3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3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3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3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3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3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3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3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3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3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3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3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暂停估值情形</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3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9"/>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费用及税收</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费用计提方法、标准及支付方式</w:t>
      </w:r>
    </w:p>
    <w:p>
      <w:pPr>
        <w:numPr>
          <w:ilvl w:val="0"/>
          <w:numId w:val="37"/>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理财计划财产的年化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w:t>
      </w:r>
      <w:r>
        <w:rPr>
          <w:rFonts w:hint="eastAsia" w:ascii="宋体" w:hAnsi="宋体" w:cs="宋体"/>
          <w:bCs/>
          <w:color w:val="000000"/>
          <w:sz w:val="24"/>
          <w:highlight w:val="none"/>
        </w:rPr>
        <w:t>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highlight w:val="none"/>
        </w:rPr>
        <w:t>H</w:t>
      </w:r>
      <w:r>
        <w:rPr>
          <w:rFonts w:hint="eastAsia" w:ascii="宋体" w:hAnsi="宋体" w:cs="宋体"/>
          <w:bCs/>
          <w:color w:val="000000"/>
          <w:sz w:val="24"/>
          <w:szCs w:val="24"/>
          <w:highlight w:val="none"/>
        </w:rPr>
        <w:t>＝E×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w:t>
      </w:r>
      <w:r>
        <w:rPr>
          <w:rFonts w:hint="eastAsia" w:ascii="宋体" w:hAnsi="宋体" w:cs="宋体"/>
          <w:bCs/>
          <w:color w:val="000000"/>
          <w:sz w:val="24"/>
          <w:highlight w:val="none"/>
        </w:rPr>
        <w:t>提。</w:t>
      </w:r>
    </w:p>
    <w:p>
      <w:pPr>
        <w:numPr>
          <w:ilvl w:val="0"/>
          <w:numId w:val="37"/>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1"/>
          <w:highlight w:val="none"/>
          <w:lang w:val="en-US" w:eastAsia="zh-CN" w:bidi="ar-SA"/>
        </w:rPr>
        <w:t>0.025</w:t>
      </w:r>
      <w:r>
        <w:rPr>
          <w:rFonts w:hint="eastAsia" w:ascii="宋体" w:hAnsi="宋体" w:cs="宋体"/>
          <w:bCs/>
          <w:color w:val="000000"/>
          <w:sz w:val="24"/>
          <w:highlight w:val="none"/>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1"/>
          <w:highlight w:val="none"/>
          <w:lang w:val="en-US" w:eastAsia="zh-CN" w:bidi="ar-SA"/>
        </w:rPr>
        <w:t>0.025</w:t>
      </w:r>
      <w:r>
        <w:rPr>
          <w:rFonts w:hint="eastAsia" w:ascii="宋体" w:hAnsi="宋体" w:cs="宋体"/>
          <w:bCs/>
          <w:color w:val="000000"/>
          <w:sz w:val="24"/>
          <w:highlight w:val="none"/>
        </w:rPr>
        <w:t>%</w:t>
      </w:r>
      <w:r>
        <w:rPr>
          <w:rFonts w:hint="eastAsia" w:ascii="宋体" w:hAnsi="宋体" w:cs="宋体"/>
          <w:color w:val="000000"/>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37"/>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理财计划财产的年化固定管理费率为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固定</w:t>
      </w:r>
      <w:r>
        <w:rPr>
          <w:rFonts w:hint="eastAsia" w:ascii="宋体" w:hAnsi="宋体" w:cs="宋体"/>
          <w:bCs/>
          <w:color w:val="000000"/>
          <w:sz w:val="24"/>
          <w:szCs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szCs w:val="24"/>
          <w:highlight w:val="none"/>
        </w:rPr>
        <w:t>E为本理财</w:t>
      </w:r>
      <w:r>
        <w:rPr>
          <w:rFonts w:hint="eastAsia" w:ascii="宋体" w:hAnsi="宋体" w:cs="宋体"/>
          <w:bCs/>
          <w:color w:val="000000"/>
          <w:sz w:val="24"/>
          <w:highlight w:val="none"/>
        </w:rPr>
        <w:t>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p>
    <w:p>
      <w:pPr>
        <w:numPr>
          <w:ilvl w:val="0"/>
          <w:numId w:val="37"/>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38"/>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本理财计划免除申购费。</w:t>
      </w:r>
    </w:p>
    <w:p>
      <w:pPr>
        <w:numPr>
          <w:ilvl w:val="0"/>
          <w:numId w:val="38"/>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本理财计划免除赎回费。</w:t>
      </w:r>
    </w:p>
    <w:p>
      <w:pPr>
        <w:numPr>
          <w:ilvl w:val="0"/>
          <w:numId w:val="39"/>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浮动管理费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w:t>
      </w:r>
      <w:r>
        <w:rPr>
          <w:rFonts w:hint="eastAsia" w:ascii="宋体" w:hAnsi="宋体" w:cs="宋体"/>
          <w:bCs/>
          <w:color w:val="000000"/>
          <w:sz w:val="24"/>
          <w:highlight w:val="none"/>
          <w:lang w:eastAsia="zh-CN"/>
        </w:rPr>
        <w:t>浮动管理</w:t>
      </w:r>
      <w:r>
        <w:rPr>
          <w:rFonts w:hint="eastAsia" w:ascii="宋体" w:hAnsi="宋体" w:cs="宋体"/>
          <w:bCs/>
          <w:color w:val="000000"/>
          <w:sz w:val="24"/>
          <w:highlight w:val="none"/>
        </w:rPr>
        <w:t>费</w:t>
      </w:r>
      <w:r>
        <w:rPr>
          <w:rFonts w:hint="eastAsia" w:ascii="宋体" w:hAnsi="宋体" w:cs="宋体"/>
          <w:bCs/>
          <w:color w:val="000000"/>
          <w:sz w:val="24"/>
          <w:highlight w:val="none"/>
          <w:lang w:eastAsia="zh-CN"/>
        </w:rPr>
        <w:t>。</w:t>
      </w:r>
    </w:p>
    <w:p>
      <w:pPr>
        <w:numPr>
          <w:ilvl w:val="0"/>
          <w:numId w:val="4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财产管理、运用或处分过程中发生的税费。</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代理机构手续费、管理费、财务顾问费、保管费。</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审计费、律师费、公证费等费用。</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4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税收说明</w:t>
      </w:r>
    </w:p>
    <w:p>
      <w:pPr>
        <w:numPr>
          <w:ilvl w:val="0"/>
          <w:numId w:val="43"/>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43"/>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43"/>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9"/>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收益计算</w:t>
      </w:r>
    </w:p>
    <w:p>
      <w:pPr>
        <w:numPr>
          <w:ilvl w:val="0"/>
          <w:numId w:val="4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44"/>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4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扣除托管费、固定管理费、销售服务费（如有）后，投资产生盈利。</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1.000000元，折算份额为100,000.00份,假设投资理财计划362天后，赎回份额100,000.00份，期间无分红。赎回时扣除托管费、固定管理费、销售服务费（如有）后，如理财计划净值为1.045000，此时，(1.045000/1.000000-1)×365/362=</w:t>
      </w:r>
      <w:r>
        <w:rPr>
          <w:rFonts w:hint="eastAsia" w:ascii="宋体" w:hAnsi="宋体" w:eastAsia="宋体" w:cs="黑体"/>
          <w:color w:val="000000"/>
          <w:kern w:val="2"/>
          <w:sz w:val="24"/>
          <w:szCs w:val="24"/>
          <w:lang w:val="en-US" w:eastAsia="zh-CN" w:bidi="ar"/>
        </w:rPr>
        <w:t>4.53</w:t>
      </w:r>
      <w:r>
        <w:rPr>
          <w:rFonts w:hint="eastAsia" w:ascii="宋体" w:hAnsi="宋体" w:eastAsia="宋体" w:cs="宋体"/>
          <w:color w:val="000000"/>
          <w:kern w:val="2"/>
          <w:sz w:val="24"/>
          <w:szCs w:val="24"/>
          <w:lang w:val="en-US" w:eastAsia="zh-CN" w:bidi="ar"/>
        </w:rPr>
        <w:t>%，投资者最终收益为：100,000.00×（1.045000-1.000000） =</w:t>
      </w:r>
      <w:r>
        <w:rPr>
          <w:rFonts w:hint="eastAsia" w:ascii="宋体" w:hAnsi="宋体" w:eastAsia="宋体" w:cs="黑体"/>
          <w:color w:val="000000"/>
          <w:kern w:val="2"/>
          <w:sz w:val="24"/>
          <w:szCs w:val="24"/>
          <w:lang w:val="en-US" w:eastAsia="zh-CN" w:bidi="ar"/>
        </w:rPr>
        <w:t>4,500.00</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4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1.000000元，折算份额为100,000.00份，假设投资理财计划362天后，赎回份额100,000.00份，期间无分红。赎回时扣除托管费、固定管理费、销售服务费（如有）后，如理财计划净值为0.997500，投资者最终收益为：100,000.00×（0.997500-1.000000）=-250.00（元）。</w:t>
      </w:r>
    </w:p>
    <w:p>
      <w:pPr>
        <w:numPr>
          <w:ilvl w:val="0"/>
          <w:numId w:val="4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9"/>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交易规则</w:t>
      </w:r>
    </w:p>
    <w:p>
      <w:pPr>
        <w:numPr>
          <w:ilvl w:val="0"/>
          <w:numId w:val="4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认购</w:t>
      </w:r>
    </w:p>
    <w:p>
      <w:pPr>
        <w:numPr>
          <w:ilvl w:val="0"/>
          <w:numId w:val="4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8"/>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申购及赎回</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交易确认及时间</w:t>
      </w:r>
    </w:p>
    <w:p>
      <w:pPr>
        <w:numPr>
          <w:ilvl w:val="0"/>
          <w:numId w:val="5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5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50"/>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numPr>
          <w:ilvl w:val="0"/>
          <w:numId w:val="51"/>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5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5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5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5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5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5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5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5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5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5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5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5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5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5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5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5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5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4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
        </w:rPr>
      </w:pPr>
      <w:r>
        <w:rPr>
          <w:rFonts w:hint="eastAsia" w:ascii="宋体" w:hAnsi="宋体" w:cs="宋体"/>
          <w:color w:val="000000"/>
          <w:kern w:val="0"/>
          <w:sz w:val="24"/>
          <w:szCs w:val="24"/>
          <w:highlight w:val="none"/>
          <w:lang w:eastAsia="zh"/>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4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55"/>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55"/>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55"/>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因不可抗力因素导致本理财计划必须提前终止的。</w:t>
      </w:r>
    </w:p>
    <w:p>
      <w:pPr>
        <w:numPr>
          <w:ilvl w:val="0"/>
          <w:numId w:val="55"/>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理财计划的投资策略已不适合当前的市场环境的。</w:t>
      </w:r>
    </w:p>
    <w:p>
      <w:pPr>
        <w:numPr>
          <w:ilvl w:val="0"/>
          <w:numId w:val="55"/>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lang w:eastAsia="zh-CN"/>
        </w:rPr>
        <w:t>融资人行使提前到期或还款权利的。</w:t>
      </w:r>
    </w:p>
    <w:p>
      <w:pPr>
        <w:numPr>
          <w:ilvl w:val="0"/>
          <w:numId w:val="55"/>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管理人认为应该提前终止的其他情形。</w:t>
      </w:r>
    </w:p>
    <w:p>
      <w:pPr>
        <w:numPr>
          <w:ilvl w:val="0"/>
          <w:numId w:val="4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5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5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5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管理人与托管人、销售机构协商一致决定延期。</w:t>
      </w:r>
    </w:p>
    <w:p>
      <w:pPr>
        <w:numPr>
          <w:ilvl w:val="0"/>
          <w:numId w:val="5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9"/>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信息披露</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披露内容及时间</w:t>
      </w:r>
    </w:p>
    <w:p>
      <w:pPr>
        <w:numPr>
          <w:ilvl w:val="0"/>
          <w:numId w:val="58"/>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认购信息披露</w:t>
      </w:r>
    </w:p>
    <w:p>
      <w:pPr>
        <w:numPr>
          <w:ilvl w:val="0"/>
          <w:numId w:val="59"/>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8"/>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运作信息披露</w:t>
      </w:r>
    </w:p>
    <w:p>
      <w:pPr>
        <w:numPr>
          <w:ilvl w:val="0"/>
          <w:numId w:val="6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60"/>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60"/>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8"/>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临时信息披露</w:t>
      </w:r>
    </w:p>
    <w:p>
      <w:pPr>
        <w:numPr>
          <w:ilvl w:val="0"/>
          <w:numId w:val="6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6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highlight w:val="none"/>
        </w:rPr>
      </w:pPr>
    </w:p>
    <w:p>
      <w:pPr>
        <w:numPr>
          <w:ilvl w:val="0"/>
          <w:numId w:val="29"/>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其他</w:t>
      </w:r>
    </w:p>
    <w:p>
      <w:pPr>
        <w:numPr>
          <w:ilvl w:val="0"/>
          <w:numId w:val="6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6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6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6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default"/>
          <w:sz w:val="24"/>
          <w:highlight w:val="none"/>
          <w:lang w:val="en-US" w:eastAsia="zh-CN"/>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9"/>
        <w:rPr>
          <w:rFonts w:hint="eastAsia" w:ascii="宋体" w:hAnsi="宋体" w:cs="宋体"/>
          <w:b/>
          <w:bCs/>
          <w:color w:val="000000"/>
          <w:sz w:val="44"/>
          <w:szCs w:val="44"/>
          <w:highlight w:val="none"/>
        </w:rPr>
      </w:pPr>
    </w:p>
    <w:p>
      <w:pPr>
        <w:spacing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outlineLvl w:val="1"/>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理财非存款、产品有风险、投资须谨慎</w:t>
      </w:r>
    </w:p>
    <w:p>
      <w:p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尊敬的投资者：</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63"/>
        </w:numPr>
        <w:spacing w:line="360" w:lineRule="auto"/>
        <w:outlineLvl w:val="2"/>
        <w:rPr>
          <w:rFonts w:hint="eastAsia" w:ascii="宋体" w:hAnsi="宋体" w:cs="宋体"/>
          <w:b/>
          <w:kern w:val="0"/>
          <w:sz w:val="24"/>
          <w:highlight w:val="none"/>
        </w:rPr>
      </w:pPr>
      <w:r>
        <w:rPr>
          <w:rFonts w:hint="eastAsia" w:ascii="宋体" w:hAnsi="宋体" w:cs="宋体"/>
          <w:b/>
          <w:color w:val="000000"/>
          <w:kern w:val="0"/>
          <w:sz w:val="24"/>
          <w:highlight w:val="none"/>
        </w:rPr>
        <w:t>理财计划办理流程</w:t>
      </w:r>
    </w:p>
    <w:p>
      <w:pPr>
        <w:numPr>
          <w:ilvl w:val="0"/>
          <w:numId w:val="64"/>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64"/>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首次在销售机构购买杭银理财理财计划的普通投资者须接受并完成销售机构对您的风险承受能力评估，并确认风险承受能力等级不低于本理财计划风险评级。如销售机构对于专业投资者的风险承受能力评估有要求的，则参照销售机构相关评估标准或代理销售协议书执行。</w:t>
      </w:r>
    </w:p>
    <w:p>
      <w:pPr>
        <w:numPr>
          <w:ilvl w:val="0"/>
          <w:numId w:val="64"/>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投资者应仔细阅读本理财计划完整合同（包括但不限于</w:t>
      </w:r>
      <w:r>
        <w:rPr>
          <w:rFonts w:hint="eastAsia" w:ascii="宋体" w:hAnsi="宋体" w:cs="宋体"/>
          <w:color w:val="000000"/>
          <w:kern w:val="0"/>
          <w:sz w:val="24"/>
          <w:highlight w:val="none"/>
          <w:lang w:eastAsia="zh-CN"/>
        </w:rPr>
        <w:t>理财计划</w:t>
      </w:r>
      <w:r>
        <w:rPr>
          <w:rFonts w:hint="eastAsia" w:ascii="宋体" w:hAnsi="宋体" w:cs="宋体"/>
          <w:color w:val="000000"/>
          <w:kern w:val="0"/>
          <w:sz w:val="24"/>
          <w:highlight w:val="none"/>
        </w:rPr>
        <w:t>风险揭示书、理财计划产品说明书、投资者权益须知</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理财计划投资协议书</w:t>
      </w:r>
      <w:r>
        <w:rPr>
          <w:rFonts w:hint="eastAsia" w:ascii="宋体" w:hAnsi="宋体" w:cs="宋体"/>
          <w:color w:val="000000"/>
          <w:kern w:val="0"/>
          <w:sz w:val="24"/>
          <w:highlight w:val="none"/>
          <w:lang w:eastAsia="zh-CN"/>
        </w:rPr>
        <w:t>和理财计划（</w:t>
      </w:r>
      <w:r>
        <w:rPr>
          <w:rFonts w:hint="eastAsia" w:ascii="宋体" w:hAnsi="宋体" w:cs="宋体"/>
          <w:color w:val="000000"/>
          <w:kern w:val="0"/>
          <w:sz w:val="24"/>
          <w:highlight w:val="none"/>
          <w:lang w:val="en-US" w:eastAsia="zh-CN"/>
        </w:rPr>
        <w:t>代理销售</w:t>
      </w:r>
      <w:r>
        <w:rPr>
          <w:rFonts w:hint="eastAsia" w:ascii="宋体" w:hAnsi="宋体" w:cs="宋体"/>
          <w:color w:val="000000"/>
          <w:kern w:val="0"/>
          <w:sz w:val="24"/>
          <w:highlight w:val="none"/>
          <w:lang w:eastAsia="zh-CN"/>
        </w:rPr>
        <w:t>）销售协议书</w:t>
      </w:r>
      <w:r>
        <w:rPr>
          <w:rFonts w:hint="eastAsia" w:ascii="宋体" w:hAnsi="宋体" w:cs="宋体"/>
          <w:color w:val="000000"/>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64"/>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64"/>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如在银行营业场所购买杭银理财理财计划，销售机构需对每笔理财计划销售过程同步录音录像。</w:t>
      </w:r>
      <w:r>
        <w:rPr>
          <w:rFonts w:hint="eastAsia" w:ascii="宋体" w:hAnsi="宋体" w:cs="宋体"/>
          <w:color w:val="000000"/>
          <w:kern w:val="0"/>
          <w:sz w:val="24"/>
          <w:highlight w:val="none"/>
          <w:lang w:val="en-US" w:eastAsia="zh-CN"/>
        </w:rPr>
        <w:t>在没有销售人员推介的情况下，投资者通过自助终端等电子设备进行自主购买的情况除外。</w:t>
      </w:r>
    </w:p>
    <w:p>
      <w:pPr>
        <w:numPr>
          <w:ilvl w:val="0"/>
          <w:numId w:val="64"/>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投资者确定交易金额，完成交易申请，并在确认份额后进行查询。</w:t>
      </w:r>
    </w:p>
    <w:p>
      <w:pPr>
        <w:numPr>
          <w:ilvl w:val="0"/>
          <w:numId w:val="65"/>
        </w:numPr>
        <w:spacing w:line="360" w:lineRule="auto"/>
        <w:outlineLvl w:val="2"/>
        <w:rPr>
          <w:rFonts w:hint="eastAsia" w:ascii="宋体" w:hAnsi="宋体" w:cs="宋体"/>
          <w:b/>
          <w:kern w:val="0"/>
          <w:sz w:val="24"/>
          <w:highlight w:val="none"/>
        </w:rPr>
      </w:pPr>
      <w:r>
        <w:rPr>
          <w:rFonts w:hint="eastAsia" w:ascii="宋体" w:hAnsi="宋体" w:cs="宋体"/>
          <w:b/>
          <w:color w:val="000000"/>
          <w:kern w:val="0"/>
          <w:sz w:val="24"/>
          <w:highlight w:val="none"/>
        </w:rPr>
        <w:t>杭银理财产品风险评级</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专业投资者及谨慎型、稳健型、平衡型、进取型、激进型的普通投资者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专业投资者及激进型的普通投资者</w:t>
            </w:r>
          </w:p>
        </w:tc>
      </w:tr>
    </w:tbl>
    <w:p>
      <w:pPr>
        <w:pStyle w:val="20"/>
        <w:adjustRightInd/>
        <w:spacing w:line="360" w:lineRule="auto"/>
        <w:ind w:firstLine="480" w:firstLineChars="200"/>
        <w:rPr>
          <w:rFonts w:hint="default" w:ascii="宋体" w:hAnsi="宋体" w:eastAsia="宋体" w:cs="宋体"/>
          <w:b/>
          <w:kern w:val="0"/>
          <w:sz w:val="24"/>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numPr>
          <w:ilvl w:val="0"/>
          <w:numId w:val="66"/>
        </w:numPr>
        <w:spacing w:line="360" w:lineRule="auto"/>
        <w:outlineLvl w:val="2"/>
        <w:rPr>
          <w:rFonts w:hint="eastAsia" w:ascii="宋体" w:hAnsi="宋体" w:cs="宋体"/>
          <w:b/>
          <w:kern w:val="0"/>
          <w:sz w:val="24"/>
          <w:highlight w:val="none"/>
        </w:rPr>
      </w:pPr>
      <w:r>
        <w:rPr>
          <w:rFonts w:hint="eastAsia" w:ascii="宋体" w:hAnsi="宋体" w:cs="宋体"/>
          <w:b/>
          <w:color w:val="000000"/>
          <w:kern w:val="0"/>
          <w:sz w:val="24"/>
          <w:highlight w:val="none"/>
        </w:rPr>
        <w:t>投资者风险承受能力评估</w:t>
      </w:r>
    </w:p>
    <w:p>
      <w:pPr>
        <w:numPr>
          <w:ilvl w:val="0"/>
          <w:numId w:val="67"/>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本理财计划销售工作及投资者适当性评估由销售机构负责。普通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67"/>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普通投资者风险承受能力评估结果有效期为一年，如风险承受能力评估时效已超过一年，或影响风险承受能力的因素发生变化，请及时完成风险承受能力的重新评估。</w:t>
      </w:r>
    </w:p>
    <w:p>
      <w:pPr>
        <w:numPr>
          <w:ilvl w:val="0"/>
          <w:numId w:val="67"/>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普通投资者风险承受能力评估流程（详询销售机构工作人员）</w:t>
      </w:r>
    </w:p>
    <w:p>
      <w:pPr>
        <w:numPr>
          <w:ilvl w:val="0"/>
          <w:numId w:val="68"/>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普通投资者在销售机构进行风险承受能力评估；</w:t>
      </w:r>
    </w:p>
    <w:p>
      <w:pPr>
        <w:numPr>
          <w:ilvl w:val="0"/>
          <w:numId w:val="68"/>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填写销售机构普通投资者风险承受能力测试问卷；</w:t>
      </w:r>
    </w:p>
    <w:p>
      <w:pPr>
        <w:numPr>
          <w:ilvl w:val="0"/>
          <w:numId w:val="68"/>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生成相应的普通投资者风险承受能力评估结果；</w:t>
      </w:r>
    </w:p>
    <w:p>
      <w:pPr>
        <w:numPr>
          <w:ilvl w:val="0"/>
          <w:numId w:val="68"/>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投资者对评估结果进行确认。</w:t>
      </w:r>
    </w:p>
    <w:p>
      <w:pPr>
        <w:numPr>
          <w:ilvl w:val="0"/>
          <w:numId w:val="69"/>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风险承受能力评估结果将作为评价普通投资者是否适合购买理财计划的重要因素，风险承受能力评级越高适合购买的理财计划风险评级越高，适合购买的理财计划类型越丰富。</w:t>
      </w:r>
    </w:p>
    <w:p>
      <w:pPr>
        <w:numPr>
          <w:ilvl w:val="0"/>
          <w:numId w:val="69"/>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普通投资者的风险承受能力等级不低于本理财计划最终披露的风险评级。如本理财计划通过代理销售机构渠道销售的，理财产品评级应当以代理销售机构最终披露的评级结果为准。</w:t>
      </w:r>
    </w:p>
    <w:p>
      <w:pPr>
        <w:numPr>
          <w:ilvl w:val="0"/>
          <w:numId w:val="69"/>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专业投资者购买理财计划前可简化或无须进行风险评估能力测试。专业投资者不适用普通投资者的风险承受能力评估，请专业投资者根据自身财务状况、投资风格、资金需求等要素，并在阅读本权益须知、理财计划风险揭示书、理财计划产品说明书、理财计划投资协议书和理财计划销售协议书的基础上，充分认识投资本理财计划需要承担的风险。如销售机构对于专业投资者的风险承受能力评估有要求的，则参照销售机构相关评估标准或代理销售协议书执行。</w:t>
      </w:r>
    </w:p>
    <w:p>
      <w:pPr>
        <w:spacing w:line="360" w:lineRule="auto"/>
        <w:ind w:firstLine="482" w:firstLineChars="200"/>
        <w:outlineLvl w:val="2"/>
        <w:rPr>
          <w:rFonts w:hint="eastAsia" w:ascii="宋体" w:hAnsi="宋体" w:cs="宋体"/>
          <w:b/>
          <w:kern w:val="0"/>
          <w:sz w:val="24"/>
          <w:highlight w:val="none"/>
        </w:rPr>
      </w:pPr>
      <w:r>
        <w:rPr>
          <w:rFonts w:hint="eastAsia" w:ascii="宋体" w:hAnsi="宋体" w:cs="宋体"/>
          <w:b/>
          <w:color w:val="000000"/>
          <w:kern w:val="0"/>
          <w:sz w:val="24"/>
          <w:highlight w:val="none"/>
        </w:rPr>
        <w:t>四、理财计划信息披露</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您知晓并同意通知送达，请您及时查询。</w:t>
      </w:r>
    </w:p>
    <w:p>
      <w:pPr>
        <w:spacing w:line="360" w:lineRule="auto"/>
        <w:ind w:firstLine="482" w:firstLineChars="200"/>
        <w:outlineLvl w:val="2"/>
        <w:rPr>
          <w:rFonts w:hint="eastAsia" w:ascii="宋体" w:hAnsi="宋体" w:cs="宋体"/>
          <w:b/>
          <w:kern w:val="0"/>
          <w:sz w:val="24"/>
          <w:highlight w:val="none"/>
        </w:rPr>
      </w:pPr>
      <w:r>
        <w:rPr>
          <w:rFonts w:hint="eastAsia" w:ascii="宋体" w:hAnsi="宋体" w:cs="宋体"/>
          <w:b/>
          <w:color w:val="000000"/>
          <w:kern w:val="0"/>
          <w:sz w:val="24"/>
          <w:highlight w:val="none"/>
        </w:rPr>
        <w:t>五、投资者信息管理</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销售机构应当根据反洗钱、反恐怖融资及非居民金融账户涉税信息尽职调查等相关法律法规要求识别客户身份。投资者通过公司认可的销售机构购买本公司理财的，知晓并同意公司获取投资者相关理财业务资料及信息。</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2"/>
        <w:rPr>
          <w:rFonts w:hint="eastAsia" w:ascii="宋体" w:hAnsi="宋体" w:cs="宋体"/>
          <w:b/>
          <w:kern w:val="0"/>
          <w:sz w:val="24"/>
          <w:highlight w:val="none"/>
        </w:rPr>
      </w:pPr>
      <w:r>
        <w:rPr>
          <w:rFonts w:hint="eastAsia" w:ascii="宋体" w:hAnsi="宋体" w:cs="宋体"/>
          <w:b/>
          <w:color w:val="000000"/>
          <w:kern w:val="0"/>
          <w:sz w:val="24"/>
          <w:highlight w:val="none"/>
        </w:rPr>
        <w:t>六、投诉与建议</w:t>
      </w:r>
    </w:p>
    <w:p>
      <w:pPr>
        <w:numPr>
          <w:ilvl w:val="0"/>
          <w:numId w:val="70"/>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投资者如认为理财</w:t>
      </w:r>
      <w:r>
        <w:rPr>
          <w:rFonts w:hint="eastAsia" w:ascii="宋体" w:hAnsi="宋体" w:cs="宋体"/>
          <w:color w:val="000000"/>
          <w:kern w:val="0"/>
          <w:sz w:val="24"/>
          <w:highlight w:val="none"/>
          <w:lang w:val="en-US" w:eastAsia="zh-CN"/>
        </w:rPr>
        <w:t>计划</w:t>
      </w:r>
      <w:r>
        <w:rPr>
          <w:rFonts w:hint="eastAsia" w:ascii="宋体" w:hAnsi="宋体" w:cs="宋体"/>
          <w:color w:val="000000"/>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color w:val="000000"/>
          <w:kern w:val="0"/>
          <w:sz w:val="24"/>
          <w:highlight w:val="none"/>
          <w:lang w:val="en-US" w:eastAsia="zh-CN"/>
        </w:rPr>
        <w:t>或管理人</w:t>
      </w:r>
      <w:r>
        <w:rPr>
          <w:rFonts w:hint="eastAsia" w:ascii="宋体" w:hAnsi="宋体" w:cs="宋体"/>
          <w:color w:val="000000"/>
          <w:kern w:val="0"/>
          <w:sz w:val="24"/>
          <w:highlight w:val="none"/>
        </w:rPr>
        <w:t>热线或客服电话进行反馈</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将由专人接听、记录您的意见建议，并由双方协商共同解决。</w:t>
      </w:r>
    </w:p>
    <w:p>
      <w:pPr>
        <w:numPr>
          <w:ilvl w:val="0"/>
          <w:numId w:val="70"/>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71"/>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71"/>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rPr>
          <w:rFonts w:ascii="宋体" w:hAnsi="宋体" w:cs="宋体"/>
          <w:bCs/>
          <w:color w:val="000000"/>
          <w:sz w:val="24"/>
          <w:highlight w:val="none"/>
        </w:rPr>
      </w:pPr>
      <w:bookmarkStart w:id="0" w:name="_GoBack"/>
      <w:bookmarkEnd w:id="0"/>
      <w:r>
        <w:rPr>
          <w:rFonts w:ascii="宋体" w:hAnsi="宋体" w:cs="宋体"/>
          <w:bCs/>
          <w:color w:val="000000"/>
          <w:sz w:val="24"/>
          <w:highlight w:val="none"/>
        </w:rPr>
        <w:br w:type="page"/>
      </w:r>
    </w:p>
    <w:p>
      <w:pPr>
        <w:jc w:val="center"/>
        <w:outlineLvl w:val="0"/>
        <w:rPr>
          <w:rFonts w:hint="eastAsia"/>
          <w:b/>
          <w:sz w:val="44"/>
          <w:szCs w:val="44"/>
          <w:highlight w:val="none"/>
        </w:rPr>
      </w:pPr>
      <w:r>
        <w:rPr>
          <w:rFonts w:hint="eastAsia"/>
          <w:b/>
          <w:color w:val="000000"/>
          <w:sz w:val="44"/>
          <w:szCs w:val="44"/>
          <w:highlight w:val="none"/>
        </w:rPr>
        <w:t>杭银理财理财计划投资协议书</w:t>
      </w:r>
    </w:p>
    <w:p>
      <w:pPr>
        <w:jc w:val="center"/>
        <w:outlineLvl w:val="1"/>
        <w:rPr>
          <w:rFonts w:hint="eastAsia"/>
          <w:b/>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center"/>
        <w:outlineLvl w:val="2"/>
        <w:rPr>
          <w:rFonts w:hint="eastAsia"/>
          <w:b/>
          <w:sz w:val="32"/>
          <w:szCs w:val="32"/>
          <w:highlight w:val="none"/>
        </w:rPr>
      </w:pPr>
      <w:r>
        <w:rPr>
          <w:rFonts w:hint="eastAsia" w:ascii="宋体" w:hAnsi="宋体" w:cs="宋体"/>
          <w:b/>
          <w:bCs/>
          <w:color w:val="000000"/>
          <w:sz w:val="24"/>
          <w:highlight w:val="none"/>
          <w:u w:val="single"/>
        </w:rPr>
        <w:t>理财非存款、产品有风险、投资须谨慎</w:t>
      </w:r>
    </w:p>
    <w:p>
      <w:pPr>
        <w:spacing w:line="360" w:lineRule="auto"/>
        <w:ind w:firstLine="482" w:firstLineChars="200"/>
        <w:rPr>
          <w:rFonts w:hint="eastAsia"/>
          <w:b/>
          <w:bCs/>
          <w:sz w:val="24"/>
          <w:highlight w:val="none"/>
        </w:rPr>
      </w:pPr>
      <w:r>
        <w:rPr>
          <w:rFonts w:hint="eastAsia"/>
          <w:b/>
          <w:bCs/>
          <w:color w:val="000000"/>
          <w:sz w:val="24"/>
          <w:highlight w:val="none"/>
        </w:rPr>
        <w:t>特别提示：杭银理财理财计划投资协议书与</w:t>
      </w:r>
      <w:r>
        <w:rPr>
          <w:rFonts w:hint="eastAsia"/>
          <w:b/>
          <w:bCs/>
          <w:color w:val="000000"/>
          <w:sz w:val="24"/>
          <w:highlight w:val="none"/>
          <w:lang w:eastAsia="zh-CN"/>
        </w:rPr>
        <w:t>理财计划风险揭示书、理财计划产品说明书、</w:t>
      </w:r>
      <w:r>
        <w:rPr>
          <w:rFonts w:hint="eastAsia"/>
          <w:b/>
          <w:bCs/>
          <w:color w:val="000000"/>
          <w:sz w:val="24"/>
          <w:highlight w:val="none"/>
        </w:rPr>
        <w:t>投资者权益须知</w:t>
      </w:r>
      <w:r>
        <w:rPr>
          <w:rFonts w:hint="eastAsia"/>
          <w:b/>
          <w:bCs/>
          <w:color w:val="000000"/>
          <w:sz w:val="24"/>
          <w:highlight w:val="none"/>
          <w:lang w:eastAsia="zh-CN"/>
        </w:rPr>
        <w:t>及理财计划销售协议书</w:t>
      </w:r>
      <w:r>
        <w:rPr>
          <w:rFonts w:hint="eastAsia"/>
          <w:b/>
          <w:bCs/>
          <w:color w:val="000000"/>
          <w:sz w:val="24"/>
          <w:highlight w:val="none"/>
        </w:rPr>
        <w:t>共同构成完整且不可分割的理财计划合同。杭银理财有限责任公司（以下简称“杭银理财”）建议投资者在购买理财计划前认真阅读理财计划合同，投资者签署协议书（含电子渠道签署）即知晓并同意已详细阅读理财计划合同并知悉相关风险，自愿投资购买理财计划、遵守合同约定并承担相应风险。</w:t>
      </w:r>
    </w:p>
    <w:p>
      <w:pPr>
        <w:spacing w:line="360" w:lineRule="auto"/>
        <w:ind w:firstLine="480" w:firstLineChars="200"/>
        <w:rPr>
          <w:rFonts w:hint="eastAsia"/>
          <w:sz w:val="24"/>
          <w:highlight w:val="none"/>
        </w:rPr>
      </w:pPr>
      <w:r>
        <w:rPr>
          <w:rFonts w:hint="eastAsia"/>
          <w:color w:val="000000"/>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sz w:val="24"/>
          <w:highlight w:val="none"/>
        </w:rPr>
      </w:pPr>
    </w:p>
    <w:p>
      <w:pPr>
        <w:numPr>
          <w:ilvl w:val="0"/>
          <w:numId w:val="72"/>
        </w:numPr>
        <w:spacing w:line="360" w:lineRule="auto"/>
        <w:ind w:firstLine="482" w:firstLineChars="200"/>
        <w:outlineLvl w:val="2"/>
        <w:rPr>
          <w:rFonts w:hint="eastAsia" w:ascii="宋体" w:hAnsi="宋体"/>
          <w:b/>
          <w:bCs/>
          <w:sz w:val="24"/>
          <w:highlight w:val="none"/>
        </w:rPr>
      </w:pPr>
      <w:r>
        <w:rPr>
          <w:rFonts w:hint="eastAsia"/>
          <w:b/>
          <w:bCs/>
          <w:color w:val="000000"/>
          <w:sz w:val="24"/>
          <w:highlight w:val="none"/>
        </w:rPr>
        <w:t>名词释义</w:t>
      </w:r>
    </w:p>
    <w:p>
      <w:pPr>
        <w:spacing w:line="360" w:lineRule="auto"/>
        <w:ind w:firstLine="480" w:firstLineChars="200"/>
        <w:rPr>
          <w:rFonts w:hint="eastAsia"/>
          <w:bCs/>
          <w:sz w:val="24"/>
          <w:highlight w:val="none"/>
        </w:rPr>
      </w:pPr>
      <w:r>
        <w:rPr>
          <w:rFonts w:hint="eastAsia"/>
          <w:bCs/>
          <w:color w:val="000000"/>
          <w:sz w:val="24"/>
          <w:highlight w:val="none"/>
        </w:rPr>
        <w:t>详见理财计划说明书“释义”部分。</w:t>
      </w:r>
    </w:p>
    <w:p>
      <w:pPr>
        <w:spacing w:line="360" w:lineRule="auto"/>
        <w:ind w:firstLine="480" w:firstLineChars="200"/>
        <w:rPr>
          <w:rFonts w:hint="eastAsia"/>
          <w:bCs/>
          <w:sz w:val="24"/>
          <w:highlight w:val="none"/>
        </w:rPr>
      </w:pPr>
    </w:p>
    <w:p>
      <w:pPr>
        <w:numPr>
          <w:ilvl w:val="0"/>
          <w:numId w:val="72"/>
        </w:numPr>
        <w:spacing w:line="360" w:lineRule="auto"/>
        <w:ind w:firstLine="482" w:firstLineChars="200"/>
        <w:outlineLvl w:val="2"/>
        <w:rPr>
          <w:rFonts w:hint="eastAsia"/>
          <w:b/>
          <w:sz w:val="24"/>
          <w:highlight w:val="none"/>
        </w:rPr>
      </w:pPr>
      <w:r>
        <w:rPr>
          <w:rFonts w:hint="eastAsia"/>
          <w:b/>
          <w:color w:val="000000"/>
          <w:sz w:val="24"/>
          <w:highlight w:val="none"/>
        </w:rPr>
        <w:t>投资者权利与义务</w:t>
      </w:r>
    </w:p>
    <w:p>
      <w:pPr>
        <w:widowControl/>
        <w:numPr>
          <w:ilvl w:val="0"/>
          <w:numId w:val="73"/>
        </w:numPr>
        <w:spacing w:line="360" w:lineRule="auto"/>
        <w:contextualSpacing/>
        <w:outlineLvl w:val="9"/>
        <w:rPr>
          <w:rFonts w:ascii="宋体" w:hAnsi="宋体"/>
          <w:sz w:val="24"/>
          <w:highlight w:val="none"/>
        </w:rPr>
      </w:pPr>
      <w:r>
        <w:rPr>
          <w:rFonts w:hint="eastAsia" w:ascii="宋体" w:hAnsi="宋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73"/>
        </w:numPr>
        <w:spacing w:line="360" w:lineRule="auto"/>
        <w:contextualSpacing/>
        <w:outlineLvl w:val="9"/>
        <w:rPr>
          <w:rFonts w:ascii="宋体" w:hAnsi="宋体"/>
          <w:sz w:val="24"/>
          <w:highlight w:val="none"/>
        </w:rPr>
      </w:pPr>
      <w:r>
        <w:rPr>
          <w:rFonts w:hint="eastAsia" w:ascii="宋体" w:hAnsi="宋体"/>
          <w:color w:val="000000"/>
          <w:sz w:val="24"/>
          <w:highlight w:val="none"/>
        </w:rPr>
        <w:t>投资者保证自身完全了解理财投资的性质，投资所涉及的风险以及自身风险承受能力，在慎重考虑后独立作出交易决定。</w:t>
      </w:r>
    </w:p>
    <w:p>
      <w:pPr>
        <w:widowControl/>
        <w:numPr>
          <w:ilvl w:val="0"/>
          <w:numId w:val="73"/>
        </w:numPr>
        <w:spacing w:line="360" w:lineRule="auto"/>
        <w:contextualSpacing/>
        <w:outlineLvl w:val="9"/>
        <w:rPr>
          <w:rFonts w:ascii="宋体" w:hAnsi="宋体"/>
          <w:sz w:val="24"/>
          <w:highlight w:val="none"/>
        </w:rPr>
      </w:pPr>
      <w:r>
        <w:rPr>
          <w:rFonts w:hint="eastAsia" w:ascii="宋体" w:hAnsi="宋体"/>
          <w:color w:val="000000"/>
          <w:sz w:val="24"/>
          <w:highlight w:val="none"/>
        </w:rPr>
        <w:t>投资者保证其有权利签署本协议和履行本协议所述的义务，并已为此采取一切所需的行为。</w:t>
      </w:r>
    </w:p>
    <w:p>
      <w:pPr>
        <w:widowControl/>
        <w:numPr>
          <w:ilvl w:val="0"/>
          <w:numId w:val="73"/>
        </w:numPr>
        <w:spacing w:line="360" w:lineRule="auto"/>
        <w:contextualSpacing/>
        <w:outlineLvl w:val="9"/>
        <w:rPr>
          <w:rFonts w:ascii="宋体" w:hAnsi="宋体"/>
          <w:sz w:val="24"/>
          <w:highlight w:val="none"/>
        </w:rPr>
      </w:pPr>
      <w:r>
        <w:rPr>
          <w:rFonts w:hint="eastAsia" w:ascii="宋体" w:hAnsi="宋体"/>
          <w:color w:val="000000"/>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7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7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73"/>
        </w:numPr>
        <w:spacing w:line="360" w:lineRule="auto"/>
        <w:contextualSpacing/>
        <w:outlineLvl w:val="9"/>
        <w:rPr>
          <w:rFonts w:ascii="宋体" w:hAnsi="宋体"/>
          <w:sz w:val="24"/>
          <w:highlight w:val="none"/>
        </w:rPr>
      </w:pPr>
      <w:r>
        <w:rPr>
          <w:rFonts w:hint="eastAsia" w:ascii="宋体" w:hAnsi="宋体"/>
          <w:color w:val="000000"/>
          <w:sz w:val="24"/>
          <w:highlight w:val="none"/>
        </w:rPr>
        <w:t>本协议终止前，投资者不得将授权指定账户销户。若发生因投资者注销授权指定账户造成理财计划无法正常兑付的，管理人不承担任何责任。</w:t>
      </w:r>
    </w:p>
    <w:p>
      <w:pPr>
        <w:widowControl/>
        <w:numPr>
          <w:ilvl w:val="0"/>
          <w:numId w:val="7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73"/>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投资者进行投资时，应严格遵守反洗钱相关法规的规定，切实履行反洗钱及反恐怖融资义务。 </w:t>
      </w:r>
    </w:p>
    <w:p>
      <w:pPr>
        <w:spacing w:line="360" w:lineRule="auto"/>
        <w:ind w:left="482"/>
        <w:rPr>
          <w:b/>
          <w:sz w:val="24"/>
          <w:highlight w:val="none"/>
        </w:rPr>
      </w:pPr>
    </w:p>
    <w:p>
      <w:pPr>
        <w:numPr>
          <w:ilvl w:val="0"/>
          <w:numId w:val="72"/>
        </w:numPr>
        <w:spacing w:line="360" w:lineRule="auto"/>
        <w:ind w:firstLine="482" w:firstLineChars="200"/>
        <w:outlineLvl w:val="2"/>
        <w:rPr>
          <w:rFonts w:hint="eastAsia"/>
          <w:b/>
          <w:sz w:val="24"/>
          <w:highlight w:val="none"/>
        </w:rPr>
      </w:pPr>
      <w:r>
        <w:rPr>
          <w:rFonts w:hint="eastAsia"/>
          <w:b/>
          <w:color w:val="000000"/>
          <w:sz w:val="24"/>
          <w:highlight w:val="none"/>
        </w:rPr>
        <w:t>管理人权利与义务</w:t>
      </w:r>
    </w:p>
    <w:p>
      <w:pPr>
        <w:widowControl/>
        <w:numPr>
          <w:ilvl w:val="0"/>
          <w:numId w:val="74"/>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管理人应当诚实守信、勤勉尽责地履行受人之托、代人理财职责。 </w:t>
      </w:r>
    </w:p>
    <w:p>
      <w:pPr>
        <w:widowControl/>
        <w:numPr>
          <w:ilvl w:val="0"/>
          <w:numId w:val="74"/>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管理人应当按照理财计划销售文件的约定收取管理费用、确定收益分配方案、向投资者分配收益。 </w:t>
      </w:r>
    </w:p>
    <w:p>
      <w:pPr>
        <w:widowControl/>
        <w:numPr>
          <w:ilvl w:val="0"/>
          <w:numId w:val="74"/>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管理人应当按照理财计划销售文件的约定履行风险揭示及信息披露义务。 </w:t>
      </w:r>
    </w:p>
    <w:p>
      <w:pPr>
        <w:widowControl/>
        <w:numPr>
          <w:ilvl w:val="0"/>
          <w:numId w:val="74"/>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管理人应当确保理财业务与其他业务相分离，理财计划之间相分离，理财业务操作与其他业务操作相分离。 </w:t>
      </w:r>
    </w:p>
    <w:p>
      <w:pPr>
        <w:widowControl/>
        <w:numPr>
          <w:ilvl w:val="0"/>
          <w:numId w:val="74"/>
        </w:numPr>
        <w:spacing w:line="360" w:lineRule="auto"/>
        <w:contextualSpacing/>
        <w:outlineLvl w:val="9"/>
        <w:rPr>
          <w:rFonts w:ascii="宋体" w:hAnsi="宋体"/>
          <w:sz w:val="24"/>
          <w:highlight w:val="none"/>
        </w:rPr>
      </w:pPr>
      <w:r>
        <w:rPr>
          <w:rFonts w:ascii="宋体" w:hAnsi="宋体"/>
          <w:color w:val="000000"/>
          <w:sz w:val="24"/>
          <w:highlight w:val="none"/>
        </w:rPr>
        <w:t>管理人不得将理财</w:t>
      </w:r>
      <w:r>
        <w:rPr>
          <w:rFonts w:hint="eastAsia" w:ascii="宋体" w:hAnsi="宋体"/>
          <w:color w:val="000000"/>
          <w:sz w:val="24"/>
          <w:highlight w:val="none"/>
        </w:rPr>
        <w:t>计划</w:t>
      </w:r>
      <w:r>
        <w:rPr>
          <w:rFonts w:ascii="宋体" w:hAnsi="宋体"/>
          <w:color w:val="000000"/>
          <w:sz w:val="24"/>
          <w:highlight w:val="none"/>
        </w:rPr>
        <w:t>财产归入其自有资产</w:t>
      </w:r>
      <w:r>
        <w:rPr>
          <w:rFonts w:hint="eastAsia" w:ascii="宋体" w:hAnsi="宋体"/>
          <w:color w:val="000000"/>
          <w:sz w:val="24"/>
          <w:highlight w:val="none"/>
        </w:rPr>
        <w:t>，</w:t>
      </w:r>
      <w:r>
        <w:rPr>
          <w:rFonts w:ascii="宋体" w:hAnsi="宋体"/>
          <w:color w:val="000000"/>
          <w:sz w:val="24"/>
          <w:highlight w:val="none"/>
        </w:rPr>
        <w:t>因依法解散</w:t>
      </w:r>
      <w:r>
        <w:rPr>
          <w:rFonts w:hint="eastAsia" w:ascii="宋体" w:hAnsi="宋体"/>
          <w:color w:val="000000"/>
          <w:sz w:val="24"/>
          <w:highlight w:val="none"/>
        </w:rPr>
        <w:t>、</w:t>
      </w:r>
      <w:r>
        <w:rPr>
          <w:rFonts w:ascii="宋体" w:hAnsi="宋体"/>
          <w:color w:val="000000"/>
          <w:sz w:val="24"/>
          <w:highlight w:val="none"/>
        </w:rPr>
        <w:t>被依法撤销或者被依法宣告破产等原因进行清算的</w:t>
      </w:r>
      <w:r>
        <w:rPr>
          <w:rFonts w:hint="eastAsia" w:ascii="宋体" w:hAnsi="宋体"/>
          <w:color w:val="000000"/>
          <w:sz w:val="24"/>
          <w:highlight w:val="none"/>
        </w:rPr>
        <w:t>，</w:t>
      </w:r>
      <w:r>
        <w:rPr>
          <w:rFonts w:ascii="宋体" w:hAnsi="宋体"/>
          <w:color w:val="000000"/>
          <w:sz w:val="24"/>
          <w:highlight w:val="none"/>
        </w:rPr>
        <w:t>理财</w:t>
      </w:r>
      <w:r>
        <w:rPr>
          <w:rFonts w:hint="eastAsia" w:ascii="宋体" w:hAnsi="宋体"/>
          <w:color w:val="000000"/>
          <w:sz w:val="24"/>
          <w:highlight w:val="none"/>
        </w:rPr>
        <w:t>计划</w:t>
      </w:r>
      <w:r>
        <w:rPr>
          <w:rFonts w:ascii="宋体" w:hAnsi="宋体"/>
          <w:color w:val="000000"/>
          <w:sz w:val="24"/>
          <w:highlight w:val="none"/>
        </w:rPr>
        <w:t>财产不属于其清算财产</w:t>
      </w:r>
      <w:r>
        <w:rPr>
          <w:rFonts w:hint="eastAsia" w:ascii="宋体" w:hAnsi="宋体"/>
          <w:color w:val="000000"/>
          <w:sz w:val="24"/>
          <w:highlight w:val="none"/>
        </w:rPr>
        <w:t>。</w:t>
      </w:r>
    </w:p>
    <w:p>
      <w:pPr>
        <w:widowControl/>
        <w:numPr>
          <w:ilvl w:val="0"/>
          <w:numId w:val="74"/>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74"/>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74"/>
        </w:numPr>
        <w:spacing w:line="360" w:lineRule="auto"/>
        <w:contextualSpacing/>
        <w:outlineLvl w:val="9"/>
        <w:rPr>
          <w:rFonts w:ascii="宋体" w:hAnsi="宋体"/>
          <w:sz w:val="24"/>
          <w:highlight w:val="none"/>
        </w:rPr>
      </w:pPr>
      <w:r>
        <w:rPr>
          <w:rFonts w:hint="eastAsia" w:ascii="宋体" w:hAnsi="宋体"/>
          <w:color w:val="000000"/>
          <w:sz w:val="24"/>
          <w:highlight w:val="none"/>
        </w:rPr>
        <w:t>管理人应就理财计划销售过程中获知的投资者信息、风险承受能力评估结果、适当性匹配情况等承担保密义务。</w:t>
      </w:r>
      <w:r>
        <w:rPr>
          <w:rFonts w:hint="eastAsia" w:ascii="宋体" w:hAnsi="宋体" w:cs="宋体"/>
          <w:bCs/>
          <w:color w:val="000000"/>
          <w:sz w:val="24"/>
          <w:highlight w:val="none"/>
        </w:rPr>
        <w:t>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cs="宋体"/>
          <w:bCs/>
          <w:color w:val="000000"/>
          <w:sz w:val="24"/>
          <w:highlight w:val="none"/>
          <w:lang w:eastAsia="zh-CN"/>
        </w:rPr>
        <w:t>，</w:t>
      </w:r>
      <w:r>
        <w:rPr>
          <w:rFonts w:hint="eastAsia" w:ascii="宋体" w:hAnsi="宋体" w:cs="宋体"/>
          <w:b w:val="0"/>
          <w:bCs/>
          <w:color w:val="000000"/>
          <w:sz w:val="24"/>
          <w:highlight w:val="none"/>
          <w:lang w:val="en-US" w:eastAsia="zh-CN"/>
        </w:rPr>
        <w:t>授权使用时限与履行相关法律法规和监管要求的必要时限一致</w:t>
      </w:r>
      <w:r>
        <w:rPr>
          <w:rFonts w:hint="eastAsia" w:ascii="宋体" w:hAnsi="宋体" w:cs="宋体"/>
          <w:b w:val="0"/>
          <w:bCs/>
          <w:color w:val="000000"/>
          <w:sz w:val="24"/>
          <w:highlight w:val="none"/>
        </w:rPr>
        <w:t>。</w:t>
      </w:r>
    </w:p>
    <w:p>
      <w:pPr>
        <w:widowControl/>
        <w:numPr>
          <w:ilvl w:val="0"/>
          <w:numId w:val="74"/>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管理人在此特别披露：若理财计划管理人的关联方担任理财计划的代销机构、托管人、合作机构的，理财计划管理人将按照法律法规和监管要求履行相应程序，投资者认购或申购理财计划即知晓并同意该等安排。 </w:t>
      </w:r>
    </w:p>
    <w:p>
      <w:pPr>
        <w:spacing w:line="360" w:lineRule="auto"/>
        <w:rPr>
          <w:b/>
          <w:sz w:val="24"/>
          <w:highlight w:val="none"/>
        </w:rPr>
      </w:pPr>
    </w:p>
    <w:p>
      <w:pPr>
        <w:numPr>
          <w:ilvl w:val="0"/>
          <w:numId w:val="72"/>
        </w:numPr>
        <w:spacing w:line="360" w:lineRule="auto"/>
        <w:ind w:firstLine="482" w:firstLineChars="200"/>
        <w:outlineLvl w:val="2"/>
        <w:rPr>
          <w:rFonts w:hint="eastAsia"/>
          <w:b/>
          <w:sz w:val="24"/>
          <w:highlight w:val="none"/>
        </w:rPr>
      </w:pPr>
      <w:r>
        <w:rPr>
          <w:rFonts w:hint="eastAsia"/>
          <w:b/>
          <w:color w:val="000000"/>
          <w:sz w:val="24"/>
          <w:highlight w:val="none"/>
        </w:rPr>
        <w:t>理财计划认（申）购、赎回及终止</w:t>
      </w:r>
    </w:p>
    <w:p>
      <w:pPr>
        <w:widowControl/>
        <w:numPr>
          <w:ilvl w:val="0"/>
          <w:numId w:val="75"/>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理财计划认/申购办理流程：参照《投资者权益须知》约定。 </w:t>
      </w:r>
    </w:p>
    <w:p>
      <w:pPr>
        <w:widowControl/>
        <w:numPr>
          <w:ilvl w:val="0"/>
          <w:numId w:val="75"/>
        </w:numPr>
        <w:spacing w:line="360" w:lineRule="auto"/>
        <w:contextualSpacing/>
        <w:outlineLvl w:val="9"/>
        <w:rPr>
          <w:rFonts w:ascii="宋体" w:hAnsi="宋体"/>
          <w:sz w:val="24"/>
          <w:highlight w:val="none"/>
        </w:rPr>
      </w:pPr>
      <w:r>
        <w:rPr>
          <w:rFonts w:hint="eastAsia" w:ascii="宋体" w:hAnsi="宋体"/>
          <w:color w:val="000000"/>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75"/>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75"/>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 xml:space="preserve">理财计划投资品种、投资起点金额、收益支付方式：参照对应期次的《理财计划产品说明书》中的条款约定。 </w:t>
      </w:r>
    </w:p>
    <w:p>
      <w:pPr>
        <w:widowControl/>
        <w:numPr>
          <w:ilvl w:val="0"/>
          <w:numId w:val="75"/>
        </w:numPr>
        <w:spacing w:line="360" w:lineRule="auto"/>
        <w:contextualSpacing/>
        <w:outlineLvl w:val="9"/>
        <w:rPr>
          <w:rFonts w:ascii="宋体" w:hAnsi="宋体"/>
          <w:sz w:val="24"/>
          <w:highlight w:val="none"/>
        </w:rPr>
      </w:pPr>
      <w:r>
        <w:rPr>
          <w:rFonts w:hint="eastAsia" w:ascii="宋体" w:hAnsi="宋体"/>
          <w:color w:val="000000"/>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75"/>
        </w:numPr>
        <w:spacing w:line="360" w:lineRule="auto"/>
        <w:contextualSpacing/>
        <w:outlineLvl w:val="9"/>
        <w:rPr>
          <w:rFonts w:ascii="宋体" w:hAnsi="宋体"/>
          <w:sz w:val="24"/>
          <w:highlight w:val="none"/>
        </w:rPr>
      </w:pPr>
      <w:r>
        <w:rPr>
          <w:rFonts w:hint="eastAsia" w:ascii="宋体" w:hAnsi="宋体"/>
          <w:color w:val="000000"/>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sz w:val="24"/>
          <w:highlight w:val="none"/>
        </w:rPr>
      </w:pPr>
    </w:p>
    <w:p>
      <w:pPr>
        <w:numPr>
          <w:ilvl w:val="0"/>
          <w:numId w:val="72"/>
        </w:numPr>
        <w:spacing w:line="360" w:lineRule="auto"/>
        <w:ind w:firstLine="482" w:firstLineChars="200"/>
        <w:outlineLvl w:val="2"/>
        <w:rPr>
          <w:rFonts w:hint="eastAsia"/>
          <w:b/>
          <w:sz w:val="24"/>
          <w:highlight w:val="none"/>
        </w:rPr>
      </w:pPr>
      <w:r>
        <w:rPr>
          <w:rFonts w:hint="eastAsia"/>
          <w:b/>
          <w:color w:val="000000"/>
          <w:sz w:val="24"/>
          <w:highlight w:val="none"/>
        </w:rPr>
        <w:t>税收处理</w:t>
      </w:r>
    </w:p>
    <w:p>
      <w:pPr>
        <w:widowControl/>
        <w:spacing w:line="360" w:lineRule="auto"/>
        <w:ind w:firstLine="480" w:firstLineChars="200"/>
        <w:contextualSpacing/>
        <w:rPr>
          <w:rFonts w:hint="eastAsia" w:ascii="宋体" w:hAnsi="宋体"/>
          <w:sz w:val="24"/>
          <w:highlight w:val="none"/>
        </w:rPr>
      </w:pPr>
      <w:r>
        <w:rPr>
          <w:rFonts w:hint="eastAsia" w:ascii="宋体" w:hAnsi="宋体"/>
          <w:color w:val="000000"/>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sz w:val="24"/>
          <w:highlight w:val="none"/>
        </w:rPr>
      </w:pPr>
    </w:p>
    <w:p>
      <w:pPr>
        <w:numPr>
          <w:ilvl w:val="0"/>
          <w:numId w:val="72"/>
        </w:numPr>
        <w:spacing w:line="360" w:lineRule="auto"/>
        <w:ind w:firstLine="482" w:firstLineChars="200"/>
        <w:outlineLvl w:val="2"/>
        <w:rPr>
          <w:rFonts w:hint="eastAsia"/>
          <w:b/>
          <w:sz w:val="24"/>
          <w:highlight w:val="none"/>
        </w:rPr>
      </w:pPr>
      <w:r>
        <w:rPr>
          <w:rFonts w:hint="eastAsia"/>
          <w:b/>
          <w:color w:val="000000"/>
          <w:sz w:val="24"/>
          <w:highlight w:val="none"/>
        </w:rPr>
        <w:t>违约责任及免责条款</w:t>
      </w:r>
    </w:p>
    <w:p>
      <w:pPr>
        <w:widowControl/>
        <w:numPr>
          <w:ilvl w:val="0"/>
          <w:numId w:val="76"/>
        </w:numPr>
        <w:spacing w:line="360" w:lineRule="auto"/>
        <w:contextualSpacing/>
        <w:outlineLvl w:val="9"/>
        <w:rPr>
          <w:rFonts w:ascii="宋体" w:hAnsi="宋体"/>
          <w:sz w:val="24"/>
          <w:highlight w:val="none"/>
        </w:rPr>
      </w:pPr>
      <w:r>
        <w:rPr>
          <w:rFonts w:hint="eastAsia" w:ascii="宋体" w:hAnsi="宋体"/>
          <w:color w:val="000000"/>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color w:val="000000"/>
          <w:sz w:val="24"/>
          <w:highlight w:val="none"/>
          <w:lang w:eastAsia="zh-CN"/>
        </w:rPr>
        <w:t>赎回</w:t>
      </w:r>
      <w:r>
        <w:rPr>
          <w:rFonts w:hint="eastAsia" w:ascii="宋体" w:hAnsi="宋体"/>
          <w:color w:val="000000"/>
          <w:sz w:val="24"/>
          <w:highlight w:val="none"/>
        </w:rPr>
        <w:t>，本合同自动终止。因提前终止而产生的损失及相关费用由投资者承担。本合同前述情况终止的，理财本金不计付</w:t>
      </w:r>
      <w:r>
        <w:rPr>
          <w:rFonts w:hint="eastAsia" w:ascii="宋体" w:hAnsi="宋体"/>
          <w:color w:val="000000"/>
          <w:sz w:val="24"/>
          <w:highlight w:val="none"/>
          <w:lang w:eastAsia="zh-CN"/>
        </w:rPr>
        <w:t>赎回</w:t>
      </w:r>
      <w:r>
        <w:rPr>
          <w:rFonts w:hint="eastAsia" w:ascii="宋体" w:hAnsi="宋体"/>
          <w:color w:val="000000"/>
          <w:sz w:val="24"/>
          <w:highlight w:val="none"/>
        </w:rPr>
        <w:t>日前的理财收益，也不计付存款利息。</w:t>
      </w:r>
    </w:p>
    <w:p>
      <w:pPr>
        <w:widowControl/>
        <w:numPr>
          <w:ilvl w:val="0"/>
          <w:numId w:val="76"/>
        </w:numPr>
        <w:spacing w:line="360" w:lineRule="auto"/>
        <w:contextualSpacing/>
        <w:outlineLvl w:val="9"/>
        <w:rPr>
          <w:rFonts w:ascii="宋体" w:hAnsi="宋体"/>
          <w:sz w:val="24"/>
          <w:highlight w:val="none"/>
        </w:rPr>
      </w:pPr>
      <w:r>
        <w:rPr>
          <w:rFonts w:hint="eastAsia" w:ascii="宋体" w:hAnsi="宋体"/>
          <w:color w:val="000000"/>
          <w:sz w:val="24"/>
          <w:highlight w:val="none"/>
        </w:rPr>
        <w:t>投资者违反本协议第二条内容，应承担相应违约责任。管理人对由此导致的理财业务交易延误、中断、终止及投资人损失不承担任何责任，并有权终止双方理财业务关系。因投资人违反双方约定解除本协议给管理人或全体投资者造成损失的，投资人应承担相应的赔偿责任。</w:t>
      </w:r>
    </w:p>
    <w:p>
      <w:pPr>
        <w:widowControl/>
        <w:numPr>
          <w:ilvl w:val="0"/>
          <w:numId w:val="76"/>
        </w:numPr>
        <w:spacing w:line="360" w:lineRule="auto"/>
        <w:contextualSpacing/>
        <w:outlineLvl w:val="9"/>
        <w:rPr>
          <w:rFonts w:ascii="宋体" w:hAnsi="宋体"/>
          <w:sz w:val="24"/>
          <w:highlight w:val="none"/>
        </w:rPr>
      </w:pPr>
      <w:r>
        <w:rPr>
          <w:rFonts w:hint="eastAsia" w:ascii="宋体" w:hAnsi="宋体"/>
          <w:color w:val="000000"/>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76"/>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76"/>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因国家有关法律、法规、规章、政策的修改或新的法律、法规、规章、政策颁布以及紧急措施的出台导致的风险及损失，管理人不承担责任。</w:t>
      </w:r>
    </w:p>
    <w:p>
      <w:pPr>
        <w:widowControl/>
        <w:numPr>
          <w:ilvl w:val="0"/>
          <w:numId w:val="76"/>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管理人若严格按照产品说明书相关规定并勤勉尽责进行投资运作，因市场波动、资产风险事件等非因管理人违反法律法规、监管规定或理财计划合同约定的原因给投资者造成损失的，管理人不承担相应赔偿责任；但管理人存在故意或者重大过失的除外。</w:t>
      </w:r>
    </w:p>
    <w:p>
      <w:pPr>
        <w:widowControl/>
        <w:spacing w:line="360" w:lineRule="auto"/>
        <w:contextualSpacing/>
        <w:rPr>
          <w:rFonts w:ascii="宋体" w:hAnsi="宋体"/>
          <w:sz w:val="24"/>
          <w:highlight w:val="none"/>
        </w:rPr>
      </w:pPr>
    </w:p>
    <w:p>
      <w:pPr>
        <w:numPr>
          <w:ilvl w:val="0"/>
          <w:numId w:val="72"/>
        </w:numPr>
        <w:spacing w:line="360" w:lineRule="auto"/>
        <w:ind w:firstLine="482" w:firstLineChars="200"/>
        <w:outlineLvl w:val="2"/>
        <w:rPr>
          <w:b/>
          <w:sz w:val="24"/>
          <w:highlight w:val="none"/>
        </w:rPr>
      </w:pPr>
      <w:r>
        <w:rPr>
          <w:rFonts w:hint="eastAsia"/>
          <w:b/>
          <w:color w:val="000000"/>
          <w:sz w:val="24"/>
          <w:highlight w:val="none"/>
        </w:rPr>
        <w:t>适用法律与争议解决</w:t>
      </w:r>
    </w:p>
    <w:p>
      <w:pPr>
        <w:widowControl/>
        <w:spacing w:line="360" w:lineRule="auto"/>
        <w:ind w:firstLine="480" w:firstLineChars="200"/>
        <w:contextualSpacing/>
        <w:rPr>
          <w:rFonts w:ascii="宋体" w:hAnsi="宋体"/>
          <w:sz w:val="24"/>
          <w:highlight w:val="none"/>
        </w:rPr>
      </w:pPr>
      <w:r>
        <w:rPr>
          <w:rFonts w:hint="eastAsia" w:ascii="宋体" w:hAnsi="宋体"/>
          <w:color w:val="000000"/>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color w:val="000000"/>
          <w:sz w:val="24"/>
          <w:highlight w:val="none"/>
        </w:rPr>
        <w:t>的法律和行政法规。本合同项下的及与之有关的一切争议，投资者与管理人双方应首先协商解决，协商不成的，任何一方均有权向被告住所地有管辖权的人民法院提起诉讼。诉讼期间，未涉及争议的条款仍需继续履行。</w:t>
      </w:r>
    </w:p>
    <w:p>
      <w:pPr>
        <w:spacing w:line="360" w:lineRule="auto"/>
        <w:ind w:left="482"/>
        <w:rPr>
          <w:b/>
          <w:sz w:val="24"/>
          <w:highlight w:val="none"/>
        </w:rPr>
      </w:pPr>
    </w:p>
    <w:p>
      <w:pPr>
        <w:numPr>
          <w:ilvl w:val="0"/>
          <w:numId w:val="72"/>
        </w:numPr>
        <w:spacing w:line="360" w:lineRule="auto"/>
        <w:ind w:firstLine="482" w:firstLineChars="200"/>
        <w:outlineLvl w:val="2"/>
        <w:rPr>
          <w:rFonts w:hint="eastAsia"/>
          <w:b/>
          <w:sz w:val="24"/>
          <w:highlight w:val="none"/>
        </w:rPr>
      </w:pPr>
      <w:r>
        <w:rPr>
          <w:rFonts w:hint="eastAsia"/>
          <w:b/>
          <w:color w:val="000000"/>
          <w:sz w:val="24"/>
          <w:highlight w:val="none"/>
        </w:rPr>
        <w:t>协议生效和终止</w:t>
      </w:r>
    </w:p>
    <w:p>
      <w:pPr>
        <w:widowControl/>
        <w:numPr>
          <w:ilvl w:val="0"/>
          <w:numId w:val="77"/>
        </w:numPr>
        <w:spacing w:line="360" w:lineRule="auto"/>
        <w:contextualSpacing/>
        <w:outlineLvl w:val="9"/>
        <w:rPr>
          <w:rFonts w:ascii="宋体" w:hAnsi="宋体"/>
          <w:sz w:val="24"/>
          <w:highlight w:val="none"/>
        </w:rPr>
      </w:pPr>
      <w:r>
        <w:rPr>
          <w:rFonts w:hint="eastAsia" w:ascii="宋体" w:hAnsi="宋体"/>
          <w:color w:val="000000"/>
          <w:sz w:val="24"/>
          <w:highlight w:val="none"/>
        </w:rPr>
        <w:t xml:space="preserve">投资者和管理人双方认可本协议可以纸质或电子数据等形式提交、订立或确认。 </w:t>
      </w:r>
    </w:p>
    <w:p>
      <w:pPr>
        <w:widowControl/>
        <w:numPr>
          <w:ilvl w:val="0"/>
          <w:numId w:val="77"/>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本协议书以纸质书面形式订立的，自投资者</w:t>
      </w:r>
      <w:r>
        <w:rPr>
          <w:rFonts w:hint="eastAsia" w:ascii="宋体" w:hAnsi="宋体"/>
          <w:color w:val="000000"/>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hint="eastAsia" w:ascii="宋体" w:hAnsi="宋体"/>
          <w:color w:val="000000"/>
          <w:sz w:val="24"/>
          <w:highlight w:val="none"/>
        </w:rPr>
        <w:t>之后立即生效。协议一式</w:t>
      </w:r>
      <w:r>
        <w:rPr>
          <w:rFonts w:hint="eastAsia" w:ascii="宋体" w:hAnsi="宋体"/>
          <w:color w:val="000000"/>
          <w:sz w:val="24"/>
          <w:highlight w:val="none"/>
          <w:lang w:eastAsia="zh-CN"/>
        </w:rPr>
        <w:t>贰</w:t>
      </w:r>
      <w:r>
        <w:rPr>
          <w:rFonts w:hint="eastAsia" w:ascii="宋体" w:hAnsi="宋体"/>
          <w:color w:val="000000"/>
          <w:sz w:val="24"/>
          <w:highlight w:val="none"/>
        </w:rPr>
        <w:t>份，投资者和管理人双方各执</w:t>
      </w:r>
      <w:r>
        <w:rPr>
          <w:rFonts w:hint="eastAsia" w:ascii="宋体" w:hAnsi="宋体"/>
          <w:color w:val="000000"/>
          <w:sz w:val="24"/>
          <w:highlight w:val="none"/>
          <w:lang w:eastAsia="zh-CN"/>
        </w:rPr>
        <w:t>壹</w:t>
      </w:r>
      <w:r>
        <w:rPr>
          <w:rFonts w:hint="eastAsia" w:ascii="宋体" w:hAnsi="宋体"/>
          <w:color w:val="000000"/>
          <w:sz w:val="24"/>
          <w:highlight w:val="none"/>
        </w:rPr>
        <w:t xml:space="preserve">份，具有同等法律效力。 </w:t>
      </w:r>
    </w:p>
    <w:p>
      <w:pPr>
        <w:widowControl/>
        <w:numPr>
          <w:ilvl w:val="0"/>
          <w:numId w:val="77"/>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77"/>
        </w:numPr>
        <w:spacing w:line="360" w:lineRule="auto"/>
        <w:contextualSpacing/>
        <w:outlineLvl w:val="9"/>
        <w:rPr>
          <w:rFonts w:hint="eastAsia" w:ascii="宋体" w:hAnsi="宋体"/>
          <w:sz w:val="24"/>
          <w:highlight w:val="none"/>
        </w:rPr>
      </w:pPr>
      <w:r>
        <w:rPr>
          <w:rFonts w:hint="eastAsia" w:ascii="宋体" w:hAnsi="宋体"/>
          <w:color w:val="000000"/>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sz w:val="24"/>
          <w:highlight w:val="none"/>
        </w:rPr>
      </w:pPr>
    </w:p>
    <w:p>
      <w:pPr>
        <w:numPr>
          <w:ilvl w:val="0"/>
          <w:numId w:val="72"/>
        </w:numPr>
        <w:spacing w:line="360" w:lineRule="auto"/>
        <w:ind w:firstLine="482" w:firstLineChars="200"/>
        <w:outlineLvl w:val="2"/>
        <w:rPr>
          <w:b/>
          <w:sz w:val="24"/>
          <w:highlight w:val="none"/>
        </w:rPr>
      </w:pPr>
      <w:r>
        <w:rPr>
          <w:rFonts w:hint="eastAsia"/>
          <w:b/>
          <w:color w:val="000000"/>
          <w:sz w:val="24"/>
          <w:highlight w:val="none"/>
        </w:rPr>
        <w:t>附则</w:t>
      </w:r>
    </w:p>
    <w:p>
      <w:pPr>
        <w:widowControl/>
        <w:numPr>
          <w:ilvl w:val="0"/>
          <w:numId w:val="78"/>
        </w:numPr>
        <w:spacing w:line="360" w:lineRule="auto"/>
        <w:contextualSpacing/>
        <w:outlineLvl w:val="9"/>
        <w:rPr>
          <w:rFonts w:ascii="宋体" w:hAnsi="宋体"/>
          <w:sz w:val="24"/>
          <w:highlight w:val="none"/>
        </w:rPr>
      </w:pPr>
      <w:r>
        <w:rPr>
          <w:rFonts w:hint="eastAsia" w:ascii="宋体" w:hAnsi="宋体"/>
          <w:color w:val="000000"/>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pPr>
        <w:widowControl/>
        <w:numPr>
          <w:ilvl w:val="0"/>
          <w:numId w:val="78"/>
        </w:numPr>
        <w:spacing w:line="360" w:lineRule="auto"/>
        <w:contextualSpacing/>
        <w:outlineLvl w:val="9"/>
        <w:rPr>
          <w:rFonts w:ascii="宋体" w:hAnsi="宋体"/>
          <w:sz w:val="24"/>
          <w:highlight w:val="none"/>
        </w:rPr>
      </w:pPr>
      <w:r>
        <w:rPr>
          <w:rFonts w:hint="eastAsia" w:ascii="宋体" w:hAnsi="宋体"/>
          <w:color w:val="000000"/>
          <w:sz w:val="24"/>
          <w:highlight w:val="none"/>
        </w:rPr>
        <w:t>如果由于任何原因使本合同下的任何条款或内容成为无效或被依法撤销，本合同其他条款或内容的合法性、有效性和可执行性不受影响。</w:t>
      </w:r>
    </w:p>
    <w:p>
      <w:pPr>
        <w:widowControl/>
        <w:numPr>
          <w:ilvl w:val="0"/>
          <w:numId w:val="78"/>
        </w:numPr>
        <w:spacing w:line="360" w:lineRule="auto"/>
        <w:contextualSpacing/>
        <w:outlineLvl w:val="9"/>
        <w:rPr>
          <w:rFonts w:ascii="宋体" w:hAnsi="宋体"/>
          <w:sz w:val="24"/>
          <w:highlight w:val="none"/>
        </w:rPr>
      </w:pPr>
      <w:r>
        <w:rPr>
          <w:rFonts w:hint="eastAsia" w:ascii="宋体" w:hAnsi="宋体"/>
          <w:color w:val="000000"/>
          <w:sz w:val="24"/>
          <w:highlight w:val="none"/>
        </w:rPr>
        <w:t>在理财计划存续期内，如因监管政策或法律法规发生变化，在不损害投资者利益的前提下，管理人有权对理财计划合同进行修订。</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pStyle w:val="9"/>
        <w:widowControl/>
        <w:spacing w:line="360" w:lineRule="auto"/>
        <w:jc w:val="right"/>
        <w:rPr>
          <w:rFonts w:ascii="宋体" w:hAnsi="宋体" w:cs="宋体"/>
          <w:bCs/>
          <w:color w:val="000000"/>
          <w:sz w:val="24"/>
          <w:highlight w:val="none"/>
        </w:rPr>
      </w:pPr>
      <w:r>
        <w:rPr>
          <w:rFonts w:hint="eastAsia" w:ascii="宋体" w:hAnsi="宋体" w:cs="宋体"/>
          <w:color w:val="000000"/>
          <w:kern w:val="0"/>
          <w:highlight w:val="none"/>
        </w:rPr>
        <w:t>杭银理财有限责任公司</w:t>
      </w:r>
    </w:p>
    <w:p>
      <w:pPr>
        <w:pageBreakBefore/>
        <w:widowControl/>
        <w:spacing w:line="360" w:lineRule="auto"/>
        <w:rPr>
          <w:rFonts w:ascii="宋体" w:hAnsi="宋体"/>
          <w:sz w:val="24"/>
          <w:highlight w:val="none"/>
        </w:rPr>
      </w:pPr>
      <w:r>
        <w:rPr>
          <w:rFonts w:hint="eastAsia" w:ascii="宋体" w:hAnsi="宋体"/>
          <w:color w:val="000000"/>
          <w:sz w:val="24"/>
          <w:highlight w:val="none"/>
        </w:rPr>
        <w:t>本页为纸质形式（如有）</w:t>
      </w:r>
      <w:r>
        <w:rPr>
          <w:rFonts w:hint="eastAsia" w:ascii="宋体" w:hAnsi="宋体"/>
          <w:color w:val="000000"/>
          <w:sz w:val="24"/>
          <w:highlight w:val="none"/>
          <w:lang w:val="en-US" w:eastAsia="zh-CN"/>
        </w:rPr>
        <w:t>投资</w:t>
      </w:r>
      <w:r>
        <w:rPr>
          <w:rFonts w:hint="eastAsia" w:ascii="宋体" w:hAnsi="宋体"/>
          <w:color w:val="000000"/>
          <w:sz w:val="24"/>
          <w:highlight w:val="none"/>
        </w:rPr>
        <w:t>协议书签章页</w:t>
      </w: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rFonts w:hint="eastAsia" w:ascii="宋体" w:hAnsi="宋体"/>
          <w:b/>
          <w:bCs/>
          <w:sz w:val="24"/>
          <w:highlight w:val="none"/>
        </w:rPr>
      </w:pPr>
      <w:r>
        <w:rPr>
          <w:rFonts w:hint="eastAsia" w:ascii="宋体" w:hAnsi="宋体"/>
          <w:b/>
          <w:bCs/>
          <w:color w:val="000000"/>
          <w:sz w:val="24"/>
          <w:highlight w:val="none"/>
        </w:rPr>
        <w:t>投资者（签字</w:t>
      </w:r>
      <w:r>
        <w:rPr>
          <w:rFonts w:hint="eastAsia" w:ascii="宋体" w:hAnsi="宋体" w:eastAsia="宋体" w:cs="黑体"/>
          <w:b/>
          <w:bCs/>
          <w:color w:val="000000"/>
          <w:sz w:val="24"/>
          <w:highlight w:val="none"/>
          <w:lang w:eastAsia="zh-CN"/>
        </w:rPr>
        <w:t>或签章</w:t>
      </w:r>
      <w:r>
        <w:rPr>
          <w:rFonts w:hint="eastAsia" w:ascii="宋体" w:hAnsi="宋体"/>
          <w:b/>
          <w:bCs/>
          <w:color w:val="000000"/>
          <w:sz w:val="24"/>
          <w:highlight w:val="none"/>
        </w:rPr>
        <w:t>）：</w:t>
      </w:r>
    </w:p>
    <w:p>
      <w:pPr>
        <w:spacing w:line="360" w:lineRule="auto"/>
        <w:rPr>
          <w:rFonts w:hint="eastAsia" w:ascii="宋体" w:hAnsi="宋体"/>
          <w:b/>
          <w:bCs/>
          <w:sz w:val="24"/>
          <w:highlight w:val="none"/>
        </w:rPr>
      </w:pPr>
    </w:p>
    <w:p>
      <w:pPr>
        <w:spacing w:line="360" w:lineRule="auto"/>
        <w:rPr>
          <w:rFonts w:hint="eastAsia" w:ascii="宋体" w:hAnsi="宋体"/>
          <w:b/>
          <w:bCs/>
          <w:sz w:val="24"/>
          <w:highlight w:val="none"/>
        </w:rPr>
      </w:pP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color w:val="000000"/>
          <w:sz w:val="24"/>
          <w:highlight w:val="none"/>
        </w:rPr>
        <w:t xml:space="preserve">   年   月   日</w:t>
      </w: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both"/>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spacing w:line="360" w:lineRule="auto"/>
        <w:rPr>
          <w:rFonts w:ascii="宋体" w:hAnsi="宋体" w:cs="宋体"/>
          <w:bCs/>
          <w:color w:val="000000"/>
          <w:sz w:val="24"/>
        </w:rPr>
      </w:pPr>
    </w:p>
    <w:p>
      <w:pPr>
        <w:rPr>
          <w:rFonts w:ascii="宋体" w:hAnsi="宋体" w:cs="宋体"/>
          <w:bCs/>
          <w:color w:val="000000"/>
          <w:sz w:val="24"/>
          <w:highlight w:val="none"/>
        </w:rPr>
      </w:pPr>
      <w:r>
        <w:rPr>
          <w:rFonts w:ascii="宋体" w:hAnsi="宋体" w:cs="宋体"/>
          <w:bCs/>
          <w:color w:val="000000"/>
          <w:sz w:val="24"/>
          <w:highlight w:val="none"/>
        </w:rPr>
        <w:br w:type="page"/>
      </w:r>
    </w:p>
    <w:p>
      <w:pPr>
        <w:pageBreakBefore/>
        <w:widowControl/>
        <w:spacing w:line="120" w:lineRule="auto"/>
        <w:jc w:val="center"/>
        <w:outlineLvl w:val="0"/>
        <w:rPr>
          <w:rFonts w:hint="eastAsia" w:ascii="Calibri" w:hAnsi="Calibri" w:eastAsia="宋体" w:cs="黑体"/>
          <w:b/>
          <w:bCs w:val="0"/>
          <w:sz w:val="44"/>
          <w:szCs w:val="44"/>
          <w:highlight w:val="none"/>
        </w:rPr>
      </w:pPr>
      <w:r>
        <w:rPr>
          <w:rFonts w:hint="eastAsia" w:ascii="Calibri" w:hAnsi="Calibri" w:eastAsia="宋体" w:cs="黑体"/>
          <w:b/>
          <w:bCs w:val="0"/>
          <w:color w:val="000000"/>
          <w:sz w:val="44"/>
          <w:szCs w:val="44"/>
          <w:highlight w:val="none"/>
          <w:lang w:val="en-US" w:eastAsia="zh-CN"/>
        </w:rPr>
        <w:t>杭银理财理财计划</w:t>
      </w:r>
      <w:r>
        <w:rPr>
          <w:rFonts w:hint="eastAsia" w:ascii="Calibri" w:hAnsi="Calibri" w:eastAsia="宋体" w:cs="黑体"/>
          <w:b/>
          <w:bCs w:val="0"/>
          <w:color w:val="000000"/>
          <w:sz w:val="44"/>
          <w:szCs w:val="44"/>
          <w:highlight w:val="none"/>
        </w:rPr>
        <w:t>销售协议书</w:t>
      </w:r>
    </w:p>
    <w:p>
      <w:pPr>
        <w:jc w:val="center"/>
        <w:outlineLvl w:val="1"/>
        <w:rPr>
          <w:rFonts w:hint="eastAsia" w:ascii="宋体" w:hAnsi="宋体" w:eastAsia="宋体" w:cs="宋体"/>
          <w:b w:val="0"/>
          <w:bCs w:val="0"/>
          <w:sz w:val="28"/>
          <w:szCs w:val="28"/>
          <w:highlight w:val="none"/>
        </w:rPr>
      </w:pP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eastAsia="zh-CN"/>
        </w:rPr>
        <w:t>202601</w:t>
      </w:r>
      <w:r>
        <w:rPr>
          <w:rFonts w:hint="eastAsia" w:ascii="宋体" w:hAnsi="宋体" w:eastAsia="宋体" w:cs="宋体"/>
          <w:color w:val="000000"/>
          <w:sz w:val="28"/>
          <w:szCs w:val="28"/>
          <w:highlight w:val="none"/>
        </w:rPr>
        <w:t>版）</w:t>
      </w:r>
    </w:p>
    <w:p>
      <w:pPr>
        <w:spacing w:line="360" w:lineRule="auto"/>
        <w:jc w:val="center"/>
        <w:outlineLvl w:val="2"/>
        <w:rPr>
          <w:rFonts w:hint="default"/>
          <w:sz w:val="32"/>
          <w:szCs w:val="40"/>
          <w:highlight w:val="none"/>
          <w:lang w:val="en-US" w:eastAsia="zh-CN"/>
        </w:rPr>
      </w:pPr>
      <w:r>
        <w:rPr>
          <w:rFonts w:hint="eastAsia" w:ascii="宋体" w:hAnsi="宋体" w:cs="宋体"/>
          <w:b/>
          <w:bCs/>
          <w:color w:val="000000"/>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sz w:val="24"/>
          <w:highlight w:val="none"/>
        </w:rPr>
      </w:pPr>
      <w:r>
        <w:rPr>
          <w:rFonts w:hint="eastAsia" w:ascii="Calibri" w:hAnsi="Calibri" w:eastAsia="宋体" w:cs="黑体"/>
          <w:b/>
          <w:bCs/>
          <w:color w:val="000000"/>
          <w:sz w:val="24"/>
          <w:highlight w:val="none"/>
        </w:rPr>
        <w:t>特别提示：</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rPr>
        <w:t>杭银理财</w:t>
      </w:r>
      <w:r>
        <w:rPr>
          <w:rFonts w:hint="eastAsia" w:ascii="Calibri" w:hAnsi="Calibri" w:eastAsia="宋体" w:cs="黑体"/>
          <w:b/>
          <w:bCs/>
          <w:color w:val="000000"/>
          <w:sz w:val="24"/>
          <w:highlight w:val="none"/>
          <w:lang w:val="en-US" w:eastAsia="zh-CN"/>
        </w:rPr>
        <w:t>理财计划销售协议书</w:t>
      </w:r>
      <w:r>
        <w:rPr>
          <w:rFonts w:hint="eastAsia" w:ascii="宋体" w:hAnsi="宋体" w:eastAsia="宋体" w:cs="宋体"/>
          <w:b/>
          <w:bCs/>
          <w:color w:val="000000"/>
          <w:sz w:val="24"/>
          <w:highlight w:val="none"/>
          <w:lang w:val="en-US" w:eastAsia="zh-CN"/>
        </w:rPr>
        <w:t>（202601</w:t>
      </w:r>
      <w:r>
        <w:rPr>
          <w:rFonts w:hint="eastAsia" w:ascii="Calibri" w:hAnsi="Calibri" w:eastAsia="宋体" w:cs="黑体"/>
          <w:b/>
          <w:bCs/>
          <w:color w:val="000000"/>
          <w:sz w:val="24"/>
          <w:highlight w:val="none"/>
          <w:lang w:val="en-US" w:eastAsia="zh-CN"/>
        </w:rPr>
        <w:t>版）</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lang w:val="en-US" w:eastAsia="zh-CN"/>
        </w:rPr>
        <w:t>与对应期次的</w:t>
      </w:r>
      <w:r>
        <w:rPr>
          <w:rFonts w:hint="eastAsia" w:eastAsia="宋体" w:cs="黑体"/>
          <w:b/>
          <w:bCs/>
          <w:color w:val="000000"/>
          <w:sz w:val="24"/>
          <w:highlight w:val="none"/>
          <w:lang w:val="en-US" w:eastAsia="zh-CN"/>
        </w:rPr>
        <w:t>理财计划风险揭示书、理财计划产品说明书、投资者权益须知及</w:t>
      </w:r>
      <w:r>
        <w:rPr>
          <w:rFonts w:hint="eastAsia" w:ascii="Calibri" w:hAnsi="Calibri" w:eastAsia="宋体" w:cs="黑体"/>
          <w:b/>
          <w:bCs/>
          <w:color w:val="000000"/>
          <w:sz w:val="24"/>
          <w:highlight w:val="none"/>
        </w:rPr>
        <w:t>理财计划投资协议书共同构成完整且不可分割的理财计划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。杭银理财有限责任公司（以下简称“杭银理财”）建议投资者在购买理财计划前认真阅读</w:t>
      </w:r>
      <w:r>
        <w:rPr>
          <w:rFonts w:hint="eastAsia" w:ascii="Calibri" w:hAnsi="Calibri" w:eastAsia="宋体" w:cs="黑体"/>
          <w:b/>
          <w:bCs/>
          <w:color w:val="000000"/>
          <w:sz w:val="24"/>
          <w:highlight w:val="none"/>
          <w:lang w:val="en-US" w:eastAsia="zh-CN"/>
        </w:rPr>
        <w:t>全套</w:t>
      </w:r>
      <w:r>
        <w:rPr>
          <w:rFonts w:hint="eastAsia" w:ascii="Calibri" w:hAnsi="Calibri" w:eastAsia="宋体" w:cs="黑体"/>
          <w:b/>
          <w:bCs/>
          <w:color w:val="000000"/>
          <w:sz w:val="24"/>
          <w:highlight w:val="none"/>
        </w:rPr>
        <w:t>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，投资者签署本协议书（含电子渠道签署）即知晓并同意已详细阅读理财计划合同并知悉相关风险，自愿投资购买理财计划、遵守合同约定并承担相应风险。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sz w:val="24"/>
          <w:highlight w:val="none"/>
          <w:lang w:val="en-US" w:eastAsia="zh-CN"/>
        </w:rPr>
      </w:pPr>
      <w:r>
        <w:rPr>
          <w:rFonts w:hint="eastAsia" w:ascii="Calibri" w:hAnsi="Calibri" w:eastAsia="宋体" w:cs="黑体"/>
          <w:b/>
          <w:bCs/>
          <w:color w:val="000000"/>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color w:val="000000"/>
          <w:sz w:val="24"/>
          <w:highlight w:val="none"/>
          <w:lang w:val="en-US" w:eastAsia="zh-CN"/>
        </w:rPr>
        <w:t>理财计划销售的相关法律主体为发行理财计划的理财公司、</w:t>
      </w:r>
      <w:r>
        <w:rPr>
          <w:rFonts w:hint="eastAsia" w:eastAsia="宋体" w:cs="黑体"/>
          <w:color w:val="000000"/>
          <w:sz w:val="24"/>
          <w:highlight w:val="none"/>
          <w:lang w:val="en-US" w:eastAsia="zh-CN"/>
        </w:rPr>
        <w:t>理财公司自有销售渠道以及</w:t>
      </w:r>
      <w:r>
        <w:rPr>
          <w:rFonts w:hint="eastAsia" w:ascii="Calibri" w:hAnsi="Calibri" w:eastAsia="宋体" w:cs="黑体"/>
          <w:color w:val="000000"/>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color w:val="000000"/>
          <w:sz w:val="24"/>
          <w:highlight w:val="none"/>
          <w:lang w:val="en-US" w:eastAsia="zh-CN"/>
        </w:rPr>
        <w:t>理财公司和</w:t>
      </w:r>
      <w:r>
        <w:rPr>
          <w:rFonts w:hint="eastAsia" w:ascii="Calibri" w:hAnsi="Calibri" w:eastAsia="宋体" w:cs="黑体"/>
          <w:color w:val="000000"/>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color w:val="000000"/>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第一条 </w:t>
      </w:r>
      <w:r>
        <w:rPr>
          <w:rFonts w:hint="eastAsia" w:ascii="Calibri" w:hAnsi="Calibri" w:eastAsia="宋体" w:cs="黑体"/>
          <w:b/>
          <w:bCs/>
          <w:color w:val="000000"/>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r>
        <w:rPr>
          <w:rFonts w:hint="eastAsia" w:ascii="Calibri" w:hAnsi="Calibri" w:eastAsia="宋体" w:cs="黑体"/>
          <w:bCs/>
          <w:color w:val="000000"/>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第二条 </w:t>
      </w:r>
      <w:r>
        <w:rPr>
          <w:rFonts w:hint="eastAsia" w:ascii="Calibri" w:hAnsi="Calibri" w:eastAsia="宋体" w:cs="黑体"/>
          <w:b/>
          <w:bCs/>
          <w:color w:val="000000"/>
          <w:sz w:val="24"/>
          <w:highlight w:val="none"/>
          <w:lang w:val="en-US" w:eastAsia="zh-CN"/>
        </w:rPr>
        <w:t>投资者权利与义务</w:t>
      </w:r>
    </w:p>
    <w:p>
      <w:pPr>
        <w:widowControl/>
        <w:numPr>
          <w:ilvl w:val="0"/>
          <w:numId w:val="79"/>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79"/>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投资者保证自身完全了解理财投资的性质，投资所涉及的风险以及自身风险承受能力，在慎重考虑后独立作出交易决定。</w:t>
      </w:r>
    </w:p>
    <w:p>
      <w:pPr>
        <w:widowControl/>
        <w:numPr>
          <w:ilvl w:val="0"/>
          <w:numId w:val="79"/>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b/>
          <w:bCs/>
          <w:color w:val="000000"/>
          <w:sz w:val="24"/>
          <w:highlight w:val="none"/>
        </w:rPr>
        <w:t>投资者购买</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lang w:eastAsia="zh-CN"/>
        </w:rPr>
        <w:t>代理销售</w:t>
      </w:r>
      <w:r>
        <w:rPr>
          <w:rFonts w:hint="eastAsia" w:ascii="宋体" w:hAnsi="宋体" w:eastAsia="宋体" w:cs="黑体"/>
          <w:b/>
          <w:bCs/>
          <w:color w:val="000000"/>
          <w:sz w:val="24"/>
          <w:highlight w:val="none"/>
        </w:rPr>
        <w:t>的私募</w:t>
      </w:r>
      <w:r>
        <w:rPr>
          <w:rFonts w:hint="eastAsia" w:ascii="宋体" w:hAnsi="宋体" w:eastAsia="宋体" w:cs="黑体"/>
          <w:b/>
          <w:bCs/>
          <w:color w:val="000000"/>
          <w:sz w:val="24"/>
          <w:highlight w:val="none"/>
          <w:lang w:eastAsia="zh-CN"/>
        </w:rPr>
        <w:t>理财计划</w:t>
      </w:r>
      <w:r>
        <w:rPr>
          <w:rFonts w:hint="eastAsia" w:ascii="宋体" w:hAnsi="宋体" w:eastAsia="宋体" w:cs="黑体"/>
          <w:b/>
          <w:bCs/>
          <w:color w:val="000000"/>
          <w:sz w:val="24"/>
          <w:highlight w:val="none"/>
        </w:rPr>
        <w:t>后，可以享有24 小时的投资冷静期，在投资冷静期内，如</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改变投资决定，应提出解除相应理财</w:t>
      </w:r>
      <w:r>
        <w:rPr>
          <w:rFonts w:hint="eastAsia" w:ascii="宋体" w:hAnsi="宋体" w:eastAsia="宋体" w:cs="黑体"/>
          <w:b/>
          <w:bCs/>
          <w:color w:val="000000"/>
          <w:sz w:val="24"/>
          <w:highlight w:val="none"/>
          <w:lang w:val="en-US" w:eastAsia="zh-CN"/>
        </w:rPr>
        <w:t>计划合同</w:t>
      </w:r>
      <w:r>
        <w:rPr>
          <w:rFonts w:hint="eastAsia" w:ascii="宋体" w:hAnsi="宋体" w:eastAsia="宋体" w:cs="黑体"/>
          <w:b/>
          <w:bCs/>
          <w:color w:val="000000"/>
          <w:sz w:val="24"/>
          <w:highlight w:val="none"/>
        </w:rPr>
        <w:t>文件申请，</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将及时退还</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的全部投资款项。</w:t>
      </w:r>
      <w:r>
        <w:rPr>
          <w:rFonts w:hint="eastAsia" w:ascii="宋体" w:hAnsi="宋体" w:eastAsia="宋体" w:cs="黑体"/>
          <w:color w:val="000000"/>
          <w:sz w:val="24"/>
          <w:highlight w:val="none"/>
        </w:rPr>
        <w:t>投资冷静期相关约定详见</w:t>
      </w:r>
      <w:r>
        <w:rPr>
          <w:rFonts w:hint="eastAsia" w:ascii="宋体" w:hAnsi="宋体" w:eastAsia="宋体" w:cs="黑体"/>
          <w:color w:val="000000"/>
          <w:sz w:val="24"/>
          <w:highlight w:val="none"/>
          <w:lang w:val="en-US" w:eastAsia="zh-CN"/>
        </w:rPr>
        <w:t>理财计划产品</w:t>
      </w:r>
      <w:r>
        <w:rPr>
          <w:rFonts w:hint="eastAsia" w:ascii="宋体" w:hAnsi="宋体" w:eastAsia="宋体" w:cs="黑体"/>
          <w:color w:val="000000"/>
          <w:sz w:val="24"/>
          <w:highlight w:val="none"/>
        </w:rPr>
        <w:t>说明书</w:t>
      </w:r>
      <w:r>
        <w:rPr>
          <w:rFonts w:hint="eastAsia" w:ascii="宋体" w:hAnsi="宋体" w:eastAsia="宋体" w:cs="黑体"/>
          <w:color w:val="000000"/>
          <w:sz w:val="24"/>
          <w:highlight w:val="none"/>
          <w:lang w:eastAsia="zh-CN"/>
        </w:rPr>
        <w:t>。</w:t>
      </w:r>
    </w:p>
    <w:p>
      <w:pPr>
        <w:widowControl/>
        <w:numPr>
          <w:ilvl w:val="0"/>
          <w:numId w:val="79"/>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投资者保证其有权利签署本协议和履行本协议所述的义务，并已为此采取一切所需的行为。</w:t>
      </w:r>
    </w:p>
    <w:p>
      <w:pPr>
        <w:widowControl/>
        <w:numPr>
          <w:ilvl w:val="0"/>
          <w:numId w:val="79"/>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投资者保证执行及交付任何文件或履行本协议项下的义务，均不会违反任何适用法律、法规、法令或法律限制</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color w:val="000000"/>
          <w:sz w:val="24"/>
          <w:highlight w:val="none"/>
          <w:lang w:val="en-US" w:eastAsia="zh-CN"/>
        </w:rPr>
        <w:t>其</w:t>
      </w:r>
      <w:r>
        <w:rPr>
          <w:rFonts w:hint="eastAsia" w:ascii="宋体" w:hAnsi="宋体" w:eastAsia="宋体" w:cs="黑体"/>
          <w:color w:val="000000"/>
          <w:sz w:val="24"/>
          <w:highlight w:val="none"/>
        </w:rPr>
        <w:t>授权指定</w:t>
      </w:r>
      <w:r>
        <w:rPr>
          <w:rFonts w:hint="eastAsia" w:ascii="宋体" w:hAnsi="宋体" w:eastAsia="宋体" w:cs="黑体"/>
          <w:color w:val="000000"/>
          <w:sz w:val="24"/>
          <w:highlight w:val="none"/>
          <w:lang w:val="en-US" w:eastAsia="zh-CN"/>
        </w:rPr>
        <w:t>的</w:t>
      </w:r>
      <w:r>
        <w:rPr>
          <w:rFonts w:hint="eastAsia" w:ascii="宋体" w:hAnsi="宋体" w:eastAsia="宋体" w:cs="黑体"/>
          <w:color w:val="000000"/>
          <w:sz w:val="24"/>
          <w:highlight w:val="none"/>
        </w:rPr>
        <w:t>账户</w:t>
      </w:r>
      <w:r>
        <w:rPr>
          <w:rFonts w:hint="eastAsia" w:ascii="宋体" w:hAnsi="宋体" w:eastAsia="宋体" w:cs="黑体"/>
          <w:color w:val="000000"/>
          <w:sz w:val="24"/>
          <w:highlight w:val="none"/>
          <w:lang w:val="en-US" w:eastAsia="zh-CN"/>
        </w:rPr>
        <w:t>中（以下简称“授权指定账户”）</w:t>
      </w:r>
      <w:r>
        <w:rPr>
          <w:rFonts w:hint="eastAsia" w:ascii="宋体" w:hAnsi="宋体" w:eastAsia="宋体" w:cs="黑体"/>
          <w:color w:val="000000"/>
          <w:sz w:val="24"/>
          <w:highlight w:val="none"/>
        </w:rPr>
        <w:t>存入足额的资金以确保账户余额大于或等于认/申购金额。</w:t>
      </w:r>
    </w:p>
    <w:p>
      <w:pPr>
        <w:widowControl/>
        <w:numPr>
          <w:ilvl w:val="0"/>
          <w:numId w:val="79"/>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在此确认</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的系统记录以及录音、录像构成对</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操作行为（包括但不限于购买、赎回、撤单）的有效证据，并且在</w:t>
      </w:r>
      <w:r>
        <w:rPr>
          <w:rFonts w:hint="eastAsia" w:ascii="宋体" w:hAnsi="宋体" w:eastAsia="宋体" w:cs="黑体"/>
          <w:b/>
          <w:bCs/>
          <w:color w:val="000000"/>
          <w:sz w:val="24"/>
          <w:highlight w:val="none"/>
          <w:lang w:val="en-US" w:eastAsia="zh-CN"/>
        </w:rPr>
        <w:t>双</w:t>
      </w:r>
      <w:r>
        <w:rPr>
          <w:rFonts w:hint="eastAsia" w:ascii="宋体" w:hAnsi="宋体" w:eastAsia="宋体" w:cs="黑体"/>
          <w:b/>
          <w:bCs/>
          <w:color w:val="000000"/>
          <w:sz w:val="24"/>
          <w:highlight w:val="none"/>
        </w:rPr>
        <w:t>方发生争议时可以作为合法有效的证据使用</w:t>
      </w:r>
      <w:r>
        <w:rPr>
          <w:rFonts w:hint="eastAsia" w:ascii="宋体" w:hAnsi="宋体" w:eastAsia="宋体" w:cs="黑体"/>
          <w:color w:val="000000"/>
          <w:sz w:val="24"/>
          <w:highlight w:val="none"/>
          <w:lang w:eastAsia="zh-CN"/>
        </w:rPr>
        <w:t>。</w:t>
      </w:r>
    </w:p>
    <w:p>
      <w:pPr>
        <w:widowControl/>
        <w:numPr>
          <w:ilvl w:val="0"/>
          <w:numId w:val="79"/>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由此产生的后果由投资者自行承担；但因销售机构故意或重大过失造成投资者损失的，销售机构仍应依法承担相应责任。 </w:t>
      </w:r>
    </w:p>
    <w:p>
      <w:pPr>
        <w:widowControl/>
        <w:numPr>
          <w:ilvl w:val="0"/>
          <w:numId w:val="79"/>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在本理财计划存续期内，如有权机关要求销售机构配合对投资者理财份额、理财账户、授权指定账户进行查封、冻结或扣划的，销售机构有权根据实际情况依法采取相应措施。因配合有权机关依法采取前述措施产生的后果，销售机构不承担责任；但因销售机构故意或重大过失造成投资者损失的，销售机构仍应依法承担相应责任。 </w:t>
      </w:r>
    </w:p>
    <w:p>
      <w:pPr>
        <w:widowControl/>
        <w:numPr>
          <w:ilvl w:val="0"/>
          <w:numId w:val="79"/>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本协议终止前，投资者不得将授权指定账户销户。若发生因投资者注销授权指定账户造成理财计划无法正常兑付的，由此产生的后果由投资者自行承担；但因销售机构故意或重大过失造成投资者损失的，销售机构仍应依法承担相应责任。</w:t>
      </w:r>
    </w:p>
    <w:p>
      <w:pPr>
        <w:widowControl/>
        <w:numPr>
          <w:ilvl w:val="0"/>
          <w:numId w:val="79"/>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投资者应确保其提供的所有资料真实、完整、合法、有效，如果有任何变更，投资者应及时通知销售机构并办理变更手续。如因投资者未及时通知销售机构并办理相应的变更手续，由此导致的后果由投资者自行承担；但因销售机构故意或重大过失造成投资者损失的，销售机构仍应依法承担相应责任。 </w:t>
      </w:r>
    </w:p>
    <w:p>
      <w:pPr>
        <w:widowControl/>
        <w:numPr>
          <w:ilvl w:val="0"/>
          <w:numId w:val="79"/>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lang w:val="en-US" w:eastAsia="zh-CN"/>
        </w:rPr>
        <w:t>投资者对因签署、履行本协议所知悉且销售机构已明确提示属于保密范围的销售机构业务资料及非公开信息负有保密义务，未经销售机构书面许可，不得向任何组织、个人提供或泄露，但法律、法规另有规定的除外。</w:t>
      </w:r>
    </w:p>
    <w:p>
      <w:pPr>
        <w:widowControl/>
        <w:numPr>
          <w:ilvl w:val="0"/>
          <w:numId w:val="79"/>
        </w:numPr>
        <w:spacing w:line="360" w:lineRule="auto"/>
        <w:ind w:left="0" w:leftChars="0" w:firstLine="420" w:firstLineChars="0"/>
        <w:contextualSpacing/>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rPr>
        <w:t>投资者进行投资时，应严格遵守反洗钱相关法规的规定，切实履行反洗钱及反恐怖融资义务。</w:t>
      </w:r>
    </w:p>
    <w:p>
      <w:pPr>
        <w:widowControl/>
        <w:numPr>
          <w:ilvl w:val="0"/>
          <w:numId w:val="79"/>
        </w:numPr>
        <w:spacing w:line="360" w:lineRule="auto"/>
        <w:ind w:left="0" w:leftChars="0" w:firstLine="420" w:firstLineChars="0"/>
        <w:contextualSpacing/>
        <w:outlineLvl w:val="9"/>
        <w:rPr>
          <w:rFonts w:hint="eastAsia" w:ascii="宋体" w:hAnsi="宋体" w:eastAsia="宋体" w:cs="黑体"/>
          <w:b/>
          <w:bCs/>
          <w:sz w:val="24"/>
          <w:highlight w:val="none"/>
          <w:lang w:val="en-US" w:eastAsia="zh-CN"/>
        </w:rPr>
      </w:pPr>
      <w:r>
        <w:rPr>
          <w:rFonts w:hint="eastAsia" w:ascii="宋体" w:hAnsi="宋体" w:eastAsia="宋体" w:cs="黑体"/>
          <w:b/>
          <w:bCs/>
          <w:color w:val="000000"/>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sz w:val="24"/>
          <w:highlight w:val="none"/>
          <w:lang w:val="en-US" w:eastAsia="zh-CN"/>
        </w:rPr>
      </w:pPr>
      <w:r>
        <w:rPr>
          <w:rFonts w:hint="eastAsia" w:ascii="宋体" w:hAnsi="宋体" w:eastAsia="宋体" w:cs="黑体"/>
          <w:b/>
          <w:bCs/>
          <w:color w:val="000000"/>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按照合法、正当、必要原则收集、存储、使用、加工、传输投资者个人信息，处理范围限于实现前述目的所必需的信息，包括个人身份信息、联络方式、财产信息、账户信息、风险偏好与投资目标及法律法规规定的其他必要信息。</w:t>
      </w:r>
    </w:p>
    <w:p>
      <w:pPr>
        <w:widowControl/>
        <w:numPr>
          <w:ilvl w:val="0"/>
          <w:numId w:val="79"/>
        </w:numPr>
        <w:spacing w:line="360" w:lineRule="auto"/>
        <w:ind w:left="0" w:leftChars="0" w:firstLine="420" w:firstLineChars="0"/>
        <w:contextualSpacing/>
        <w:outlineLvl w:val="9"/>
        <w:rPr>
          <w:rFonts w:hint="eastAsia" w:ascii="宋体" w:hAnsi="宋体" w:eastAsia="宋体" w:cs="黑体"/>
          <w:b/>
          <w:bCs/>
          <w:sz w:val="24"/>
          <w:highlight w:val="none"/>
          <w:lang w:val="en-US" w:eastAsia="zh-CN"/>
        </w:rPr>
      </w:pPr>
      <w:r>
        <w:rPr>
          <w:rFonts w:hint="eastAsia" w:ascii="宋体" w:hAnsi="宋体" w:eastAsia="宋体" w:cs="黑体"/>
          <w:b/>
          <w:bCs/>
          <w:color w:val="000000"/>
          <w:sz w:val="24"/>
          <w:highlight w:val="none"/>
          <w:lang w:val="en-US" w:eastAsia="zh-CN"/>
        </w:rPr>
        <w:t>投</w:t>
      </w:r>
      <w:r>
        <w:rPr>
          <w:rFonts w:hint="eastAsia" w:ascii="宋体" w:hAnsi="宋体"/>
          <w:b/>
          <w:bCs/>
          <w:color w:val="000000"/>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第三条 </w:t>
      </w:r>
      <w:r>
        <w:rPr>
          <w:rFonts w:hint="eastAsia" w:ascii="Calibri" w:hAnsi="Calibri" w:eastAsia="宋体" w:cs="黑体"/>
          <w:b/>
          <w:bCs/>
          <w:color w:val="000000"/>
          <w:sz w:val="24"/>
          <w:highlight w:val="none"/>
          <w:lang w:val="en-US" w:eastAsia="zh-CN"/>
        </w:rPr>
        <w:t>销售机构的权利与义务</w:t>
      </w:r>
    </w:p>
    <w:p>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b/>
          <w:bCs/>
          <w:color w:val="000000"/>
          <w:sz w:val="24"/>
          <w:highlight w:val="none"/>
          <w:lang w:val="en-US" w:eastAsia="zh-CN"/>
        </w:rPr>
        <w:t>代理销售机构非本计划的发行、管理机构，对本计划的业绩不承担任何保证和其他经济责任，不承担本计划的投资和兑付管理责任</w:t>
      </w:r>
      <w:r>
        <w:rPr>
          <w:rFonts w:hint="eastAsia" w:ascii="宋体" w:hAnsi="宋体" w:eastAsia="宋体" w:cs="黑体"/>
          <w:color w:val="000000"/>
          <w:sz w:val="24"/>
          <w:highlight w:val="none"/>
          <w:lang w:val="en-US" w:eastAsia="zh-CN"/>
        </w:rPr>
        <w:t>。</w:t>
      </w:r>
    </w:p>
    <w:p>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销售机构应定期对购买其代理销售的理财计划的普通投资者进行有效风险承受能力评估，并保证向投资者推介及销售与其风险承受能力匹配的产品。</w:t>
      </w:r>
    </w:p>
    <w:p>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销售机构对投资者负有信息保密义务，未经投资者书面许可，销售机构不得向任何组织、个人提供或泄露与投资者有关的业务资料及信息，但法律、法规、监管机构另有规定的除外。</w:t>
      </w:r>
    </w:p>
    <w:p>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第四条 </w:t>
      </w:r>
      <w:r>
        <w:rPr>
          <w:rFonts w:hint="eastAsia" w:ascii="Calibri" w:hAnsi="Calibri" w:eastAsia="宋体" w:cs="黑体"/>
          <w:b/>
          <w:bCs/>
          <w:color w:val="000000"/>
          <w:sz w:val="24"/>
          <w:highlight w:val="none"/>
          <w:lang w:val="en-US" w:eastAsia="zh-CN"/>
        </w:rPr>
        <w:t>理财计划认（申）购、赎回及终止</w:t>
      </w:r>
    </w:p>
    <w:p>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理财计划认/申购办理流程：参照投资者权益须知约定。 </w:t>
      </w:r>
    </w:p>
    <w:p>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理财计划认/申购确认：管理人根据</w:t>
      </w:r>
      <w:r>
        <w:rPr>
          <w:rFonts w:hint="eastAsia" w:ascii="宋体" w:hAnsi="宋体" w:eastAsia="宋体" w:cs="黑体"/>
          <w:color w:val="000000"/>
          <w:sz w:val="24"/>
          <w:highlight w:val="none"/>
          <w:lang w:eastAsia="zh-CN"/>
        </w:rPr>
        <w:t>销售</w:t>
      </w:r>
      <w:r>
        <w:rPr>
          <w:rFonts w:hint="eastAsia" w:ascii="宋体" w:hAnsi="宋体" w:eastAsia="宋体" w:cs="黑体"/>
          <w:color w:val="000000"/>
          <w:sz w:val="24"/>
          <w:highlight w:val="none"/>
        </w:rPr>
        <w:t>渠道提供的交易信息及资金划付对投资者相应认/申购进行确认。</w:t>
      </w:r>
    </w:p>
    <w:p>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理财计划赎回/终止兑付：在正常情况下，管理人和</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产品说明书约定管理人对理财计划进行延期或转换时，</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将于原约定清算日前通过信息披露途径及时通知，并根据实际情况进行后续处理。</w:t>
      </w:r>
    </w:p>
    <w:p>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rPr>
        <w:t>资金清算：理财计划终止或份额赎回时，管理人按理财计划合同约定划付至</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清算账户后，由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向投资者划付投资者应得资金。如因投资者清算账户余额不足，或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未及时足额划付资金，或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清算账户内资金被依法冻结或扣划，或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清算账户处于被挂失、冻结、注销或其他非正常状态等原因而导致交易失败</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对于因上述原因导致的交易失败可能带来的任何损失及预期损失，投资者须自行承担或向</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leftChars="85" w:firstLine="0" w:firstLineChars="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第五条 </w:t>
      </w:r>
      <w:r>
        <w:rPr>
          <w:rFonts w:hint="eastAsia" w:ascii="Calibri" w:hAnsi="Calibri" w:eastAsia="宋体" w:cs="黑体"/>
          <w:b/>
          <w:bCs/>
          <w:color w:val="000000"/>
          <w:sz w:val="24"/>
          <w:highlight w:val="none"/>
          <w:lang w:val="en-US" w:eastAsia="zh-CN"/>
        </w:rPr>
        <w:t>违约责任及免责条款</w:t>
      </w:r>
    </w:p>
    <w:p>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若因投资者原因导致司法或行政等有权机关采取强制措施对其理财本金、收益进行部分或全部扣划的，管理人或销售机构有权根据产品运作和法律法规要求对相应理财份额办理部分或全部提前终止或采取其他必要处置措施，本协议相应终止。因前述情形产生的损失及相关费用由投资者承担；理财收益按照实际运作情况计算和分配，不计付存款利息。</w:t>
      </w:r>
    </w:p>
    <w:p>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投资者违反本协议第二条内容，应承担相应违约责任。销售机构对由此导致的理财业务交易延误、中断、终止及投资者损失不承担任何责任，并有权终止双方理财业务关系。因</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违反双方约定给</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或全体投资者造成损失的，</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应承担相应的赔偿责任。</w:t>
      </w:r>
    </w:p>
    <w:p>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若由于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过错导致理财计划资产发生损失，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应按其过错承担赔偿责任，</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赔偿的款项计入理财计划的资产和收益。</w:t>
      </w:r>
    </w:p>
    <w:p>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由于地震、火灾、战争等不可抗力或突发重大卫生公共事件等不可预测事件造成的交易中断、延误等风险及损失，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不承担责任；但</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应在上述情况发生</w:t>
      </w:r>
      <w:r>
        <w:rPr>
          <w:rFonts w:hint="eastAsia" w:ascii="宋体" w:hAnsi="宋体" w:eastAsia="宋体" w:cs="黑体"/>
          <w:color w:val="000000"/>
          <w:sz w:val="24"/>
          <w:highlight w:val="none"/>
          <w:lang w:eastAsia="zh-CN"/>
        </w:rPr>
        <w:t>后</w:t>
      </w:r>
      <w:r>
        <w:rPr>
          <w:rFonts w:hint="eastAsia" w:ascii="宋体" w:hAnsi="宋体" w:eastAsia="宋体" w:cs="黑体"/>
          <w:color w:val="000000"/>
          <w:sz w:val="24"/>
          <w:highlight w:val="none"/>
        </w:rPr>
        <w:t>在条件允许时及时通知</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并采取一切必要且可能的措施阻止损失扩大。</w:t>
      </w:r>
    </w:p>
    <w:p>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因国家有关法律、法规、规章、政策的修改或新的法律、法规、规章、政策颁布以及紧急措施的出台导致的风险及损失，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第六条 </w:t>
      </w:r>
      <w:r>
        <w:rPr>
          <w:rFonts w:hint="eastAsia" w:ascii="Calibri" w:hAnsi="Calibri" w:eastAsia="宋体" w:cs="黑体"/>
          <w:b/>
          <w:bCs/>
          <w:color w:val="000000"/>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任何一方均有权向被告住所地有管辖权的人民法院提起诉讼。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第七条 </w:t>
      </w:r>
      <w:r>
        <w:rPr>
          <w:rFonts w:hint="eastAsia" w:ascii="Calibri" w:hAnsi="Calibri" w:eastAsia="宋体" w:cs="黑体"/>
          <w:b/>
          <w:bCs/>
          <w:color w:val="000000"/>
          <w:sz w:val="24"/>
          <w:highlight w:val="none"/>
          <w:lang w:val="en-US" w:eastAsia="zh-CN"/>
        </w:rPr>
        <w:t>协议生效和终止</w:t>
      </w:r>
    </w:p>
    <w:p>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 xml:space="preserve">双方认可本协议可以纸质或电子数据等形式提交、订立或确认。 </w:t>
      </w:r>
    </w:p>
    <w:p>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本协议书</w:t>
      </w:r>
      <w:r>
        <w:rPr>
          <w:rFonts w:hint="eastAsia" w:ascii="宋体" w:hAnsi="宋体"/>
          <w:color w:val="000000"/>
          <w:sz w:val="24"/>
          <w:highlight w:val="none"/>
        </w:rPr>
        <w:t>以纸质书面形式订立的，自投资者签</w:t>
      </w:r>
      <w:r>
        <w:rPr>
          <w:rFonts w:hint="eastAsia" w:ascii="宋体" w:hAnsi="宋体"/>
          <w:color w:val="000000"/>
          <w:sz w:val="24"/>
          <w:highlight w:val="none"/>
          <w:lang w:val="en-US" w:eastAsia="zh-CN"/>
        </w:rPr>
        <w:t>署（如投资者为个人，应签字；如投资者为机构，应法定代表人或授权代理人签字或盖章并加盖公章或有效授权印章）</w:t>
      </w:r>
      <w:r>
        <w:rPr>
          <w:rFonts w:hint="eastAsia" w:ascii="宋体" w:hAnsi="宋体"/>
          <w:color w:val="000000"/>
          <w:sz w:val="24"/>
          <w:highlight w:val="none"/>
        </w:rPr>
        <w:t>和</w:t>
      </w:r>
      <w:r>
        <w:rPr>
          <w:rFonts w:hint="eastAsia" w:ascii="宋体" w:hAnsi="宋体"/>
          <w:color w:val="000000"/>
          <w:sz w:val="24"/>
          <w:highlight w:val="none"/>
          <w:lang w:eastAsia="zh-CN"/>
        </w:rPr>
        <w:t>销售机构</w:t>
      </w:r>
      <w:r>
        <w:rPr>
          <w:rFonts w:hint="eastAsia" w:ascii="宋体" w:hAnsi="宋体"/>
          <w:color w:val="000000"/>
          <w:sz w:val="24"/>
          <w:highlight w:val="none"/>
        </w:rPr>
        <w:t>签章之后立即生效。协议一式叁份，投资者、管理人和</w:t>
      </w:r>
      <w:r>
        <w:rPr>
          <w:rFonts w:hint="eastAsia" w:ascii="宋体" w:hAnsi="宋体"/>
          <w:color w:val="000000"/>
          <w:sz w:val="24"/>
          <w:highlight w:val="none"/>
          <w:lang w:eastAsia="zh-CN"/>
        </w:rPr>
        <w:t>销售机构</w:t>
      </w:r>
      <w:r>
        <w:rPr>
          <w:rFonts w:hint="eastAsia" w:ascii="宋体" w:hAnsi="宋体"/>
          <w:color w:val="000000"/>
          <w:sz w:val="24"/>
          <w:highlight w:val="none"/>
        </w:rPr>
        <w:t>各执壹份，具有同等法律效力。</w:t>
      </w:r>
    </w:p>
    <w:p>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rPr>
        <w:t>本协议书以数据电文形式订立的，投资者在销售机构的电子银行渠道（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val="0"/>
          <w:sz w:val="24"/>
          <w:highlight w:val="none"/>
          <w:lang w:val="en-US" w:eastAsia="zh-CN"/>
        </w:rPr>
      </w:pPr>
      <w:r>
        <w:rPr>
          <w:rFonts w:hint="eastAsia" w:eastAsia="宋体" w:cs="黑体"/>
          <w:b/>
          <w:bCs w:val="0"/>
          <w:color w:val="000000"/>
          <w:sz w:val="24"/>
          <w:highlight w:val="none"/>
          <w:lang w:val="en-US" w:eastAsia="zh-CN"/>
        </w:rPr>
        <w:t xml:space="preserve">第八条 </w:t>
      </w:r>
      <w:r>
        <w:rPr>
          <w:rFonts w:hint="eastAsia" w:ascii="Calibri" w:hAnsi="Calibri" w:eastAsia="宋体" w:cs="黑体"/>
          <w:b/>
          <w:bCs w:val="0"/>
          <w:color w:val="000000"/>
          <w:sz w:val="24"/>
          <w:highlight w:val="none"/>
          <w:lang w:val="en-US" w:eastAsia="zh-CN"/>
        </w:rPr>
        <w:t xml:space="preserve">附则 </w:t>
      </w:r>
    </w:p>
    <w:p>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如果投资者与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之间存在多份理财计划</w:t>
      </w:r>
      <w:r>
        <w:rPr>
          <w:rFonts w:hint="eastAsia" w:ascii="宋体" w:hAnsi="宋体" w:eastAsia="宋体" w:cs="黑体"/>
          <w:color w:val="000000"/>
          <w:sz w:val="24"/>
          <w:highlight w:val="none"/>
          <w:lang w:val="en-US" w:eastAsia="zh-CN"/>
        </w:rPr>
        <w:t>销售</w:t>
      </w:r>
      <w:r>
        <w:rPr>
          <w:rFonts w:hint="eastAsia" w:ascii="宋体" w:hAnsi="宋体" w:eastAsia="宋体" w:cs="黑体"/>
          <w:color w:val="000000"/>
          <w:sz w:val="24"/>
          <w:highlight w:val="none"/>
        </w:rPr>
        <w:t>协议书，则每一协议书分别与其所对应的</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在理财计划存续期内，如因监管政策或法律法规发生变化，在不损害投资者利益的前提下，管理人有权对理财计划合同销售文件进行修订。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widowControl/>
        <w:spacing w:line="360" w:lineRule="auto"/>
        <w:jc w:val="right"/>
        <w:rPr>
          <w:rFonts w:hint="eastAsia" w:ascii="宋体" w:hAnsi="宋体" w:eastAsia="宋体" w:cs="黑体"/>
          <w:b w:val="0"/>
          <w:bCs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杭银理财有限责任公司</w:t>
      </w:r>
    </w:p>
    <w:p>
      <w:pPr>
        <w:rPr>
          <w:rFonts w:hint="eastAsia" w:ascii="宋体" w:hAnsi="宋体" w:eastAsia="宋体" w:cs="黑体"/>
          <w:b w:val="0"/>
          <w:bCs w:val="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br w:type="page"/>
      </w:r>
    </w:p>
    <w:p>
      <w:pPr>
        <w:rPr>
          <w:rFonts w:hint="default" w:ascii="宋体" w:hAnsi="宋体" w:eastAsia="宋体" w:cs="黑体"/>
          <w:b w:val="0"/>
          <w:bCs w:val="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t>本页为</w:t>
      </w:r>
      <w:r>
        <w:rPr>
          <w:rFonts w:hint="eastAsia" w:ascii="宋体" w:hAnsi="宋体" w:eastAsia="宋体" w:cs="黑体"/>
          <w:b w:val="0"/>
          <w:bCs w:val="0"/>
          <w:color w:val="000000"/>
          <w:sz w:val="24"/>
          <w:szCs w:val="24"/>
          <w:highlight w:val="none"/>
        </w:rPr>
        <w:t>纸质</w:t>
      </w:r>
      <w:r>
        <w:rPr>
          <w:rFonts w:hint="eastAsia" w:ascii="宋体" w:hAnsi="宋体" w:eastAsia="宋体" w:cs="黑体"/>
          <w:b w:val="0"/>
          <w:bCs w:val="0"/>
          <w:color w:val="00000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r>
        <w:rPr>
          <w:rFonts w:hint="eastAsia" w:ascii="宋体" w:hAnsi="宋体" w:eastAsia="宋体" w:cs="黑体"/>
          <w:b/>
          <w:bCs/>
          <w:color w:val="000000"/>
          <w:sz w:val="24"/>
          <w:highlight w:val="none"/>
        </w:rPr>
        <w:t>投资者</w:t>
      </w:r>
      <w:r>
        <w:rPr>
          <w:rFonts w:hint="eastAsia" w:ascii="宋体" w:hAnsi="宋体" w:eastAsia="宋体" w:cs="黑体"/>
          <w:b/>
          <w:bCs/>
          <w:color w:val="000000"/>
          <w:sz w:val="24"/>
          <w:highlight w:val="none"/>
          <w:lang w:eastAsia="zh-CN"/>
        </w:rPr>
        <w:t>（</w:t>
      </w:r>
      <w:r>
        <w:rPr>
          <w:rFonts w:hint="eastAsia" w:ascii="宋体" w:hAnsi="宋体" w:eastAsia="宋体" w:cs="黑体"/>
          <w:b/>
          <w:bCs/>
          <w:color w:val="000000"/>
          <w:sz w:val="24"/>
          <w:highlight w:val="none"/>
        </w:rPr>
        <w:t>签字</w:t>
      </w:r>
      <w:r>
        <w:rPr>
          <w:rFonts w:hint="eastAsia" w:ascii="宋体" w:hAnsi="宋体" w:eastAsia="宋体" w:cs="黑体"/>
          <w:b/>
          <w:bCs/>
          <w:color w:val="000000"/>
          <w:sz w:val="24"/>
          <w:highlight w:val="none"/>
          <w:lang w:eastAsia="zh-CN"/>
        </w:rPr>
        <w:t>或签章）</w:t>
      </w:r>
      <w:r>
        <w:rPr>
          <w:rFonts w:hint="eastAsia" w:ascii="宋体" w:hAnsi="宋体" w:eastAsia="宋体" w:cs="黑体"/>
          <w:b/>
          <w:bCs/>
          <w:color w:val="000000"/>
          <w:sz w:val="24"/>
          <w:szCs w:val="24"/>
          <w:highlight w:val="none"/>
          <w:lang w:eastAsia="zh-CN"/>
        </w:rPr>
        <w:t>：</w:t>
      </w: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color w:val="000000"/>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r>
        <w:rPr>
          <w:rFonts w:hint="eastAsia" w:ascii="宋体" w:hAnsi="宋体" w:eastAsia="宋体" w:cs="黑体"/>
          <w:b/>
          <w:bCs/>
          <w:color w:val="000000"/>
          <w:sz w:val="24"/>
          <w:highlight w:val="none"/>
        </w:rPr>
        <w:t>销售机构签章</w:t>
      </w:r>
      <w:r>
        <w:rPr>
          <w:rFonts w:hint="eastAsia" w:ascii="宋体" w:hAnsi="宋体" w:eastAsia="宋体" w:cs="黑体"/>
          <w:b/>
          <w:bCs/>
          <w:color w:val="000000"/>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spacing w:before="156" w:beforeLines="50" w:after="156" w:afterLines="50" w:line="360" w:lineRule="auto"/>
        <w:ind w:firstLine="4800" w:firstLineChars="2000"/>
        <w:jc w:val="right"/>
        <w:rPr>
          <w:rFonts w:ascii="宋体" w:hAnsi="宋体" w:cs="宋体"/>
          <w:bCs/>
          <w:color w:val="000000"/>
          <w:sz w:val="24"/>
        </w:rPr>
      </w:pPr>
      <w:r>
        <w:rPr>
          <w:rFonts w:hint="eastAsia" w:ascii="Arial" w:hAnsi="Arial"/>
          <w:color w:val="000000"/>
          <w:sz w:val="24"/>
          <w:highlight w:val="none"/>
        </w:rPr>
        <w:t xml:space="preserve">   年   月   日</w:t>
      </w:r>
    </w:p>
    <w:p>
      <w:pPr>
        <w:spacing w:before="156" w:beforeLines="50" w:after="156" w:afterLines="50" w:line="360" w:lineRule="auto"/>
        <w:ind w:firstLine="0" w:firstLineChars="0"/>
        <w:jc w:val="cente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color w:val="000000"/>
      </w:rPr>
    </w:lvl>
  </w:abstractNum>
  <w:abstractNum w:abstractNumId="1">
    <w:nsid w:val="830DBA53"/>
    <w:multiLevelType w:val="singleLevel"/>
    <w:tmpl w:val="830DBA53"/>
    <w:lvl w:ilvl="0" w:tentative="0">
      <w:start w:val="1"/>
      <w:numFmt w:val="chineseCounting"/>
      <w:suff w:val="nothing"/>
      <w:lvlText w:val="（%1）"/>
      <w:lvlJc w:val="left"/>
      <w:pPr>
        <w:ind w:left="0" w:firstLine="420"/>
      </w:pPr>
      <w:rPr>
        <w:rFonts w:hint="eastAsia"/>
        <w:color w:val="000000"/>
      </w:rPr>
    </w:lvl>
  </w:abstractNum>
  <w:abstractNum w:abstractNumId="2">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3">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4">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5">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6">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7">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8">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9">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11">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2">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3">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4">
    <w:nsid w:val="AC40BB97"/>
    <w:multiLevelType w:val="singleLevel"/>
    <w:tmpl w:val="AC40BB97"/>
    <w:lvl w:ilvl="0" w:tentative="0">
      <w:start w:val="1"/>
      <w:numFmt w:val="chineseCounting"/>
      <w:suff w:val="nothing"/>
      <w:lvlText w:val="%1、"/>
      <w:lvlJc w:val="left"/>
      <w:rPr>
        <w:rFonts w:hint="eastAsia"/>
        <w:color w:val="000000"/>
      </w:rPr>
    </w:lvl>
  </w:abstractNum>
  <w:abstractNum w:abstractNumId="15">
    <w:nsid w:val="AF5FAE6B"/>
    <w:multiLevelType w:val="singleLevel"/>
    <w:tmpl w:val="AF5FAE6B"/>
    <w:lvl w:ilvl="0" w:tentative="0">
      <w:start w:val="1"/>
      <w:numFmt w:val="chineseCounting"/>
      <w:suff w:val="nothing"/>
      <w:lvlText w:val="（%1）"/>
      <w:lvlJc w:val="left"/>
      <w:pPr>
        <w:ind w:left="0" w:firstLine="420"/>
      </w:pPr>
      <w:rPr>
        <w:rFonts w:hint="eastAsia"/>
        <w:color w:val="000000"/>
      </w:rPr>
    </w:lvl>
  </w:abstractNum>
  <w:abstractNum w:abstractNumId="16">
    <w:nsid w:val="B08226EF"/>
    <w:multiLevelType w:val="singleLevel"/>
    <w:tmpl w:val="B08226EF"/>
    <w:lvl w:ilvl="0" w:tentative="0">
      <w:start w:val="1"/>
      <w:numFmt w:val="chineseCounting"/>
      <w:suff w:val="space"/>
      <w:lvlText w:val="第%1条"/>
      <w:lvlJc w:val="left"/>
      <w:rPr>
        <w:rFonts w:hint="eastAsia"/>
        <w:color w:val="000000"/>
      </w:rPr>
    </w:lvl>
  </w:abstractNum>
  <w:abstractNum w:abstractNumId="17">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8">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19">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20">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21">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22">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23">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24">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5">
    <w:nsid w:val="E20DF07A"/>
    <w:multiLevelType w:val="singleLevel"/>
    <w:tmpl w:val="E20DF07A"/>
    <w:lvl w:ilvl="0" w:tentative="0">
      <w:start w:val="1"/>
      <w:numFmt w:val="chineseCounting"/>
      <w:suff w:val="nothing"/>
      <w:lvlText w:val="（%1）"/>
      <w:lvlJc w:val="left"/>
      <w:pPr>
        <w:ind w:left="0" w:firstLine="420"/>
      </w:pPr>
      <w:rPr>
        <w:rFonts w:hint="eastAsia"/>
        <w:b/>
        <w:bCs/>
        <w:color w:val="000000"/>
      </w:rPr>
    </w:lvl>
  </w:abstractNum>
  <w:abstractNum w:abstractNumId="26">
    <w:nsid w:val="E70DF796"/>
    <w:multiLevelType w:val="singleLevel"/>
    <w:tmpl w:val="E70DF796"/>
    <w:lvl w:ilvl="0" w:tentative="0">
      <w:start w:val="1"/>
      <w:numFmt w:val="decimal"/>
      <w:suff w:val="nothing"/>
      <w:lvlText w:val="（%1）"/>
      <w:lvlJc w:val="left"/>
      <w:rPr>
        <w:color w:val="000000"/>
      </w:rPr>
    </w:lvl>
  </w:abstractNum>
  <w:abstractNum w:abstractNumId="27">
    <w:nsid w:val="EFEDF2DA"/>
    <w:multiLevelType w:val="multilevel"/>
    <w:tmpl w:val="EFEDF2DA"/>
    <w:lvl w:ilvl="0" w:tentative="0">
      <w:start w:val="1"/>
      <w:numFmt w:val="chineseCounting"/>
      <w:suff w:val="nothing"/>
      <w:lvlText w:val="（%1）"/>
      <w:lvlJc w:val="left"/>
      <w:pPr>
        <w:ind w:left="0" w:firstLine="420"/>
      </w:pPr>
      <w:rPr>
        <w:rFonts w:hint="eastAsia" w:ascii="宋体" w:hAnsi="宋体" w:eastAsia="宋体" w:cs="宋体"/>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8">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29">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0">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31">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32">
    <w:nsid w:val="F574F5B6"/>
    <w:multiLevelType w:val="singleLevel"/>
    <w:tmpl w:val="F574F5B6"/>
    <w:lvl w:ilvl="0" w:tentative="0">
      <w:start w:val="1"/>
      <w:numFmt w:val="decimal"/>
      <w:suff w:val="nothing"/>
      <w:lvlText w:val="（%1）"/>
      <w:lvlJc w:val="left"/>
      <w:rPr>
        <w:color w:val="000000"/>
      </w:rPr>
    </w:lvl>
  </w:abstractNum>
  <w:abstractNum w:abstractNumId="33">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34">
    <w:nsid w:val="FBBA18C3"/>
    <w:multiLevelType w:val="singleLevel"/>
    <w:tmpl w:val="FBBA18C3"/>
    <w:lvl w:ilvl="0" w:tentative="0">
      <w:start w:val="1"/>
      <w:numFmt w:val="decimal"/>
      <w:lvlText w:val="%1."/>
      <w:lvlJc w:val="left"/>
      <w:pPr>
        <w:tabs>
          <w:tab w:val="left" w:pos="312"/>
        </w:tabs>
      </w:pPr>
      <w:rPr>
        <w:rFonts w:hint="default"/>
        <w:b w:val="0"/>
        <w:bCs w:val="0"/>
        <w:color w:val="000000"/>
        <w:highlight w:val="none"/>
      </w:rPr>
    </w:lvl>
  </w:abstractNum>
  <w:abstractNum w:abstractNumId="35">
    <w:nsid w:val="FBF78543"/>
    <w:multiLevelType w:val="multilevel"/>
    <w:tmpl w:val="FBF78543"/>
    <w:lvl w:ilvl="0" w:tentative="0">
      <w:start w:val="1"/>
      <w:numFmt w:val="decimal"/>
      <w:suff w:val="nothing"/>
      <w:lvlText w:val="%1．"/>
      <w:lvlJc w:val="left"/>
      <w:pPr>
        <w:ind w:left="0" w:firstLine="40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7">
    <w:nsid w:val="084A6179"/>
    <w:multiLevelType w:val="singleLevel"/>
    <w:tmpl w:val="084A6179"/>
    <w:lvl w:ilvl="0" w:tentative="0">
      <w:start w:val="1"/>
      <w:numFmt w:val="decimal"/>
      <w:suff w:val="nothing"/>
      <w:lvlText w:val="（%1）"/>
      <w:lvlJc w:val="left"/>
      <w:rPr>
        <w:rFonts w:hint="default"/>
        <w:highlight w:val="none"/>
      </w:rPr>
    </w:lvl>
  </w:abstractNum>
  <w:abstractNum w:abstractNumId="38">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9">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0">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41">
    <w:nsid w:val="167B0BB4"/>
    <w:multiLevelType w:val="singleLevel"/>
    <w:tmpl w:val="167B0BB4"/>
    <w:lvl w:ilvl="0" w:tentative="0">
      <w:start w:val="1"/>
      <w:numFmt w:val="decimal"/>
      <w:suff w:val="nothing"/>
      <w:lvlText w:val="（%1）"/>
      <w:lvlJc w:val="left"/>
    </w:lvl>
  </w:abstractNum>
  <w:abstractNum w:abstractNumId="42">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43">
    <w:nsid w:val="197A43F5"/>
    <w:multiLevelType w:val="singleLevel"/>
    <w:tmpl w:val="197A43F5"/>
    <w:lvl w:ilvl="0" w:tentative="0">
      <w:start w:val="3"/>
      <w:numFmt w:val="chineseCounting"/>
      <w:suff w:val="nothing"/>
      <w:lvlText w:val="（%1）"/>
      <w:lvlJc w:val="left"/>
      <w:pPr>
        <w:ind w:left="0" w:firstLine="420"/>
      </w:pPr>
      <w:rPr>
        <w:rFonts w:hint="eastAsia"/>
        <w:color w:val="000000"/>
      </w:rPr>
    </w:lvl>
  </w:abstractNum>
  <w:abstractNum w:abstractNumId="44">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45">
    <w:nsid w:val="2A987C4E"/>
    <w:multiLevelType w:val="singleLevel"/>
    <w:tmpl w:val="2A987C4E"/>
    <w:lvl w:ilvl="0" w:tentative="0">
      <w:start w:val="5"/>
      <w:numFmt w:val="decimal"/>
      <w:suff w:val="nothing"/>
      <w:lvlText w:val="%1．"/>
      <w:lvlJc w:val="left"/>
      <w:pPr>
        <w:ind w:left="0" w:firstLine="403"/>
      </w:pPr>
      <w:rPr>
        <w:rFonts w:hint="default"/>
        <w:color w:val="000000"/>
      </w:rPr>
    </w:lvl>
  </w:abstractNum>
  <w:abstractNum w:abstractNumId="46">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47">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8">
    <w:nsid w:val="3C550B14"/>
    <w:multiLevelType w:val="singleLevel"/>
    <w:tmpl w:val="3C550B14"/>
    <w:lvl w:ilvl="0" w:tentative="0">
      <w:start w:val="1"/>
      <w:numFmt w:val="decimal"/>
      <w:suff w:val="nothing"/>
      <w:lvlText w:val="%1．"/>
      <w:lvlJc w:val="left"/>
      <w:pPr>
        <w:ind w:left="0" w:firstLine="400"/>
      </w:pPr>
      <w:rPr>
        <w:rFonts w:hint="default"/>
        <w:color w:val="000000"/>
      </w:rPr>
    </w:lvl>
  </w:abstractNum>
  <w:abstractNum w:abstractNumId="49">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50">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51">
    <w:nsid w:val="40727DE8"/>
    <w:multiLevelType w:val="singleLevel"/>
    <w:tmpl w:val="40727DE8"/>
    <w:lvl w:ilvl="0" w:tentative="0">
      <w:start w:val="1"/>
      <w:numFmt w:val="decimal"/>
      <w:suff w:val="nothing"/>
      <w:lvlText w:val="%1．"/>
      <w:lvlJc w:val="left"/>
      <w:pPr>
        <w:ind w:left="0" w:firstLine="400"/>
      </w:pPr>
      <w:rPr>
        <w:rFonts w:hint="default"/>
        <w:color w:val="000000"/>
      </w:rPr>
    </w:lvl>
  </w:abstractNum>
  <w:abstractNum w:abstractNumId="52">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53">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54">
    <w:nsid w:val="4A032168"/>
    <w:multiLevelType w:val="singleLevel"/>
    <w:tmpl w:val="4A032168"/>
    <w:lvl w:ilvl="0" w:tentative="0">
      <w:start w:val="4"/>
      <w:numFmt w:val="decimal"/>
      <w:suff w:val="nothing"/>
      <w:lvlText w:val="%1．"/>
      <w:lvlJc w:val="left"/>
      <w:pPr>
        <w:ind w:left="0" w:firstLine="403"/>
      </w:pPr>
      <w:rPr>
        <w:rFonts w:hint="default"/>
        <w:color w:val="000000"/>
        <w:highlight w:val="none"/>
      </w:rPr>
    </w:lvl>
  </w:abstractNum>
  <w:abstractNum w:abstractNumId="55">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56">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57">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58">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59">
    <w:nsid w:val="5BA91325"/>
    <w:multiLevelType w:val="singleLevel"/>
    <w:tmpl w:val="5BA91325"/>
    <w:lvl w:ilvl="0" w:tentative="0">
      <w:start w:val="1"/>
      <w:numFmt w:val="decimal"/>
      <w:suff w:val="nothing"/>
      <w:lvlText w:val="（%1）"/>
      <w:lvlJc w:val="left"/>
      <w:rPr>
        <w:color w:val="000000"/>
      </w:rPr>
    </w:lvl>
  </w:abstractNum>
  <w:abstractNum w:abstractNumId="60">
    <w:nsid w:val="60C0383C"/>
    <w:multiLevelType w:val="singleLevel"/>
    <w:tmpl w:val="60C0383C"/>
    <w:lvl w:ilvl="0" w:tentative="0">
      <w:start w:val="1"/>
      <w:numFmt w:val="chineseCounting"/>
      <w:suff w:val="nothing"/>
      <w:lvlText w:val="（%1）"/>
      <w:lvlJc w:val="left"/>
      <w:pPr>
        <w:ind w:left="0" w:firstLine="420"/>
      </w:pPr>
      <w:rPr>
        <w:rFonts w:hint="eastAsia"/>
        <w:color w:val="000000"/>
      </w:rPr>
    </w:lvl>
  </w:abstractNum>
  <w:abstractNum w:abstractNumId="61">
    <w:nsid w:val="60C03881"/>
    <w:multiLevelType w:val="singleLevel"/>
    <w:tmpl w:val="60C03881"/>
    <w:lvl w:ilvl="0" w:tentative="0">
      <w:start w:val="1"/>
      <w:numFmt w:val="chineseCounting"/>
      <w:suff w:val="nothing"/>
      <w:lvlText w:val="（%1）"/>
      <w:lvlJc w:val="left"/>
      <w:pPr>
        <w:ind w:left="0" w:firstLine="420"/>
      </w:pPr>
      <w:rPr>
        <w:rFonts w:hint="eastAsia"/>
        <w:color w:val="000000"/>
      </w:rPr>
    </w:lvl>
  </w:abstractNum>
  <w:abstractNum w:abstractNumId="62">
    <w:nsid w:val="60C038C0"/>
    <w:multiLevelType w:val="singleLevel"/>
    <w:tmpl w:val="60C038C0"/>
    <w:lvl w:ilvl="0" w:tentative="0">
      <w:start w:val="1"/>
      <w:numFmt w:val="chineseCounting"/>
      <w:suff w:val="nothing"/>
      <w:lvlText w:val="（%1）"/>
      <w:lvlJc w:val="left"/>
      <w:pPr>
        <w:ind w:left="0" w:firstLine="420"/>
      </w:pPr>
      <w:rPr>
        <w:rFonts w:hint="eastAsia"/>
        <w:color w:val="000000"/>
      </w:rPr>
    </w:lvl>
  </w:abstractNum>
  <w:abstractNum w:abstractNumId="63">
    <w:nsid w:val="60C038EA"/>
    <w:multiLevelType w:val="singleLevel"/>
    <w:tmpl w:val="60C038EA"/>
    <w:lvl w:ilvl="0" w:tentative="0">
      <w:start w:val="1"/>
      <w:numFmt w:val="chineseCounting"/>
      <w:suff w:val="nothing"/>
      <w:lvlText w:val="（%1）"/>
      <w:lvlJc w:val="left"/>
      <w:pPr>
        <w:ind w:left="0" w:firstLine="420"/>
      </w:pPr>
      <w:rPr>
        <w:rFonts w:hint="eastAsia"/>
        <w:color w:val="000000"/>
      </w:rPr>
    </w:lvl>
  </w:abstractNum>
  <w:abstractNum w:abstractNumId="64">
    <w:nsid w:val="60C03912"/>
    <w:multiLevelType w:val="singleLevel"/>
    <w:tmpl w:val="60C03912"/>
    <w:lvl w:ilvl="0" w:tentative="0">
      <w:start w:val="1"/>
      <w:numFmt w:val="chineseCounting"/>
      <w:suff w:val="nothing"/>
      <w:lvlText w:val="（%1）"/>
      <w:lvlJc w:val="left"/>
      <w:pPr>
        <w:ind w:left="0" w:firstLine="420"/>
      </w:pPr>
      <w:rPr>
        <w:rFonts w:hint="eastAsia"/>
        <w:color w:val="000000"/>
      </w:rPr>
    </w:lvl>
  </w:abstractNum>
  <w:abstractNum w:abstractNumId="65">
    <w:nsid w:val="60C03933"/>
    <w:multiLevelType w:val="singleLevel"/>
    <w:tmpl w:val="60C03933"/>
    <w:lvl w:ilvl="0" w:tentative="0">
      <w:start w:val="1"/>
      <w:numFmt w:val="chineseCounting"/>
      <w:suff w:val="nothing"/>
      <w:lvlText w:val="（%1）"/>
      <w:lvlJc w:val="left"/>
      <w:pPr>
        <w:ind w:left="0" w:firstLine="420"/>
      </w:pPr>
      <w:rPr>
        <w:rFonts w:hint="eastAsia"/>
        <w:color w:val="000000"/>
      </w:rPr>
    </w:lvl>
  </w:abstractNum>
  <w:abstractNum w:abstractNumId="66">
    <w:nsid w:val="60C03E3F"/>
    <w:multiLevelType w:val="singleLevel"/>
    <w:tmpl w:val="60C03E3F"/>
    <w:lvl w:ilvl="0" w:tentative="0">
      <w:start w:val="1"/>
      <w:numFmt w:val="chineseCounting"/>
      <w:suff w:val="nothing"/>
      <w:lvlText w:val="（%1）"/>
      <w:lvlJc w:val="left"/>
      <w:pPr>
        <w:ind w:left="0" w:firstLine="420"/>
      </w:pPr>
      <w:rPr>
        <w:rFonts w:hint="eastAsia"/>
        <w:color w:val="000000"/>
      </w:rPr>
    </w:lvl>
  </w:abstractNum>
  <w:abstractNum w:abstractNumId="67">
    <w:nsid w:val="60C03E76"/>
    <w:multiLevelType w:val="singleLevel"/>
    <w:tmpl w:val="60C03E76"/>
    <w:lvl w:ilvl="0" w:tentative="0">
      <w:start w:val="1"/>
      <w:numFmt w:val="chineseCounting"/>
      <w:suff w:val="nothing"/>
      <w:lvlText w:val="%1、"/>
      <w:lvlJc w:val="left"/>
      <w:pPr>
        <w:ind w:left="0" w:firstLine="420"/>
      </w:pPr>
      <w:rPr>
        <w:rFonts w:hint="eastAsia"/>
        <w:color w:val="000000"/>
      </w:rPr>
    </w:lvl>
  </w:abstractNum>
  <w:abstractNum w:abstractNumId="68">
    <w:nsid w:val="60C03E91"/>
    <w:multiLevelType w:val="singleLevel"/>
    <w:tmpl w:val="60C03E91"/>
    <w:lvl w:ilvl="0" w:tentative="0">
      <w:start w:val="2"/>
      <w:numFmt w:val="chineseCounting"/>
      <w:suff w:val="nothing"/>
      <w:lvlText w:val="%1、"/>
      <w:lvlJc w:val="left"/>
      <w:pPr>
        <w:ind w:left="0" w:firstLine="420"/>
      </w:pPr>
      <w:rPr>
        <w:rFonts w:hint="eastAsia"/>
        <w:color w:val="000000"/>
      </w:rPr>
    </w:lvl>
  </w:abstractNum>
  <w:abstractNum w:abstractNumId="69">
    <w:nsid w:val="60C03EC3"/>
    <w:multiLevelType w:val="singleLevel"/>
    <w:tmpl w:val="60C03EC3"/>
    <w:lvl w:ilvl="0" w:tentative="0">
      <w:start w:val="3"/>
      <w:numFmt w:val="chineseCounting"/>
      <w:suff w:val="nothing"/>
      <w:lvlText w:val="%1、"/>
      <w:lvlJc w:val="left"/>
      <w:pPr>
        <w:ind w:left="0" w:firstLine="420"/>
      </w:pPr>
      <w:rPr>
        <w:rFonts w:hint="eastAsia"/>
        <w:color w:val="000000"/>
      </w:rPr>
    </w:lvl>
  </w:abstractNum>
  <w:abstractNum w:abstractNumId="70">
    <w:nsid w:val="60C03ED7"/>
    <w:multiLevelType w:val="singleLevel"/>
    <w:tmpl w:val="60C03ED7"/>
    <w:lvl w:ilvl="0" w:tentative="0">
      <w:start w:val="1"/>
      <w:numFmt w:val="chineseCounting"/>
      <w:suff w:val="nothing"/>
      <w:lvlText w:val="（%1）"/>
      <w:lvlJc w:val="left"/>
      <w:pPr>
        <w:ind w:left="0" w:firstLine="420"/>
      </w:pPr>
      <w:rPr>
        <w:rFonts w:hint="eastAsia"/>
        <w:color w:val="000000"/>
      </w:rPr>
    </w:lvl>
  </w:abstractNum>
  <w:abstractNum w:abstractNumId="71">
    <w:nsid w:val="60C03F05"/>
    <w:multiLevelType w:val="singleLevel"/>
    <w:tmpl w:val="60C03F05"/>
    <w:lvl w:ilvl="0" w:tentative="0">
      <w:start w:val="1"/>
      <w:numFmt w:val="decimal"/>
      <w:suff w:val="nothing"/>
      <w:lvlText w:val="%1．"/>
      <w:lvlJc w:val="left"/>
      <w:pPr>
        <w:ind w:left="0" w:firstLine="400"/>
      </w:pPr>
      <w:rPr>
        <w:rFonts w:hint="default"/>
        <w:color w:val="000000"/>
      </w:rPr>
    </w:lvl>
  </w:abstractNum>
  <w:abstractNum w:abstractNumId="72">
    <w:nsid w:val="60C03F2E"/>
    <w:multiLevelType w:val="singleLevel"/>
    <w:tmpl w:val="60C03F2E"/>
    <w:lvl w:ilvl="0" w:tentative="0">
      <w:start w:val="4"/>
      <w:numFmt w:val="chineseCounting"/>
      <w:suff w:val="nothing"/>
      <w:lvlText w:val="（%1）"/>
      <w:lvlJc w:val="left"/>
      <w:pPr>
        <w:ind w:left="0" w:firstLine="420"/>
      </w:pPr>
      <w:rPr>
        <w:rFonts w:hint="eastAsia"/>
        <w:color w:val="000000"/>
      </w:rPr>
    </w:lvl>
  </w:abstractNum>
  <w:abstractNum w:abstractNumId="73">
    <w:nsid w:val="60C03F4B"/>
    <w:multiLevelType w:val="singleLevel"/>
    <w:tmpl w:val="60C03F4B"/>
    <w:lvl w:ilvl="0" w:tentative="0">
      <w:start w:val="1"/>
      <w:numFmt w:val="chineseCounting"/>
      <w:suff w:val="nothing"/>
      <w:lvlText w:val="（%1）"/>
      <w:lvlJc w:val="left"/>
      <w:pPr>
        <w:ind w:left="0" w:firstLine="420"/>
      </w:pPr>
      <w:rPr>
        <w:rFonts w:hint="eastAsia"/>
        <w:color w:val="000000"/>
      </w:rPr>
    </w:lvl>
  </w:abstractNum>
  <w:abstractNum w:abstractNumId="74">
    <w:nsid w:val="61CBC088"/>
    <w:multiLevelType w:val="singleLevel"/>
    <w:tmpl w:val="61CBC088"/>
    <w:lvl w:ilvl="0" w:tentative="0">
      <w:start w:val="1"/>
      <w:numFmt w:val="chineseCounting"/>
      <w:suff w:val="nothing"/>
      <w:lvlText w:val="（%1）"/>
      <w:lvlJc w:val="left"/>
      <w:pPr>
        <w:ind w:left="0" w:firstLine="420"/>
      </w:pPr>
      <w:rPr>
        <w:rFonts w:hint="eastAsia"/>
        <w:b w:val="0"/>
        <w:bCs w:val="0"/>
        <w:color w:val="000000"/>
      </w:rPr>
    </w:lvl>
  </w:abstractNum>
  <w:abstractNum w:abstractNumId="75">
    <w:nsid w:val="61CBC11F"/>
    <w:multiLevelType w:val="singleLevel"/>
    <w:tmpl w:val="61CBC11F"/>
    <w:lvl w:ilvl="0" w:tentative="0">
      <w:start w:val="1"/>
      <w:numFmt w:val="chineseCounting"/>
      <w:suff w:val="nothing"/>
      <w:lvlText w:val="（%1）"/>
      <w:lvlJc w:val="left"/>
      <w:pPr>
        <w:ind w:left="0" w:firstLine="420"/>
      </w:pPr>
      <w:rPr>
        <w:rFonts w:hint="eastAsia"/>
        <w:color w:val="000000"/>
      </w:rPr>
    </w:lvl>
  </w:abstractNum>
  <w:abstractNum w:abstractNumId="76">
    <w:nsid w:val="61CBC1A0"/>
    <w:multiLevelType w:val="singleLevel"/>
    <w:tmpl w:val="61CBC1A0"/>
    <w:lvl w:ilvl="0" w:tentative="0">
      <w:start w:val="1"/>
      <w:numFmt w:val="chineseCounting"/>
      <w:suff w:val="nothing"/>
      <w:lvlText w:val="（%1）"/>
      <w:lvlJc w:val="left"/>
      <w:pPr>
        <w:ind w:left="0" w:firstLine="420"/>
      </w:pPr>
      <w:rPr>
        <w:rFonts w:hint="eastAsia"/>
        <w:color w:val="000000"/>
      </w:rPr>
    </w:lvl>
  </w:abstractNum>
  <w:abstractNum w:abstractNumId="77">
    <w:nsid w:val="61CBC209"/>
    <w:multiLevelType w:val="singleLevel"/>
    <w:tmpl w:val="61CBC209"/>
    <w:lvl w:ilvl="0" w:tentative="0">
      <w:start w:val="1"/>
      <w:numFmt w:val="chineseCounting"/>
      <w:suff w:val="nothing"/>
      <w:lvlText w:val="（%1）"/>
      <w:lvlJc w:val="left"/>
      <w:pPr>
        <w:ind w:left="0" w:firstLine="420"/>
      </w:pPr>
      <w:rPr>
        <w:rFonts w:hint="eastAsia"/>
        <w:color w:val="000000"/>
      </w:rPr>
    </w:lvl>
  </w:abstractNum>
  <w:abstractNum w:abstractNumId="78">
    <w:nsid w:val="61CBC248"/>
    <w:multiLevelType w:val="singleLevel"/>
    <w:tmpl w:val="61CBC248"/>
    <w:lvl w:ilvl="0" w:tentative="0">
      <w:start w:val="2"/>
      <w:numFmt w:val="chineseCounting"/>
      <w:suff w:val="nothing"/>
      <w:lvlText w:val="（%1）"/>
      <w:lvlJc w:val="left"/>
      <w:pPr>
        <w:ind w:left="0" w:firstLine="420"/>
      </w:pPr>
      <w:rPr>
        <w:rFonts w:hint="eastAsia"/>
        <w:color w:val="000000"/>
      </w:rPr>
    </w:lvl>
  </w:abstractNum>
  <w:abstractNum w:abstractNumId="79">
    <w:nsid w:val="61CBC28E"/>
    <w:multiLevelType w:val="singleLevel"/>
    <w:tmpl w:val="61CBC28E"/>
    <w:lvl w:ilvl="0" w:tentative="0">
      <w:start w:val="1"/>
      <w:numFmt w:val="chineseCounting"/>
      <w:suff w:val="nothing"/>
      <w:lvlText w:val="（%1）"/>
      <w:lvlJc w:val="left"/>
      <w:pPr>
        <w:ind w:left="0" w:firstLine="420"/>
      </w:pPr>
      <w:rPr>
        <w:rFonts w:hint="eastAsia"/>
        <w:color w:val="000000"/>
      </w:rPr>
    </w:lvl>
  </w:abstractNum>
  <w:abstractNum w:abstractNumId="80">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81">
    <w:nsid w:val="69C07A9C"/>
    <w:multiLevelType w:val="singleLevel"/>
    <w:tmpl w:val="69C07A9C"/>
    <w:lvl w:ilvl="0" w:tentative="0">
      <w:start w:val="1"/>
      <w:numFmt w:val="lowerLetter"/>
      <w:suff w:val="space"/>
      <w:lvlText w:val="%1."/>
      <w:lvlJc w:val="left"/>
      <w:rPr>
        <w:color w:val="000000"/>
      </w:rPr>
    </w:lvl>
  </w:abstractNum>
  <w:abstractNum w:abstractNumId="82">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abstractNum w:abstractNumId="83">
    <w:nsid w:val="75D2544F"/>
    <w:multiLevelType w:val="singleLevel"/>
    <w:tmpl w:val="75D2544F"/>
    <w:lvl w:ilvl="0" w:tentative="0">
      <w:start w:val="1"/>
      <w:numFmt w:val="chineseCounting"/>
      <w:suff w:val="nothing"/>
      <w:lvlText w:val="（%1）"/>
      <w:lvlJc w:val="left"/>
      <w:pPr>
        <w:ind w:left="0" w:firstLine="420"/>
      </w:pPr>
      <w:rPr>
        <w:rFonts w:hint="eastAsia"/>
        <w:b/>
        <w:bCs/>
        <w:color w:val="000000"/>
      </w:rPr>
    </w:lvl>
  </w:abstractNum>
  <w:abstractNum w:abstractNumId="84">
    <w:nsid w:val="79A7505F"/>
    <w:multiLevelType w:val="singleLevel"/>
    <w:tmpl w:val="79A7505F"/>
    <w:lvl w:ilvl="0" w:tentative="0">
      <w:start w:val="2"/>
      <w:numFmt w:val="chineseCounting"/>
      <w:suff w:val="nothing"/>
      <w:lvlText w:val="（%1）"/>
      <w:lvlJc w:val="left"/>
      <w:pPr>
        <w:ind w:left="0" w:firstLine="420"/>
      </w:pPr>
      <w:rPr>
        <w:rFonts w:hint="eastAsia"/>
        <w:b/>
        <w:bCs/>
        <w:color w:val="000000"/>
      </w:rPr>
    </w:lvl>
  </w:abstractNum>
  <w:num w:numId="1">
    <w:abstractNumId w:val="14"/>
  </w:num>
  <w:num w:numId="2">
    <w:abstractNumId w:val="1"/>
  </w:num>
  <w:num w:numId="3">
    <w:abstractNumId w:val="51"/>
  </w:num>
  <w:num w:numId="4">
    <w:abstractNumId w:val="43"/>
  </w:num>
  <w:num w:numId="5">
    <w:abstractNumId w:val="27"/>
  </w:num>
  <w:num w:numId="6">
    <w:abstractNumId w:val="83"/>
  </w:num>
  <w:num w:numId="7">
    <w:abstractNumId w:val="38"/>
  </w:num>
  <w:num w:numId="8">
    <w:abstractNumId w:val="84"/>
  </w:num>
  <w:num w:numId="9">
    <w:abstractNumId w:val="57"/>
  </w:num>
  <w:num w:numId="10">
    <w:abstractNumId w:val="53"/>
  </w:num>
  <w:num w:numId="11">
    <w:abstractNumId w:val="33"/>
  </w:num>
  <w:num w:numId="12">
    <w:abstractNumId w:val="30"/>
  </w:num>
  <w:num w:numId="13">
    <w:abstractNumId w:val="39"/>
  </w:num>
  <w:num w:numId="14">
    <w:abstractNumId w:val="29"/>
  </w:num>
  <w:num w:numId="15">
    <w:abstractNumId w:val="20"/>
  </w:num>
  <w:num w:numId="16">
    <w:abstractNumId w:val="11"/>
  </w:num>
  <w:num w:numId="17">
    <w:abstractNumId w:val="17"/>
  </w:num>
  <w:num w:numId="18">
    <w:abstractNumId w:val="8"/>
  </w:num>
  <w:num w:numId="19">
    <w:abstractNumId w:val="9"/>
  </w:num>
  <w:num w:numId="20">
    <w:abstractNumId w:val="7"/>
  </w:num>
  <w:num w:numId="21">
    <w:abstractNumId w:val="34"/>
  </w:num>
  <w:num w:numId="22">
    <w:abstractNumId w:val="52"/>
  </w:num>
  <w:num w:numId="23">
    <w:abstractNumId w:val="32"/>
  </w:num>
  <w:num w:numId="24">
    <w:abstractNumId w:val="54"/>
  </w:num>
  <w:num w:numId="25">
    <w:abstractNumId w:val="59"/>
  </w:num>
  <w:num w:numId="26">
    <w:abstractNumId w:val="81"/>
  </w:num>
  <w:num w:numId="27">
    <w:abstractNumId w:val="45"/>
  </w:num>
  <w:num w:numId="28">
    <w:abstractNumId w:val="19"/>
  </w:num>
  <w:num w:numId="29">
    <w:abstractNumId w:val="44"/>
  </w:num>
  <w:num w:numId="30">
    <w:abstractNumId w:val="22"/>
  </w:num>
  <w:num w:numId="31">
    <w:abstractNumId w:val="6"/>
  </w:num>
  <w:num w:numId="32">
    <w:abstractNumId w:val="56"/>
  </w:num>
  <w:num w:numId="33">
    <w:abstractNumId w:val="5"/>
  </w:num>
  <w:num w:numId="34">
    <w:abstractNumId w:val="37"/>
  </w:num>
  <w:num w:numId="35">
    <w:abstractNumId w:val="42"/>
  </w:num>
  <w:num w:numId="36">
    <w:abstractNumId w:val="82"/>
  </w:num>
  <w:num w:numId="37">
    <w:abstractNumId w:val="36"/>
  </w:num>
  <w:num w:numId="38">
    <w:abstractNumId w:val="21"/>
  </w:num>
  <w:num w:numId="39">
    <w:abstractNumId w:val="47"/>
  </w:num>
  <w:num w:numId="40">
    <w:abstractNumId w:val="0"/>
  </w:num>
  <w:num w:numId="41">
    <w:abstractNumId w:val="24"/>
  </w:num>
  <w:num w:numId="42">
    <w:abstractNumId w:val="50"/>
  </w:num>
  <w:num w:numId="43">
    <w:abstractNumId w:val="3"/>
  </w:num>
  <w:num w:numId="44">
    <w:abstractNumId w:val="25"/>
  </w:num>
  <w:num w:numId="45">
    <w:abstractNumId w:val="35"/>
  </w:num>
  <w:num w:numId="46">
    <w:abstractNumId w:val="55"/>
  </w:num>
  <w:num w:numId="47">
    <w:abstractNumId w:val="40"/>
  </w:num>
  <w:num w:numId="48">
    <w:abstractNumId w:val="18"/>
  </w:num>
  <w:num w:numId="49">
    <w:abstractNumId w:val="31"/>
  </w:num>
  <w:num w:numId="50">
    <w:abstractNumId w:val="26"/>
  </w:num>
  <w:num w:numId="51">
    <w:abstractNumId w:val="28"/>
  </w:num>
  <w:num w:numId="52">
    <w:abstractNumId w:val="80"/>
  </w:num>
  <w:num w:numId="53">
    <w:abstractNumId w:val="46"/>
  </w:num>
  <w:num w:numId="54">
    <w:abstractNumId w:val="2"/>
  </w:num>
  <w:num w:numId="55">
    <w:abstractNumId w:val="58"/>
  </w:num>
  <w:num w:numId="56">
    <w:abstractNumId w:val="12"/>
  </w:num>
  <w:num w:numId="57">
    <w:abstractNumId w:val="10"/>
  </w:num>
  <w:num w:numId="58">
    <w:abstractNumId w:val="13"/>
  </w:num>
  <w:num w:numId="59">
    <w:abstractNumId w:val="41"/>
  </w:num>
  <w:num w:numId="60">
    <w:abstractNumId w:val="23"/>
  </w:num>
  <w:num w:numId="61">
    <w:abstractNumId w:val="4"/>
  </w:num>
  <w:num w:numId="62">
    <w:abstractNumId w:val="49"/>
  </w:num>
  <w:num w:numId="63">
    <w:abstractNumId w:val="67"/>
  </w:num>
  <w:num w:numId="64">
    <w:abstractNumId w:val="66"/>
  </w:num>
  <w:num w:numId="65">
    <w:abstractNumId w:val="68"/>
  </w:num>
  <w:num w:numId="66">
    <w:abstractNumId w:val="69"/>
  </w:num>
  <w:num w:numId="67">
    <w:abstractNumId w:val="70"/>
  </w:num>
  <w:num w:numId="68">
    <w:abstractNumId w:val="71"/>
  </w:num>
  <w:num w:numId="69">
    <w:abstractNumId w:val="72"/>
  </w:num>
  <w:num w:numId="70">
    <w:abstractNumId w:val="73"/>
  </w:num>
  <w:num w:numId="71">
    <w:abstractNumId w:val="48"/>
  </w:num>
  <w:num w:numId="72">
    <w:abstractNumId w:val="16"/>
  </w:num>
  <w:num w:numId="73">
    <w:abstractNumId w:val="60"/>
  </w:num>
  <w:num w:numId="74">
    <w:abstractNumId w:val="61"/>
  </w:num>
  <w:num w:numId="75">
    <w:abstractNumId w:val="62"/>
  </w:num>
  <w:num w:numId="76">
    <w:abstractNumId w:val="63"/>
  </w:num>
  <w:num w:numId="77">
    <w:abstractNumId w:val="64"/>
  </w:num>
  <w:num w:numId="78">
    <w:abstractNumId w:val="65"/>
  </w:num>
  <w:num w:numId="79">
    <w:abstractNumId w:val="74"/>
  </w:num>
  <w:num w:numId="80">
    <w:abstractNumId w:val="75"/>
  </w:num>
  <w:num w:numId="81">
    <w:abstractNumId w:val="15"/>
  </w:num>
  <w:num w:numId="82">
    <w:abstractNumId w:val="76"/>
  </w:num>
  <w:num w:numId="83">
    <w:abstractNumId w:val="77"/>
  </w:num>
  <w:num w:numId="84">
    <w:abstractNumId w:val="78"/>
  </w:num>
  <w:num w:numId="85">
    <w:abstractNumId w:val="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280549"/>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0C4A15"/>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6993644"/>
    <w:rsid w:val="27DB5649"/>
    <w:rsid w:val="284E53B8"/>
    <w:rsid w:val="28F73A05"/>
    <w:rsid w:val="29E223F6"/>
    <w:rsid w:val="2A7A79DE"/>
    <w:rsid w:val="2B5C1F0C"/>
    <w:rsid w:val="2BD054E2"/>
    <w:rsid w:val="2EAD6691"/>
    <w:rsid w:val="2F0D25D9"/>
    <w:rsid w:val="2F7F7146"/>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AFD2178"/>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7EFCB6D"/>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5FFFB74F"/>
    <w:rsid w:val="606677EA"/>
    <w:rsid w:val="60F34C3C"/>
    <w:rsid w:val="617668BD"/>
    <w:rsid w:val="61D01645"/>
    <w:rsid w:val="6367DD6B"/>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E9C369D"/>
    <w:rsid w:val="6EF41B11"/>
    <w:rsid w:val="702573F3"/>
    <w:rsid w:val="70B57531"/>
    <w:rsid w:val="70FA499F"/>
    <w:rsid w:val="730C182D"/>
    <w:rsid w:val="73FC9A3F"/>
    <w:rsid w:val="751974A1"/>
    <w:rsid w:val="758B30E4"/>
    <w:rsid w:val="75F42331"/>
    <w:rsid w:val="761F7C3C"/>
    <w:rsid w:val="76683D2A"/>
    <w:rsid w:val="76C62D9E"/>
    <w:rsid w:val="78244617"/>
    <w:rsid w:val="7A923507"/>
    <w:rsid w:val="7ACB640D"/>
    <w:rsid w:val="7BFF1A29"/>
    <w:rsid w:val="7C044D89"/>
    <w:rsid w:val="7C63442B"/>
    <w:rsid w:val="7D3AA22F"/>
    <w:rsid w:val="7DE35ECA"/>
    <w:rsid w:val="7E1A0C5A"/>
    <w:rsid w:val="7E3212D3"/>
    <w:rsid w:val="7F5F887D"/>
    <w:rsid w:val="7FCC7D05"/>
    <w:rsid w:val="7FEF42B8"/>
    <w:rsid w:val="7FFE9423"/>
    <w:rsid w:val="9FD01BC3"/>
    <w:rsid w:val="B3FE25BF"/>
    <w:rsid w:val="B6FD953B"/>
    <w:rsid w:val="BDD70CAF"/>
    <w:rsid w:val="BE6E0F8F"/>
    <w:rsid w:val="C679D4D5"/>
    <w:rsid w:val="D3FFF2E3"/>
    <w:rsid w:val="D4B948F0"/>
    <w:rsid w:val="D7BE90C3"/>
    <w:rsid w:val="DBDD7E2D"/>
    <w:rsid w:val="DCDFD4D5"/>
    <w:rsid w:val="EBBF9F9A"/>
    <w:rsid w:val="EBFF8C08"/>
    <w:rsid w:val="EFFEEDBC"/>
    <w:rsid w:val="F3F331A4"/>
    <w:rsid w:val="F3FF81F7"/>
    <w:rsid w:val="F7FE62B6"/>
    <w:rsid w:val="FA543BA3"/>
    <w:rsid w:val="FD7F9463"/>
    <w:rsid w:val="FD97D879"/>
    <w:rsid w:val="FDFF954C"/>
    <w:rsid w:val="FEAED78B"/>
    <w:rsid w:val="FFB737C4"/>
    <w:rsid w:val="FFDFC9EA"/>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62</Pages>
  <Words>39309</Words>
  <Characters>41911</Characters>
  <Lines>1</Lines>
  <Paragraphs>1</Paragraphs>
  <TotalTime>0</TotalTime>
  <ScaleCrop>false</ScaleCrop>
  <LinksUpToDate>false</LinksUpToDate>
  <CharactersWithSpaces>42257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2014-11-03T04:08:00Z</dcterms:created>
  <dc:creator>Administrator</dc:creator>
  <cp:lastModifiedBy>hccb</cp:lastModifiedBy>
  <dcterms:modified xsi:type="dcterms:W3CDTF">2026-07-21T09:27:45Z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29232F49DE2857C4DB40506A08EFA537_43</vt:lpwstr>
  </property>
  <property fmtid="{D5CDD505-2E9C-101B-9397-08002B2CF9AE}" pid="3" name="KSOProductBuildVer">
    <vt:lpwstr>2052-11.8.2.8411</vt:lpwstr>
  </property>
</Properties>
</file>