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 w:rsidR="00261F9F">
      <w:pPr>
        <w:widowControl/>
        <w:shd w:val="clear" w:color="auto" w:fill="FFFFFF"/>
        <w:spacing w:line="837" w:lineRule="atLeast"/>
        <w:jc w:val="center"/>
        <w:outlineLvl w:val="1"/>
        <w:rPr>
          <w:rFonts w:asciiTheme="majorEastAsia" w:eastAsiaTheme="majorEastAsia" w:hAnsiTheme="majorEastAsia" w:cs="宋体"/>
          <w:b/>
          <w:bCs/>
          <w:color w:val="004EA2"/>
          <w:kern w:val="0"/>
          <w:sz w:val="27"/>
          <w:szCs w:val="27"/>
        </w:rPr>
      </w:pPr>
      <w:r>
        <w:rPr>
          <w:rFonts w:asciiTheme="majorEastAsia" w:eastAsiaTheme="majorEastAsia" w:hAnsiTheme="majorEastAsia" w:cs="宋体" w:hint="eastAsia"/>
          <w:b/>
          <w:bCs/>
          <w:color w:val="004EA2"/>
          <w:kern w:val="0"/>
          <w:sz w:val="27"/>
          <w:szCs w:val="27"/>
        </w:rPr>
        <w:t>杭银理财幸福99月添益1801期理财</w:t>
      </w:r>
      <w:r>
        <w:rPr>
          <w:rFonts w:asciiTheme="majorEastAsia" w:eastAsiaTheme="majorEastAsia" w:hAnsiTheme="majorEastAsia" w:cs="宋体" w:hint="eastAsia"/>
          <w:b/>
          <w:bCs/>
          <w:color w:val="004EA2"/>
          <w:kern w:val="0"/>
          <w:sz w:val="27"/>
          <w:szCs w:val="27"/>
        </w:rPr>
        <w:t>（</w:t>
      </w:r>
      <w:r>
        <w:rPr>
          <w:rFonts w:asciiTheme="majorEastAsia" w:eastAsiaTheme="majorEastAsia" w:hAnsiTheme="majorEastAsia" w:cs="宋体" w:hint="eastAsia"/>
          <w:b/>
          <w:bCs/>
          <w:color w:val="004EA2"/>
          <w:kern w:val="0"/>
          <w:sz w:val="27"/>
          <w:szCs w:val="27"/>
        </w:rPr>
        <w:t>FRG1801</w:t>
      </w:r>
      <w:r>
        <w:rPr>
          <w:rFonts w:asciiTheme="majorEastAsia" w:eastAsiaTheme="majorEastAsia" w:hAnsiTheme="majorEastAsia" w:cs="宋体" w:hint="eastAsia"/>
          <w:b/>
          <w:bCs/>
          <w:color w:val="004EA2"/>
          <w:kern w:val="0"/>
          <w:sz w:val="27"/>
          <w:szCs w:val="27"/>
        </w:rPr>
        <w:t>）</w:t>
      </w:r>
    </w:p>
    <w:p w:rsidR="00261F9F">
      <w:pPr>
        <w:widowControl/>
        <w:shd w:val="clear" w:color="auto" w:fill="FFFFFF"/>
        <w:spacing w:line="837" w:lineRule="atLeast"/>
        <w:jc w:val="center"/>
        <w:outlineLvl w:val="1"/>
        <w:rPr>
          <w:rFonts w:asciiTheme="majorEastAsia" w:eastAsiaTheme="majorEastAsia" w:hAnsiTheme="majorEastAsia" w:cs="宋体"/>
          <w:b/>
          <w:bCs/>
          <w:color w:val="004EA2"/>
          <w:kern w:val="0"/>
          <w:sz w:val="27"/>
          <w:szCs w:val="27"/>
        </w:rPr>
      </w:pPr>
      <w:r>
        <w:rPr>
          <w:rFonts w:asciiTheme="majorEastAsia" w:eastAsiaTheme="majorEastAsia" w:hAnsiTheme="majorEastAsia" w:cs="宋体" w:hint="eastAsia"/>
          <w:b/>
          <w:bCs/>
          <w:color w:val="004EA2"/>
          <w:kern w:val="0"/>
          <w:sz w:val="27"/>
          <w:szCs w:val="27"/>
        </w:rPr>
        <w:t>业绩比较基准及开放期公告</w:t>
      </w:r>
    </w:p>
    <w:p w:rsidR="00261F9F">
      <w:pPr>
        <w:widowControl/>
        <w:tabs>
          <w:tab w:val="left" w:pos="2930"/>
        </w:tabs>
        <w:jc w:val="left"/>
        <w:rPr>
          <w:rFonts w:ascii="宋体" w:hAnsi="宋体" w:cs="宋体"/>
          <w:color w:val="333333"/>
          <w:kern w:val="0"/>
          <w:sz w:val="24"/>
        </w:rPr>
      </w:pPr>
    </w:p>
    <w:p w:rsidR="00261F9F">
      <w:pPr>
        <w:widowControl/>
        <w:tabs>
          <w:tab w:val="left" w:pos="2930"/>
        </w:tabs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 w:hint="eastAsia"/>
          <w:color w:val="333333"/>
          <w:kern w:val="0"/>
          <w:sz w:val="24"/>
        </w:rPr>
        <w:t>尊敬的投资者：</w:t>
      </w:r>
    </w:p>
    <w:p w:rsidR="00261F9F"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 w:hint="eastAsia"/>
          <w:color w:val="333333"/>
          <w:kern w:val="0"/>
          <w:sz w:val="24"/>
        </w:rPr>
        <w:t>根据市场情况及产品投资的资产组合收益变动情况，</w:t>
      </w:r>
      <w:r>
        <w:rPr>
          <w:rFonts w:ascii="宋体" w:hAnsi="宋体" w:cs="宋体" w:hint="eastAsia"/>
          <w:color w:val="333333"/>
          <w:kern w:val="0"/>
          <w:sz w:val="24"/>
        </w:rPr>
        <w:t>杭银理财幸福99月添益1801期理财</w:t>
      </w:r>
      <w:r>
        <w:rPr>
          <w:rFonts w:ascii="宋体" w:hAnsi="宋体" w:cs="宋体" w:hint="eastAsia"/>
          <w:color w:val="333333"/>
          <w:kern w:val="0"/>
          <w:sz w:val="24"/>
        </w:rPr>
        <w:t>（产品编号：</w:t>
      </w:r>
      <w:r>
        <w:rPr>
          <w:rFonts w:ascii="宋体" w:hAnsi="宋体" w:cs="宋体" w:hint="eastAsia"/>
          <w:color w:val="333333"/>
          <w:kern w:val="0"/>
          <w:sz w:val="24"/>
        </w:rPr>
        <w:t>FRG1801</w:t>
      </w:r>
      <w:r>
        <w:rPr>
          <w:rFonts w:ascii="宋体" w:hAnsi="宋体" w:cs="宋体" w:hint="eastAsia"/>
          <w:color w:val="333333"/>
          <w:kern w:val="0"/>
          <w:sz w:val="24"/>
        </w:rPr>
        <w:t>）下一运行周期（</w:t>
      </w:r>
      <w:r>
        <w:rPr>
          <w:rFonts w:ascii="宋体" w:hAnsi="宋体" w:cs="宋体" w:hint="eastAsia"/>
          <w:color w:val="333333"/>
          <w:kern w:val="0"/>
          <w:sz w:val="24"/>
        </w:rPr>
        <w:t>2026-09-04</w:t>
      </w:r>
      <w:r>
        <w:rPr>
          <w:rFonts w:ascii="宋体" w:hAnsi="宋体" w:cs="宋体" w:hint="eastAsia"/>
          <w:color w:val="333333"/>
          <w:kern w:val="0"/>
          <w:sz w:val="24"/>
        </w:rPr>
        <w:t>至</w:t>
      </w:r>
      <w:r>
        <w:rPr>
          <w:rFonts w:ascii="宋体" w:hAnsi="宋体" w:cs="宋体" w:hint="eastAsia"/>
          <w:color w:val="333333"/>
          <w:kern w:val="0"/>
          <w:sz w:val="24"/>
        </w:rPr>
        <w:t>2026-10-08</w:t>
      </w:r>
      <w:r>
        <w:rPr>
          <w:rFonts w:ascii="宋体" w:hAnsi="宋体" w:cs="宋体" w:hint="eastAsia"/>
          <w:color w:val="333333"/>
          <w:kern w:val="0"/>
          <w:sz w:val="24"/>
        </w:rPr>
        <w:t>）的业绩比较基准如下：</w:t>
      </w:r>
    </w:p>
    <w:tbl>
      <w:tblPr>
        <w:tblStyle w:val="TableGrid"/>
        <w:tblW w:w="8516" w:type="dxa"/>
        <w:tblLayout w:type="fixed"/>
        <w:tblLook w:val="04A0"/>
      </w:tblPr>
      <w:tblGrid>
        <w:gridCol w:w="3936"/>
        <w:gridCol w:w="4580"/>
      </w:tblGrid>
      <w:tr w:rsidTr="00366909">
        <w:tblPrEx>
          <w:tblW w:w="8516" w:type="dxa"/>
          <w:tblLayout w:type="fixed"/>
          <w:tblLook w:val="04A0"/>
        </w:tblPrEx>
        <w:tc>
          <w:tcPr>
            <w:tcW w:w="393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销售代码</w:t>
            </w:r>
          </w:p>
        </w:tc>
        <w:tc>
          <w:tcPr>
            <w:tcW w:w="4580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业绩比较基准</w:t>
            </w:r>
          </w:p>
        </w:tc>
      </w:tr>
      <w:tr w:rsidTr="00366909">
        <w:tblPrEx>
          <w:tblW w:w="8516" w:type="dxa"/>
          <w:tblLayout w:type="fixed"/>
          <w:tblLook w:val="04A0"/>
        </w:tblPrEx>
        <w:tc>
          <w:tcPr>
            <w:tcW w:w="393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</w:t>
            </w:r>
          </w:p>
        </w:tc>
        <w:tc>
          <w:tcPr>
            <w:tcW w:w="4580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中国人民银行公布的7天通知存款利率</w:t>
            </w:r>
          </w:p>
        </w:tc>
      </w:tr>
      <w:tr w:rsidTr="00366909">
        <w:tblPrEx>
          <w:tblW w:w="8516" w:type="dxa"/>
          <w:tblLayout w:type="fixed"/>
          <w:tblLook w:val="04A0"/>
        </w:tblPrEx>
        <w:tc>
          <w:tcPr>
            <w:tcW w:w="393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FRG1801B</w:t>
            </w:r>
          </w:p>
        </w:tc>
        <w:tc>
          <w:tcPr>
            <w:tcW w:w="4580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中国人民银行公布的7天通知存款利率</w:t>
            </w:r>
          </w:p>
        </w:tc>
      </w:tr>
      <w:tr w:rsidTr="00366909">
        <w:tblPrEx>
          <w:tblW w:w="8516" w:type="dxa"/>
          <w:tblLayout w:type="fixed"/>
          <w:tblLook w:val="04A0"/>
        </w:tblPrEx>
        <w:tc>
          <w:tcPr>
            <w:tcW w:w="393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FRG1801C</w:t>
            </w:r>
          </w:p>
        </w:tc>
        <w:tc>
          <w:tcPr>
            <w:tcW w:w="4580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中国人民银行公布的7天通知存款利率</w:t>
            </w:r>
          </w:p>
        </w:tc>
      </w:tr>
    </w:tbl>
    <w:p w:rsidR="00261F9F"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杭银理财幸福99月添益1801期理财</w:t>
      </w: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（产品编号：</w:t>
      </w: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FRG1801</w:t>
      </w: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）本周期</w:t>
      </w:r>
      <w:r>
        <w:rPr>
          <w:rFonts w:ascii="宋体" w:hAnsi="宋体" w:cs="宋体" w:hint="eastAsia"/>
          <w:color w:val="333333"/>
          <w:kern w:val="0"/>
          <w:sz w:val="24"/>
        </w:rPr>
        <w:t>开放</w:t>
      </w:r>
      <w:r>
        <w:rPr>
          <w:rFonts w:ascii="宋体" w:hAnsi="宋体" w:cs="宋体" w:hint="eastAsia"/>
          <w:color w:val="333333"/>
          <w:kern w:val="0"/>
          <w:sz w:val="24"/>
        </w:rPr>
        <w:t>期具体</w:t>
      </w:r>
      <w:r>
        <w:rPr>
          <w:rFonts w:ascii="宋体" w:hAnsi="宋体" w:cs="宋体" w:hint="eastAsia"/>
          <w:color w:val="333333"/>
          <w:kern w:val="0"/>
          <w:sz w:val="24"/>
        </w:rPr>
        <w:t>安排如下，开放期最后一日及确认日</w:t>
      </w:r>
      <w:r>
        <w:rPr>
          <w:rFonts w:ascii="宋体" w:hAnsi="宋体" w:cs="宋体" w:hint="eastAsia"/>
          <w:color w:val="333333"/>
          <w:kern w:val="0"/>
          <w:sz w:val="24"/>
        </w:rPr>
        <w:t>如遇非工作日</w:t>
      </w:r>
      <w:r>
        <w:rPr>
          <w:rFonts w:ascii="宋体" w:hAnsi="宋体" w:cs="宋体" w:hint="eastAsia"/>
          <w:color w:val="333333"/>
          <w:kern w:val="0"/>
          <w:sz w:val="24"/>
        </w:rPr>
        <w:t>，则依次顺延至下一个工作日，敬请投资者关注，提前做好投资安排。</w:t>
      </w:r>
    </w:p>
    <w:tbl>
      <w:tblPr>
        <w:tblStyle w:val="TableGrid"/>
        <w:tblW w:w="8472" w:type="dxa"/>
        <w:tblLayout w:type="fixed"/>
        <w:tblLook w:val="04A0"/>
      </w:tblPr>
      <w:tblGrid>
        <w:gridCol w:w="1668"/>
        <w:gridCol w:w="2976"/>
        <w:gridCol w:w="1701"/>
        <w:gridCol w:w="2127"/>
      </w:tblGrid>
      <w:tr w:rsidTr="00366909">
        <w:tblPrEx>
          <w:tblW w:w="8472" w:type="dxa"/>
          <w:tblLayout w:type="fixed"/>
          <w:tblLook w:val="04A0"/>
        </w:tblPrEx>
        <w:trPr>
          <w:trHeight w:val="355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销售代码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开放时间安排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确认日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交易类型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2026-08-28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2026-09-03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2026-09-04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FRG1801B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2026-09-03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2026-09-03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2026-09-04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FRG1801C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2026-08-28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2026-09-03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2026-09-04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</w:tbl>
    <w:p w:rsidR="00261F9F"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/>
          <w:color w:val="333333"/>
          <w:kern w:val="0"/>
          <w:sz w:val="24"/>
        </w:rPr>
      </w:pPr>
      <w:bookmarkStart w:id="0" w:name="_GoBack"/>
      <w:bookmarkEnd w:id="0"/>
      <w:r>
        <w:rPr>
          <w:rFonts w:ascii="宋体" w:hAnsi="宋体" w:cs="宋体" w:hint="eastAsia"/>
          <w:b/>
          <w:bCs/>
          <w:color w:val="333333"/>
          <w:kern w:val="0"/>
          <w:sz w:val="24"/>
        </w:rPr>
        <w:t>杭银理财幸福99月添益1801期理财</w:t>
      </w: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（产品编号：</w:t>
      </w: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FRG1801</w:t>
      </w: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）下周期</w:t>
      </w:r>
      <w:r>
        <w:rPr>
          <w:rFonts w:ascii="宋体" w:hAnsi="宋体" w:cs="宋体" w:hint="eastAsia"/>
          <w:color w:val="333333"/>
          <w:kern w:val="0"/>
          <w:sz w:val="24"/>
        </w:rPr>
        <w:t>开放</w:t>
      </w:r>
      <w:r>
        <w:rPr>
          <w:rFonts w:ascii="宋体" w:hAnsi="宋体" w:cs="宋体" w:hint="eastAsia"/>
          <w:color w:val="333333"/>
          <w:kern w:val="0"/>
          <w:sz w:val="24"/>
        </w:rPr>
        <w:t>期具体</w:t>
      </w:r>
      <w:r>
        <w:rPr>
          <w:rFonts w:ascii="宋体" w:hAnsi="宋体" w:cs="宋体" w:hint="eastAsia"/>
          <w:color w:val="333333"/>
          <w:kern w:val="0"/>
          <w:sz w:val="24"/>
        </w:rPr>
        <w:t>安排如下，开放期最后一日及确认日</w:t>
      </w:r>
      <w:r>
        <w:rPr>
          <w:rFonts w:ascii="宋体" w:hAnsi="宋体" w:cs="宋体" w:hint="eastAsia"/>
          <w:color w:val="333333"/>
          <w:kern w:val="0"/>
          <w:sz w:val="24"/>
        </w:rPr>
        <w:t>如遇非工作日</w:t>
      </w:r>
      <w:r>
        <w:rPr>
          <w:rFonts w:ascii="宋体" w:hAnsi="宋体" w:cs="宋体" w:hint="eastAsia"/>
          <w:color w:val="333333"/>
          <w:kern w:val="0"/>
          <w:sz w:val="24"/>
        </w:rPr>
        <w:t>，则依次顺延至下一个工作日，敬请投资者关注，提前做好投资安排。</w:t>
      </w:r>
    </w:p>
    <w:tbl>
      <w:tblPr>
        <w:tblStyle w:val="TableGrid"/>
        <w:tblW w:w="8472" w:type="dxa"/>
        <w:tblLayout w:type="fixed"/>
        <w:tblLook w:val="04A0"/>
      </w:tblPr>
      <w:tblGrid>
        <w:gridCol w:w="1668"/>
        <w:gridCol w:w="2976"/>
        <w:gridCol w:w="1701"/>
        <w:gridCol w:w="2127"/>
      </w:tblGrid>
      <w:tr w:rsidTr="00366909">
        <w:tblPrEx>
          <w:tblW w:w="8472" w:type="dxa"/>
          <w:tblLayout w:type="fixed"/>
          <w:tblLook w:val="04A0"/>
        </w:tblPrEx>
        <w:trPr>
          <w:trHeight w:val="355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销售代码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开放时间安排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确认日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交易类型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2026-09-30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2026-10-08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2026-10-09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FRG1801B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2026-10-08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2026-10-08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2026-10-09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FRG1801C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2026-09-30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2026-10-08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2026-10-09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</w:tbl>
    <w:p w:rsidR="00261F9F"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</w:p>
    <w:p w:rsidR="00261F9F"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注：</w:t>
      </w:r>
    </w:p>
    <w:p w:rsidR="00261F9F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本理财计划业绩比较基准由管理人根据投资范围及投资策略，结合市场环境因素进行测算而得出。业绩比较基准是管理人基于理财计划收益风险特征、投资策略、过往经验等因素对理财计划业绩设定的投资目标，不代表理财计划的未来表现和实际收益，也不构成对理财计划收益的承诺。</w:t>
      </w:r>
    </w:p>
    <w:p w:rsidR="00261F9F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如法定节假日调整，管理人将对公告中的日期做出相应调整，以管理</w:t>
      </w:r>
      <w:r>
        <w:rPr>
          <w:rFonts w:ascii="宋体" w:hAnsi="宋体" w:cs="宋体" w:hint="eastAsia"/>
          <w:kern w:val="0"/>
          <w:szCs w:val="21"/>
        </w:rPr>
        <w:t>人最新</w:t>
      </w:r>
      <w:r>
        <w:rPr>
          <w:rFonts w:ascii="宋体" w:hAnsi="宋体" w:cs="宋体" w:hint="eastAsia"/>
          <w:kern w:val="0"/>
          <w:szCs w:val="21"/>
        </w:rPr>
        <w:t>公告为准。</w:t>
      </w:r>
    </w:p>
    <w:p w:rsidR="00261F9F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开放时间具体安排以销售机构规定为准。</w:t>
      </w:r>
    </w:p>
    <w:p w:rsidR="00261F9F">
      <w:pPr>
        <w:widowControl/>
        <w:jc w:val="right"/>
        <w:rPr>
          <w:rFonts w:ascii="微软雅黑" w:hAnsi="微软雅黑" w:cs="宋体"/>
          <w:color w:val="333333"/>
          <w:kern w:val="0"/>
          <w:sz w:val="24"/>
        </w:rPr>
      </w:pPr>
      <w:r>
        <w:rPr>
          <w:rFonts w:ascii="微软雅黑" w:hAnsi="微软雅黑" w:cs="宋体" w:hint="eastAsia"/>
          <w:color w:val="333333"/>
          <w:kern w:val="0"/>
          <w:sz w:val="24"/>
        </w:rPr>
        <w:t>                         </w:t>
      </w:r>
      <w:r>
        <w:rPr>
          <w:rFonts w:ascii="微软雅黑" w:hAnsi="微软雅黑" w:cs="宋体" w:hint="eastAsia"/>
          <w:color w:val="333333"/>
          <w:kern w:val="0"/>
          <w:sz w:val="24"/>
        </w:rPr>
        <w:t>杭银理财</w:t>
      </w:r>
      <w:r>
        <w:rPr>
          <w:rFonts w:ascii="微软雅黑" w:hAnsi="微软雅黑" w:cs="宋体" w:hint="eastAsia"/>
          <w:color w:val="333333"/>
          <w:kern w:val="0"/>
          <w:sz w:val="24"/>
        </w:rPr>
        <w:t>有限责任公司</w:t>
      </w:r>
    </w:p>
    <w:p w:rsidR="00261F9F">
      <w:pPr>
        <w:widowControl/>
        <w:jc w:val="right"/>
      </w:pPr>
      <w:r>
        <w:rPr>
          <w:rFonts w:ascii="宋体" w:hAnsi="宋体" w:cs="宋体" w:hint="eastAsia"/>
          <w:color w:val="333333"/>
          <w:kern w:val="0"/>
          <w:sz w:val="24"/>
        </w:rPr>
        <w:t>                         </w:t>
      </w:r>
      <w:r>
        <w:rPr>
          <w:rFonts w:ascii="宋体" w:eastAsia="宋体" w:hAnsi="宋体" w:cs="宋体"/>
          <w:color w:val="333333"/>
          <w:sz w:val="24"/>
        </w:rPr>
        <w:t>2026年8月19日</w:t>
      </w:r>
    </w:p>
    <w:p w:rsidR="00261F9F">
      <w:pPr>
        <w:widowControl/>
        <w:jc w:val="right"/>
      </w:pPr>
    </w:p>
    <w:sectPr>
      <w:headerReference w:type="default" r:id="rId5"/>
      <w:pgSz w:w="11906" w:h="16838"/>
      <w:pgMar w:top="2551" w:right="1803" w:bottom="2551" w:left="1803" w:header="851" w:footer="992" w:gutter="0"/>
      <w:cols w:space="0"/>
      <w:docGrid w:type="lines" w:linePitch="3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F9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5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903C63B"/>
    <w:multiLevelType w:val="singleLevel"/>
    <w:tmpl w:val="4903C63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90"/>
  <w:doNotDisplayPageBoundaries/>
  <w:embedSystemFonts/>
  <w:proofState w:spelling="clean" w:grammar="clean"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7052B"/>
    <w:rsid w:val="E54F38A2"/>
    <w:rsid w:val="FFAFB897"/>
    <w:rsid w:val="00040F12"/>
    <w:rsid w:val="0007073F"/>
    <w:rsid w:val="00076F95"/>
    <w:rsid w:val="000B5C80"/>
    <w:rsid w:val="00123A32"/>
    <w:rsid w:val="00182547"/>
    <w:rsid w:val="001E34DE"/>
    <w:rsid w:val="00216866"/>
    <w:rsid w:val="00251162"/>
    <w:rsid w:val="00261F9F"/>
    <w:rsid w:val="002979BD"/>
    <w:rsid w:val="003321DA"/>
    <w:rsid w:val="00366909"/>
    <w:rsid w:val="00374B44"/>
    <w:rsid w:val="00386722"/>
    <w:rsid w:val="003B478B"/>
    <w:rsid w:val="003B5EA1"/>
    <w:rsid w:val="00573F61"/>
    <w:rsid w:val="00632F14"/>
    <w:rsid w:val="006A11F6"/>
    <w:rsid w:val="006F1E86"/>
    <w:rsid w:val="00792C6B"/>
    <w:rsid w:val="00800AAF"/>
    <w:rsid w:val="008E2414"/>
    <w:rsid w:val="00941ACB"/>
    <w:rsid w:val="00970427"/>
    <w:rsid w:val="009C52F4"/>
    <w:rsid w:val="00A4089E"/>
    <w:rsid w:val="00B00500"/>
    <w:rsid w:val="00B0716D"/>
    <w:rsid w:val="00BB6E73"/>
    <w:rsid w:val="00C822CD"/>
    <w:rsid w:val="00D00D6A"/>
    <w:rsid w:val="00D01161"/>
    <w:rsid w:val="00DB32F4"/>
    <w:rsid w:val="00DD583F"/>
    <w:rsid w:val="00F25FAF"/>
    <w:rsid w:val="00F43942"/>
    <w:rsid w:val="01632288"/>
    <w:rsid w:val="023B73FD"/>
    <w:rsid w:val="035E6A6E"/>
    <w:rsid w:val="04EF499C"/>
    <w:rsid w:val="06090E49"/>
    <w:rsid w:val="086F3434"/>
    <w:rsid w:val="09D5040F"/>
    <w:rsid w:val="0AA12391"/>
    <w:rsid w:val="0C760411"/>
    <w:rsid w:val="0FAD1E3A"/>
    <w:rsid w:val="0FE05E22"/>
    <w:rsid w:val="0FFB2C2E"/>
    <w:rsid w:val="14064585"/>
    <w:rsid w:val="144D2883"/>
    <w:rsid w:val="161D7C87"/>
    <w:rsid w:val="169966B8"/>
    <w:rsid w:val="1774510A"/>
    <w:rsid w:val="192E28D5"/>
    <w:rsid w:val="1B395CAB"/>
    <w:rsid w:val="1DE30B4B"/>
    <w:rsid w:val="1E9A3ACF"/>
    <w:rsid w:val="1EF87BD2"/>
    <w:rsid w:val="1FB466A7"/>
    <w:rsid w:val="1FCB4E7D"/>
    <w:rsid w:val="212E6400"/>
    <w:rsid w:val="216138F2"/>
    <w:rsid w:val="21F964F5"/>
    <w:rsid w:val="22291B40"/>
    <w:rsid w:val="22680F97"/>
    <w:rsid w:val="227F642E"/>
    <w:rsid w:val="23E23118"/>
    <w:rsid w:val="252937ED"/>
    <w:rsid w:val="26CE5261"/>
    <w:rsid w:val="26F22D0A"/>
    <w:rsid w:val="28362D7D"/>
    <w:rsid w:val="29A34A1D"/>
    <w:rsid w:val="2B2B5DF9"/>
    <w:rsid w:val="2B991B88"/>
    <w:rsid w:val="2EDF0E96"/>
    <w:rsid w:val="2F1871F2"/>
    <w:rsid w:val="2F294853"/>
    <w:rsid w:val="2FC14D08"/>
    <w:rsid w:val="30E359F4"/>
    <w:rsid w:val="32C46370"/>
    <w:rsid w:val="35286DA6"/>
    <w:rsid w:val="38921940"/>
    <w:rsid w:val="3D4A7245"/>
    <w:rsid w:val="3E692474"/>
    <w:rsid w:val="3E834198"/>
    <w:rsid w:val="3F4D0D7F"/>
    <w:rsid w:val="41F371BC"/>
    <w:rsid w:val="4273183E"/>
    <w:rsid w:val="446E5366"/>
    <w:rsid w:val="456D2AD8"/>
    <w:rsid w:val="467D220C"/>
    <w:rsid w:val="468E71F3"/>
    <w:rsid w:val="472C02DC"/>
    <w:rsid w:val="4A4D08B6"/>
    <w:rsid w:val="4BB54F8B"/>
    <w:rsid w:val="4FFF3606"/>
    <w:rsid w:val="50270C90"/>
    <w:rsid w:val="50356190"/>
    <w:rsid w:val="50A20A38"/>
    <w:rsid w:val="51475EBB"/>
    <w:rsid w:val="54D44304"/>
    <w:rsid w:val="55072DFB"/>
    <w:rsid w:val="55167E68"/>
    <w:rsid w:val="557F18F4"/>
    <w:rsid w:val="55E447C3"/>
    <w:rsid w:val="57251378"/>
    <w:rsid w:val="57D7577C"/>
    <w:rsid w:val="57F43A1C"/>
    <w:rsid w:val="5B2F104F"/>
    <w:rsid w:val="5BFE1262"/>
    <w:rsid w:val="5E085CFB"/>
    <w:rsid w:val="5EC66559"/>
    <w:rsid w:val="60C55E6C"/>
    <w:rsid w:val="62576867"/>
    <w:rsid w:val="636D2DE7"/>
    <w:rsid w:val="6404319E"/>
    <w:rsid w:val="64381403"/>
    <w:rsid w:val="65D24C58"/>
    <w:rsid w:val="6687052B"/>
    <w:rsid w:val="67EC6F4F"/>
    <w:rsid w:val="680375CC"/>
    <w:rsid w:val="68F17FDC"/>
    <w:rsid w:val="6A8B3349"/>
    <w:rsid w:val="6A9B6989"/>
    <w:rsid w:val="6DD2217A"/>
    <w:rsid w:val="6E683E61"/>
    <w:rsid w:val="6FAE51B6"/>
    <w:rsid w:val="701E6454"/>
    <w:rsid w:val="7107423D"/>
    <w:rsid w:val="74790878"/>
    <w:rsid w:val="76654E07"/>
    <w:rsid w:val="76E67429"/>
    <w:rsid w:val="78FB4CF4"/>
    <w:rsid w:val="79E32EAD"/>
    <w:rsid w:val="7B4A3932"/>
    <w:rsid w:val="7C90559F"/>
    <w:rsid w:val="7D875343"/>
    <w:rsid w:val="7EF7C949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B70D719D-86ED-4A3E-BBD7-5100D73A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481</Words>
  <Characters>520</Characters>
  <Application>Microsoft Office Word</Application>
  <DocSecurity>0</DocSecurity>
  <Lines>4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hspcadmin</cp:lastModifiedBy>
  <cp:revision>28</cp:revision>
  <dcterms:created xsi:type="dcterms:W3CDTF">2022-08-17T22:47:00Z</dcterms:created>
  <dcterms:modified xsi:type="dcterms:W3CDTF">2025-09-02T03:24:00Z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