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0" w:line="360" w:lineRule="auto"/>
        <w:jc w:val="center"/>
        <w:outlineLvl w:val="0"/>
        <w:rPr>
          <w:rFonts w:hint="eastAsia" w:ascii="宋体" w:hAnsi="宋体" w:cs="宋体"/>
          <w:b/>
          <w:bCs/>
          <w:color w:val="000000"/>
          <w:sz w:val="44"/>
          <w:szCs w:val="44"/>
          <w:highlight w:val="none"/>
        </w:rPr>
      </w:pPr>
      <w:r>
        <w:rPr>
          <w:rFonts w:hint="eastAsia" w:ascii="宋体" w:hAnsi="宋体" w:cs="宋体"/>
          <w:b/>
          <w:bCs/>
          <w:color w:val="000000"/>
          <w:sz w:val="44"/>
          <w:szCs w:val="44"/>
          <w:highlight w:val="none"/>
        </w:rPr>
        <w:t>杭银理财投资者权益须知</w:t>
      </w:r>
    </w:p>
    <w:p>
      <w:pPr>
        <w:jc w:val="center"/>
        <w:rPr>
          <w:rFonts w:hint="eastAsia" w:ascii="宋体" w:hAnsi="宋体" w:cs="宋体"/>
          <w:b/>
          <w:bCs/>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rPr>
          <w:rFonts w:hint="eastAsia" w:ascii="宋体" w:hAnsi="宋体" w:cs="宋体"/>
          <w:b/>
          <w:bCs/>
          <w:sz w:val="24"/>
          <w:highlight w:val="none"/>
          <w:u w:val="single"/>
        </w:rPr>
      </w:pPr>
      <w:r>
        <w:rPr>
          <w:rFonts w:hint="eastAsia" w:ascii="宋体" w:hAnsi="宋体" w:cs="宋体"/>
          <w:b/>
          <w:bCs/>
          <w:color w:val="000000"/>
          <w:sz w:val="24"/>
          <w:highlight w:val="none"/>
          <w:u w:val="single"/>
        </w:rPr>
        <w:t>理财非存款、产品有风险、投资须谨慎</w:t>
      </w:r>
    </w:p>
    <w:p>
      <w:p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尊敬的投资者：</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感谢您对杭银理财有限责任公司(以下简称“杭银理财”)作为管理人发行的理财计划的支持与信任。为了保护您的合法权益，请在投资理财计划前仔细阅读以下内容。如对理财计划合同或购买流程等有不明之处，请及时向销售机构相关人员进行咨询；在购买理财计划后，请关注理财计划的信息披露情况，及时获取相关信息；如对理财计划有任何意见或建议，请关注理财计划管理人相关联络方式并予以反馈，或通过销售机构转达。</w:t>
      </w:r>
    </w:p>
    <w:p>
      <w:pPr>
        <w:numPr>
          <w:ilvl w:val="0"/>
          <w:numId w:val="1"/>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理财计划办理流程</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首次在销售机构购买理财的投资者须开立或持有销售机构账户，提供真实身份信息并确认正确的联系方式；该账户用于本理财计划的资金划转及兑付，您应确保持有本理财计划期间指定账户不做销户。</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首次在销售机构购买杭银理财理财计划的普通投资者须接受并完成销售机构对您的风险承受能力评估，并确认风险承受能力等级不低于本理财计划风险评级。如销售机构对于专业投资者的风险承受能力评估有要求的，则参照销售机构相关评估标准或代理销售协议书执行。</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投资者应仔细阅读本理财计划完整合同（包括但不限于</w:t>
      </w:r>
      <w:r>
        <w:rPr>
          <w:rFonts w:hint="eastAsia" w:ascii="宋体" w:hAnsi="宋体" w:cs="宋体"/>
          <w:color w:val="000000"/>
          <w:kern w:val="0"/>
          <w:sz w:val="24"/>
          <w:highlight w:val="none"/>
          <w:lang w:eastAsia="zh-CN"/>
        </w:rPr>
        <w:t>理财计划</w:t>
      </w:r>
      <w:r>
        <w:rPr>
          <w:rFonts w:hint="eastAsia" w:ascii="宋体" w:hAnsi="宋体" w:cs="宋体"/>
          <w:color w:val="000000"/>
          <w:kern w:val="0"/>
          <w:sz w:val="24"/>
          <w:highlight w:val="none"/>
        </w:rPr>
        <w:t>风险揭示书、理财计划产品说明书、投资者权益须知</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理财计划投资协议书</w:t>
      </w:r>
      <w:r>
        <w:rPr>
          <w:rFonts w:hint="eastAsia" w:ascii="宋体" w:hAnsi="宋体" w:cs="宋体"/>
          <w:color w:val="000000"/>
          <w:kern w:val="0"/>
          <w:sz w:val="24"/>
          <w:highlight w:val="none"/>
          <w:lang w:eastAsia="zh-CN"/>
        </w:rPr>
        <w:t>和理财计划（</w:t>
      </w:r>
      <w:r>
        <w:rPr>
          <w:rFonts w:hint="eastAsia" w:ascii="宋体" w:hAnsi="宋体" w:cs="宋体"/>
          <w:color w:val="000000"/>
          <w:kern w:val="0"/>
          <w:sz w:val="24"/>
          <w:highlight w:val="none"/>
          <w:lang w:val="en-US" w:eastAsia="zh-CN"/>
        </w:rPr>
        <w:t>代理销售</w:t>
      </w:r>
      <w:r>
        <w:rPr>
          <w:rFonts w:hint="eastAsia" w:ascii="宋体" w:hAnsi="宋体" w:cs="宋体"/>
          <w:color w:val="000000"/>
          <w:kern w:val="0"/>
          <w:sz w:val="24"/>
          <w:highlight w:val="none"/>
          <w:lang w:eastAsia="zh-CN"/>
        </w:rPr>
        <w:t>）销售协议书</w:t>
      </w:r>
      <w:r>
        <w:rPr>
          <w:rFonts w:hint="eastAsia" w:ascii="宋体" w:hAnsi="宋体" w:cs="宋体"/>
          <w:color w:val="000000"/>
          <w:kern w:val="0"/>
          <w:sz w:val="24"/>
          <w:highlight w:val="none"/>
        </w:rPr>
        <w:t>）等相关协议文件，确认对理财计划条款及风险理解并无疑问和异议后，自主作出认（申）购和赎回决定，独立抄录风险确认语句并签署相关销售文件，办理理财计划交易手续，自主承担投资风险。</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lang w:eastAsia="zh-CN"/>
        </w:rPr>
        <w:t>投资者如需要认定为合格投资者，除阅读理财计划风险揭示书（三、其他信息提示）中的合格投资者要求并独立抄录确认外，还需配合销售机构提供投资者信息、金融资产证明或纳税凭证等相关证明材料。</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如在银行营业场所购买杭银理财理财计划，销售机构需对每笔理财计划销售过程同步录音录像。</w:t>
      </w:r>
      <w:r>
        <w:rPr>
          <w:rFonts w:hint="eastAsia" w:ascii="宋体" w:hAnsi="宋体" w:cs="宋体"/>
          <w:color w:val="000000"/>
          <w:kern w:val="0"/>
          <w:sz w:val="24"/>
          <w:highlight w:val="none"/>
          <w:lang w:val="en-US" w:eastAsia="zh-CN"/>
        </w:rPr>
        <w:t>在没有销售人员推介的情况下，投资者通过自助终端等电子设备进行自主购买的情况除外。</w:t>
      </w:r>
    </w:p>
    <w:p>
      <w:pPr>
        <w:numPr>
          <w:ilvl w:val="0"/>
          <w:numId w:val="2"/>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投资者确定交易金额，完成交易申请，并在确认份额后进行查询。</w:t>
      </w:r>
    </w:p>
    <w:p>
      <w:pPr>
        <w:numPr>
          <w:ilvl w:val="0"/>
          <w:numId w:val="3"/>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杭银理财产品风险评级</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产品类型按照风险由低到高依次划分为低风险（R1）、中低风险（R2）、中风险（R3）、中高风险（R4）和高风险（R5）五个级别，杭银理财根据产品投资组合、实际的风险控制情况、投资运作情况等确定产品归属的风险等级，并在产品说明书中对产品风险等级及其适合销售的投资者范围进行披露，属于杭银理财内部评级，仅供投资者参考，不具有任何法律约束力。各级产品的风险特性如下：</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5"/>
        <w:gridCol w:w="4287"/>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产品风险等级</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风险等级说明</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b/>
                <w:kern w:val="0"/>
                <w:sz w:val="24"/>
                <w:highlight w:val="none"/>
              </w:rPr>
            </w:pPr>
            <w:r>
              <w:rPr>
                <w:rFonts w:hint="eastAsia" w:ascii="宋体" w:hAnsi="宋体" w:cs="宋体"/>
                <w:b/>
                <w:color w:val="000000"/>
                <w:kern w:val="0"/>
                <w:sz w:val="24"/>
                <w:highlight w:val="none"/>
              </w:rPr>
              <w:t>适合销售的投资者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R1</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产品总体风险程度低，收益波动小，产品本金安全性高，收益不能实现的可能性很小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专业投资者及谨慎型、稳健型、平衡型、进取型、激进型的普通投资者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R2</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产品总体风险程度较低，收益波动较小，虽然存在一些可能对产品本金和收益安全产生不利影响的因素，但产品本金出现损失的可能性较小</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专业投资者及稳健型、平衡型、进取型、激进型的普通投资者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R3</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产品总体风险程度适中，收益存在一定的波动，产品本金出现损失的可能性不容忽视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专业投资者及平衡型、进取型、激进型的普通投资者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R4</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产品总体风险程度较高，收益波动较明显，产品本金出现损失的可能性高</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专业投资者及进取型、激进型的普通投资者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jc w:val="center"/>
              <w:rPr>
                <w:rFonts w:hint="eastAsia" w:ascii="宋体" w:hAnsi="宋体" w:cs="宋体"/>
                <w:kern w:val="0"/>
                <w:sz w:val="24"/>
                <w:highlight w:val="none"/>
              </w:rPr>
            </w:pPr>
            <w:r>
              <w:rPr>
                <w:rFonts w:hint="eastAsia" w:ascii="宋体" w:hAnsi="宋体" w:cs="宋体"/>
                <w:color w:val="000000"/>
                <w:kern w:val="0"/>
                <w:sz w:val="24"/>
                <w:highlight w:val="none"/>
              </w:rPr>
              <w:t>R5</w:t>
            </w:r>
          </w:p>
        </w:tc>
        <w:tc>
          <w:tcPr>
            <w:tcW w:w="42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olor w:val="000000"/>
                <w:kern w:val="0"/>
                <w:sz w:val="24"/>
                <w:highlight w:val="none"/>
              </w:rPr>
              <w:t>产品总体风险程度高，收益波动明显，产品本金出现损失的可能性很高，产品本金出现全部损失的可能性不容忽视</w:t>
            </w:r>
          </w:p>
        </w:tc>
        <w:tc>
          <w:tcPr>
            <w:tcW w:w="249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kern w:val="0"/>
                <w:sz w:val="24"/>
                <w:highlight w:val="none"/>
              </w:rPr>
            </w:pPr>
            <w:r>
              <w:rPr>
                <w:rFonts w:hint="eastAsia" w:ascii="宋体" w:hAnsi="宋体" w:cs="宋体"/>
                <w:color w:val="000000"/>
                <w:kern w:val="0"/>
                <w:sz w:val="24"/>
                <w:highlight w:val="none"/>
              </w:rPr>
              <w:t>专业投资者及激进型的普通投资者</w:t>
            </w:r>
          </w:p>
        </w:tc>
      </w:tr>
    </w:tbl>
    <w:p>
      <w:pPr>
        <w:pStyle w:val="20"/>
        <w:adjustRightInd/>
        <w:spacing w:line="360" w:lineRule="auto"/>
        <w:ind w:firstLine="480" w:firstLineChars="200"/>
        <w:rPr>
          <w:rFonts w:hint="default" w:ascii="宋体" w:hAnsi="宋体" w:eastAsia="宋体" w:cs="宋体"/>
          <w:b/>
          <w:kern w:val="0"/>
          <w:sz w:val="24"/>
          <w:highlight w:val="none"/>
          <w:lang w:val="en-US" w:eastAsia="zh-CN"/>
        </w:rPr>
      </w:pPr>
      <w:r>
        <w:rPr>
          <w:rFonts w:hint="eastAsia" w:ascii="宋体" w:hAnsi="宋体" w:cs="宋体"/>
          <w:bCs/>
          <w:color w:val="000000"/>
          <w:kern w:val="2"/>
          <w:highlight w:val="none"/>
          <w:lang w:eastAsia="zh-CN"/>
        </w:rPr>
        <w:t>投资者风险承受能力评级水平以销售机构评估为准。投资者应综合考虑自身风险承受能力与适当性匹配意见，独立做出投资决策并承担投资风险。适当性匹配意见不表明其对理财计划风险和收益做出实质性判断或者保证，管理人履行适当性职责不能取代投资者的投资判断，不会降低理财计划的固有风险，也不影响投资者依法应承担的投资风险、履约责任以及费用。</w:t>
      </w:r>
    </w:p>
    <w:p>
      <w:pPr>
        <w:numPr>
          <w:ilvl w:val="0"/>
          <w:numId w:val="4"/>
        </w:numPr>
        <w:spacing w:line="360" w:lineRule="auto"/>
        <w:outlineLvl w:val="1"/>
        <w:rPr>
          <w:rFonts w:hint="eastAsia" w:ascii="宋体" w:hAnsi="宋体" w:cs="宋体"/>
          <w:b/>
          <w:kern w:val="0"/>
          <w:sz w:val="24"/>
          <w:highlight w:val="none"/>
        </w:rPr>
      </w:pPr>
      <w:r>
        <w:rPr>
          <w:rFonts w:hint="eastAsia" w:ascii="宋体" w:hAnsi="宋体" w:cs="宋体"/>
          <w:b/>
          <w:color w:val="000000"/>
          <w:kern w:val="0"/>
          <w:sz w:val="24"/>
          <w:highlight w:val="none"/>
        </w:rPr>
        <w:t>投资者风险承受能力评估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本理财计划销售工作及投资者适当性评估由销售机构负责。普通投资者首次通过销售机构购买杭银理财理财计划，须与销售机构签署相关协议，并按照该协议约定在销售机构进行风险承受能力评估，风险承受能力评估依据至少应当包括投资者年龄、财务状况、投资经验、投资目的、收益预期、风险偏好、流动性要求、风险认识及风险损失承受程度等。</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普通投资者风险承受能力评估结果有效期为一年，如风险承受能力评估时效已超过一年，或影响风险承受能力的因素发生变化，请及时完成风险承受能力的重新评估。</w:t>
      </w:r>
    </w:p>
    <w:p>
      <w:pPr>
        <w:numPr>
          <w:ilvl w:val="0"/>
          <w:numId w:val="5"/>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普通投资者风险承受能力评估流程（详询销售机构工作人员）</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普通投资者在销售机构进行风险承受能力评估；</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填写销售机构普通投资者风险承受能力测试问卷；</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生成相应的普通投资者风险承受能力评估结果；</w:t>
      </w:r>
    </w:p>
    <w:p>
      <w:pPr>
        <w:numPr>
          <w:ilvl w:val="0"/>
          <w:numId w:val="6"/>
        </w:numPr>
        <w:spacing w:line="360" w:lineRule="auto"/>
        <w:rPr>
          <w:rFonts w:hint="eastAsia" w:ascii="宋体" w:hAnsi="宋体" w:cs="宋体"/>
          <w:kern w:val="0"/>
          <w:sz w:val="24"/>
          <w:highlight w:val="none"/>
        </w:rPr>
      </w:pPr>
      <w:r>
        <w:rPr>
          <w:rFonts w:hint="eastAsia" w:ascii="宋体" w:hAnsi="宋体" w:cs="宋体"/>
          <w:color w:val="000000"/>
          <w:kern w:val="0"/>
          <w:sz w:val="24"/>
          <w:highlight w:val="none"/>
        </w:rPr>
        <w:t>投资者对评估结果进行确认。</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风险承受能力评估结果将作为评价普通投资者是否适合购买理财计划的重要因素，风险承受能力评级越高适合购买的理财计划风险评级越高，适合购买的理财计划类型越丰富。</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代销机构应当根据本机构的方式和方法，独立审慎地对理财计划进行销售评级，如销售评级与本公司产品评级结果不一致的，代理销售机构应当采用对应较高风险等级的评级结果并予以披露。在代销过程中，应充分揭示风险，确保普通投资者的风险承受能力等级不低于本理财计划最终披露的风险评级。如本理财计划通过代理销售机构渠道销售的，理财产品评级应当以代理销售机构最终披露的评级结果为准。</w:t>
      </w:r>
    </w:p>
    <w:p>
      <w:pPr>
        <w:numPr>
          <w:ilvl w:val="0"/>
          <w:numId w:val="7"/>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专业投资者购买理财计划前可简化或无须进行风险评估能力测试。专业投资者不适用普通投资者的风险承受能力评估，请专业投资者根据自身财务状况、投资风格、资金需求等要素，并在阅读本权益须知、理财计划风险揭示书、理财计划产品说明书、理财计划投资协议书和理财计划销售协议书的基础上，充分认识投资本理财计划需要承担的风险。如销售机构对于专业投资者的风险承受能力评估有要求的，则参照销售机构相关评估标准或代理销售协议书执行。</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四、理财计划信息披露</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理财计划相关信息的披露方式、渠道和频率，您可以在理财计划说明书“信息披露”章节中查找到相关约定，并可通过本公司网站或销售机构（包括但不限于营业网点、门户网站、电子销售渠道等）查询具体披露信息。相关信息在发布或发出之日您知晓并同意通知送达，请您及时查询。</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五、投资者信息管理</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销售机构应当根据反洗钱、反恐怖融资及非居民金融账户涉税信息尽职调查等相关法律法规要求识别客户身份。投资者通过公司认可的销售机构购买本公司理财的，知晓并同意公司获取投资者相关理财业务资料及信息。</w:t>
      </w:r>
    </w:p>
    <w:p>
      <w:pPr>
        <w:spacing w:line="360" w:lineRule="auto"/>
        <w:ind w:firstLine="480" w:firstLineChars="200"/>
        <w:rPr>
          <w:rFonts w:hint="eastAsia" w:ascii="宋体" w:hAnsi="宋体" w:cs="宋体"/>
          <w:kern w:val="0"/>
          <w:sz w:val="24"/>
          <w:highlight w:val="none"/>
        </w:rPr>
      </w:pPr>
      <w:r>
        <w:rPr>
          <w:rFonts w:hint="eastAsia" w:ascii="宋体" w:hAnsi="宋体" w:cs="宋体"/>
          <w:color w:val="000000"/>
          <w:kern w:val="0"/>
          <w:sz w:val="24"/>
          <w:highlight w:val="none"/>
        </w:rPr>
        <w:t>本公司及销售机构收集、使用个人信息，应当按照法律法规规定，遵循正当、必要原则，保证信息采集、处理及使用的安全性和合法性。未经客户专门授权，不得将投资者信息及相关理财计划销售信息提供其他第三方机构和个人，法律、行政法规和国务院银行业监督管理机构另有规定的除外。</w:t>
      </w:r>
    </w:p>
    <w:p>
      <w:pPr>
        <w:spacing w:line="360" w:lineRule="auto"/>
        <w:ind w:firstLine="482" w:firstLineChars="200"/>
        <w:outlineLvl w:val="1"/>
        <w:rPr>
          <w:rFonts w:hint="eastAsia" w:ascii="宋体" w:hAnsi="宋体" w:cs="宋体"/>
          <w:b/>
          <w:kern w:val="0"/>
          <w:sz w:val="24"/>
          <w:highlight w:val="none"/>
        </w:rPr>
      </w:pPr>
      <w:r>
        <w:rPr>
          <w:rFonts w:hint="eastAsia" w:ascii="宋体" w:hAnsi="宋体" w:cs="宋体"/>
          <w:b/>
          <w:color w:val="000000"/>
          <w:kern w:val="0"/>
          <w:sz w:val="24"/>
          <w:highlight w:val="none"/>
        </w:rPr>
        <w:t>六、投诉与建议</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投资者如认为理财</w:t>
      </w:r>
      <w:r>
        <w:rPr>
          <w:rFonts w:hint="eastAsia" w:ascii="宋体" w:hAnsi="宋体" w:cs="宋体"/>
          <w:color w:val="000000"/>
          <w:kern w:val="0"/>
          <w:sz w:val="24"/>
          <w:highlight w:val="none"/>
          <w:lang w:val="en-US" w:eastAsia="zh-CN"/>
        </w:rPr>
        <w:t>计划</w:t>
      </w:r>
      <w:r>
        <w:rPr>
          <w:rFonts w:hint="eastAsia" w:ascii="宋体" w:hAnsi="宋体" w:cs="宋体"/>
          <w:color w:val="000000"/>
          <w:kern w:val="0"/>
          <w:sz w:val="24"/>
          <w:highlight w:val="none"/>
        </w:rPr>
        <w:t>推介销售材料及过程中有不实或未尽风险告知职责或其它疑义事项，或对理财计划、销售机构及理财计划管理人服务有任何意见或建议，可通过拨打销售机构</w:t>
      </w:r>
      <w:r>
        <w:rPr>
          <w:rFonts w:hint="eastAsia" w:ascii="宋体" w:hAnsi="宋体" w:cs="宋体"/>
          <w:color w:val="000000"/>
          <w:kern w:val="0"/>
          <w:sz w:val="24"/>
          <w:highlight w:val="none"/>
          <w:lang w:val="en-US" w:eastAsia="zh-CN"/>
        </w:rPr>
        <w:t>或管理人</w:t>
      </w:r>
      <w:r>
        <w:rPr>
          <w:rFonts w:hint="eastAsia" w:ascii="宋体" w:hAnsi="宋体" w:cs="宋体"/>
          <w:color w:val="000000"/>
          <w:kern w:val="0"/>
          <w:sz w:val="24"/>
          <w:highlight w:val="none"/>
        </w:rPr>
        <w:t>热线或客服电话进行反馈</w:t>
      </w:r>
      <w:r>
        <w:rPr>
          <w:rFonts w:hint="eastAsia" w:ascii="宋体" w:hAnsi="宋体" w:cs="宋体"/>
          <w:color w:val="000000"/>
          <w:kern w:val="0"/>
          <w:sz w:val="24"/>
          <w:highlight w:val="none"/>
          <w:lang w:eastAsia="zh-CN"/>
        </w:rPr>
        <w:t>，</w:t>
      </w:r>
      <w:r>
        <w:rPr>
          <w:rFonts w:hint="eastAsia" w:ascii="宋体" w:hAnsi="宋体" w:cs="宋体"/>
          <w:color w:val="000000"/>
          <w:kern w:val="0"/>
          <w:sz w:val="24"/>
          <w:highlight w:val="none"/>
        </w:rPr>
        <w:t>将由专人接听、记录您的意见建议，并由双方协商共同解决。</w:t>
      </w:r>
    </w:p>
    <w:p>
      <w:pPr>
        <w:numPr>
          <w:ilvl w:val="0"/>
          <w:numId w:val="8"/>
        </w:numPr>
        <w:spacing w:line="360" w:lineRule="auto"/>
        <w:outlineLvl w:val="2"/>
        <w:rPr>
          <w:rFonts w:hint="eastAsia" w:ascii="宋体" w:hAnsi="宋体" w:cs="宋体"/>
          <w:kern w:val="0"/>
          <w:sz w:val="24"/>
          <w:highlight w:val="none"/>
        </w:rPr>
      </w:pPr>
      <w:r>
        <w:rPr>
          <w:rFonts w:hint="eastAsia" w:ascii="宋体" w:hAnsi="宋体" w:cs="宋体"/>
          <w:color w:val="000000"/>
          <w:kern w:val="0"/>
          <w:sz w:val="24"/>
          <w:highlight w:val="none"/>
        </w:rPr>
        <w:t>联络方式</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在重庆银行(作为销售机构)购买本理财计划的请联系重庆银行，重庆银行客户服务热线:956023，重庆银行官方网站</w:t>
      </w:r>
      <w:r>
        <w:rPr>
          <w:rFonts w:hint="eastAsia" w:ascii="宋体" w:hAnsi="宋体" w:cs="宋体"/>
          <w:kern w:val="0"/>
          <w:sz w:val="24"/>
          <w:lang w:eastAsia="zh-CN"/>
        </w:rPr>
        <w:t>：</w:t>
      </w:r>
      <w:r>
        <w:rPr>
          <w:rFonts w:hint="eastAsia" w:ascii="宋体" w:hAnsi="宋体" w:cs="宋体"/>
          <w:kern w:val="0"/>
          <w:sz w:val="24"/>
        </w:rPr>
        <w:t>www.cqcbank.com。</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ind w:firstLine="480" w:firstLineChars="200"/>
        <w:rPr>
          <w:rFonts w:hint="eastAsia" w:ascii="宋体" w:hAnsi="宋体" w:cs="宋体"/>
          <w:kern w:val="0"/>
          <w:sz w:val="24"/>
        </w:rPr>
      </w:pPr>
      <w:r>
        <w:rPr>
          <w:rFonts w:hint="eastAsia" w:ascii="宋体" w:hAnsi="宋体" w:cs="宋体"/>
          <w:kern w:val="0"/>
          <w:sz w:val="24"/>
        </w:rPr>
        <w:t>杭银理财联络方式：</w:t>
      </w:r>
    </w:p>
    <w:p>
      <w:pPr>
        <w:numPr>
          <w:ilvl w:val="0"/>
          <w:numId w:val="9"/>
        </w:numPr>
        <w:spacing w:line="360" w:lineRule="auto"/>
        <w:rPr>
          <w:rFonts w:hint="eastAsia" w:ascii="宋体" w:hAnsi="宋体" w:cs="宋体"/>
          <w:kern w:val="0"/>
          <w:sz w:val="24"/>
        </w:rPr>
      </w:pPr>
      <w:r>
        <w:rPr>
          <w:rFonts w:hint="eastAsia" w:ascii="宋体" w:hAnsi="宋体" w:cs="宋体"/>
          <w:kern w:val="0"/>
          <w:sz w:val="24"/>
        </w:rPr>
        <w:t>杭银理财联络方式：</w:t>
      </w:r>
    </w:p>
    <w:p>
      <w:pPr>
        <w:spacing w:line="360" w:lineRule="auto"/>
        <w:ind w:firstLine="480" w:firstLineChars="200"/>
        <w:rPr>
          <w:rFonts w:hint="eastAsia" w:ascii="宋体" w:hAnsi="宋体" w:cs="宋体"/>
          <w:kern w:val="0"/>
          <w:sz w:val="24"/>
          <w:u w:val="single"/>
        </w:rPr>
      </w:pPr>
      <w:r>
        <w:rPr>
          <w:rFonts w:hint="eastAsia" w:ascii="宋体" w:hAnsi="宋体" w:cs="宋体"/>
          <w:kern w:val="0"/>
          <w:sz w:val="24"/>
        </w:rPr>
        <w:t>官方网站：</w:t>
      </w:r>
      <w:r>
        <w:rPr>
          <w:rFonts w:ascii="宋体" w:hAnsi="宋体" w:cs="宋体"/>
          <w:kern w:val="0"/>
          <w:sz w:val="24"/>
        </w:rPr>
        <w:fldChar w:fldCharType="begin"/>
      </w:r>
      <w:r>
        <w:rPr>
          <w:rFonts w:ascii="宋体" w:hAnsi="宋体" w:cs="宋体"/>
          <w:kern w:val="0"/>
          <w:sz w:val="24"/>
        </w:rPr>
        <w:instrText xml:space="preserve"> HYPERLINK "https://www.hzbankwealth.com.cn/" \t "_blank" </w:instrText>
      </w:r>
      <w:r>
        <w:rPr>
          <w:rFonts w:ascii="宋体" w:hAnsi="宋体" w:cs="宋体"/>
          <w:kern w:val="0"/>
          <w:sz w:val="24"/>
        </w:rPr>
        <w:fldChar w:fldCharType="separate"/>
      </w:r>
      <w:r>
        <w:rPr>
          <w:rFonts w:ascii="宋体" w:hAnsi="宋体" w:cs="宋体"/>
          <w:kern w:val="0"/>
          <w:sz w:val="24"/>
        </w:rPr>
        <w:t>https://www.hzbankwealth.com.cn</w:t>
      </w:r>
      <w:r>
        <w:rPr>
          <w:rFonts w:ascii="宋体" w:hAnsi="宋体" w:cs="宋体"/>
          <w:kern w:val="0"/>
          <w:sz w:val="24"/>
        </w:rPr>
        <w:fldChar w:fldCharType="end"/>
      </w:r>
    </w:p>
    <w:p>
      <w:pPr>
        <w:spacing w:line="360" w:lineRule="auto"/>
        <w:ind w:firstLine="480" w:firstLineChars="200"/>
        <w:rPr>
          <w:rFonts w:ascii="宋体" w:hAnsi="宋体" w:cs="宋体"/>
          <w:kern w:val="0"/>
          <w:sz w:val="24"/>
        </w:rPr>
      </w:pPr>
      <w:r>
        <w:rPr>
          <w:rFonts w:hint="eastAsia" w:ascii="宋体" w:hAnsi="宋体" w:cs="宋体"/>
          <w:kern w:val="0"/>
          <w:sz w:val="24"/>
        </w:rPr>
        <w:t>客户服务热线：400-8950-999</w:t>
      </w:r>
    </w:p>
    <w:p>
      <w:pPr>
        <w:spacing w:line="360" w:lineRule="auto"/>
        <w:ind w:firstLine="480" w:firstLineChars="200"/>
        <w:rPr>
          <w:rFonts w:hint="eastAsia" w:ascii="宋体" w:hAnsi="宋体" w:cs="宋体"/>
          <w:kern w:val="0"/>
          <w:sz w:val="24"/>
        </w:rPr>
      </w:pPr>
      <w:r>
        <w:rPr>
          <w:rFonts w:hint="eastAsia" w:ascii="宋体" w:hAnsi="宋体" w:cs="宋体"/>
          <w:kern w:val="0"/>
          <w:sz w:val="24"/>
        </w:rPr>
        <w:t>公司地址：杭州市拱墅区庆春路38号金龙财富中心6楼</w:t>
      </w:r>
    </w:p>
    <w:p>
      <w:pPr>
        <w:spacing w:line="360" w:lineRule="auto"/>
        <w:ind w:firstLine="480" w:firstLineChars="200"/>
        <w:rPr>
          <w:rFonts w:hint="eastAsia" w:ascii="宋体" w:hAnsi="宋体" w:cs="宋体"/>
          <w:kern w:val="0"/>
          <w:sz w:val="24"/>
        </w:rPr>
      </w:pPr>
      <w:bookmarkStart w:id="0" w:name="_GoBack"/>
      <w:bookmarkEnd w:id="0"/>
      <w:r>
        <w:rPr>
          <w:rFonts w:hint="eastAsia" w:ascii="宋体" w:hAnsi="宋体" w:cs="宋体"/>
          <w:kern w:val="0"/>
          <w:sz w:val="24"/>
        </w:rPr>
        <w:t>若上述联系方式变更，杭银理财将提前通过官方网站及时告知投资者。</w:t>
      </w:r>
    </w:p>
    <w:p>
      <w:pPr>
        <w:numPr>
          <w:ilvl w:val="0"/>
          <w:numId w:val="9"/>
        </w:numPr>
        <w:spacing w:line="360" w:lineRule="auto"/>
        <w:rPr>
          <w:rFonts w:hint="eastAsia" w:ascii="宋体" w:hAnsi="宋体" w:cs="宋体"/>
          <w:kern w:val="0"/>
          <w:sz w:val="24"/>
        </w:rPr>
      </w:pPr>
      <w:r>
        <w:rPr>
          <w:rFonts w:hint="eastAsia" w:ascii="宋体" w:hAnsi="宋体" w:cs="宋体"/>
          <w:kern w:val="0"/>
          <w:sz w:val="24"/>
          <w:lang w:val="en-US" w:eastAsia="zh-CN"/>
        </w:rPr>
        <w:t>重庆</w:t>
      </w:r>
      <w:r>
        <w:rPr>
          <w:rFonts w:hint="eastAsia" w:ascii="宋体" w:hAnsi="宋体" w:cs="宋体"/>
          <w:kern w:val="0"/>
          <w:sz w:val="24"/>
        </w:rPr>
        <w:t>银行（作为销售机构）联络方式：</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官方网站</w:t>
      </w:r>
      <w:r>
        <w:rPr>
          <w:rFonts w:hint="eastAsia" w:ascii="宋体" w:hAnsi="宋体" w:cs="宋体"/>
          <w:kern w:val="0"/>
          <w:sz w:val="24"/>
          <w:lang w:eastAsia="zh-CN"/>
        </w:rPr>
        <w:t>：</w:t>
      </w:r>
      <w:r>
        <w:rPr>
          <w:rFonts w:hint="eastAsia" w:ascii="宋体" w:hAnsi="宋体" w:cs="宋体"/>
          <w:kern w:val="0"/>
          <w:sz w:val="24"/>
        </w:rPr>
        <w:t>www.cqcbank</w:t>
      </w:r>
      <w:r>
        <w:rPr>
          <w:rFonts w:hint="eastAsia" w:ascii="宋体" w:hAnsi="宋体" w:cs="宋体"/>
          <w:kern w:val="0"/>
          <w:sz w:val="24"/>
          <w:lang w:val="en-US" w:eastAsia="zh-CN"/>
        </w:rPr>
        <w:t>.</w:t>
      </w:r>
      <w:r>
        <w:rPr>
          <w:rFonts w:hint="eastAsia" w:ascii="宋体" w:hAnsi="宋体" w:cs="宋体"/>
          <w:kern w:val="0"/>
          <w:sz w:val="24"/>
        </w:rPr>
        <w:t>com</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客户服务热线</w:t>
      </w:r>
      <w:r>
        <w:rPr>
          <w:rFonts w:hint="eastAsia" w:ascii="宋体" w:hAnsi="宋体" w:cs="宋体"/>
          <w:kern w:val="0"/>
          <w:sz w:val="24"/>
          <w:lang w:eastAsia="zh-CN"/>
        </w:rPr>
        <w:t>：</w:t>
      </w:r>
      <w:r>
        <w:rPr>
          <w:rFonts w:hint="eastAsia" w:ascii="宋体" w:hAnsi="宋体" w:cs="宋体"/>
          <w:kern w:val="0"/>
          <w:sz w:val="24"/>
        </w:rPr>
        <w:t>956023</w:t>
      </w:r>
    </w:p>
    <w:p>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在其他销售机构购买理财计划的，请联系其他销售机构，联系方式以其披露为准。</w:t>
      </w:r>
    </w:p>
    <w:p>
      <w:pPr>
        <w:spacing w:line="360" w:lineRule="auto"/>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0B14"/>
    <w:multiLevelType w:val="singleLevel"/>
    <w:tmpl w:val="3C550B14"/>
    <w:lvl w:ilvl="0" w:tentative="0">
      <w:start w:val="1"/>
      <w:numFmt w:val="decimal"/>
      <w:suff w:val="nothing"/>
      <w:lvlText w:val="%1．"/>
      <w:lvlJc w:val="left"/>
      <w:pPr>
        <w:ind w:left="0" w:firstLine="400"/>
      </w:pPr>
      <w:rPr>
        <w:rFonts w:hint="default"/>
        <w:color w:val="000000"/>
      </w:rPr>
    </w:lvl>
  </w:abstractNum>
  <w:abstractNum w:abstractNumId="1">
    <w:nsid w:val="60C03E3F"/>
    <w:multiLevelType w:val="singleLevel"/>
    <w:tmpl w:val="60C03E3F"/>
    <w:lvl w:ilvl="0" w:tentative="0">
      <w:start w:val="1"/>
      <w:numFmt w:val="chineseCounting"/>
      <w:suff w:val="nothing"/>
      <w:lvlText w:val="（%1）"/>
      <w:lvlJc w:val="left"/>
      <w:pPr>
        <w:ind w:left="0" w:firstLine="420"/>
      </w:pPr>
      <w:rPr>
        <w:rFonts w:hint="eastAsia"/>
        <w:color w:val="000000"/>
      </w:rPr>
    </w:lvl>
  </w:abstractNum>
  <w:abstractNum w:abstractNumId="2">
    <w:nsid w:val="60C03E76"/>
    <w:multiLevelType w:val="singleLevel"/>
    <w:tmpl w:val="60C03E76"/>
    <w:lvl w:ilvl="0" w:tentative="0">
      <w:start w:val="1"/>
      <w:numFmt w:val="chineseCounting"/>
      <w:suff w:val="nothing"/>
      <w:lvlText w:val="%1、"/>
      <w:lvlJc w:val="left"/>
      <w:pPr>
        <w:ind w:left="0" w:firstLine="420"/>
      </w:pPr>
      <w:rPr>
        <w:rFonts w:hint="eastAsia"/>
        <w:color w:val="000000"/>
      </w:rPr>
    </w:lvl>
  </w:abstractNum>
  <w:abstractNum w:abstractNumId="3">
    <w:nsid w:val="60C03E91"/>
    <w:multiLevelType w:val="singleLevel"/>
    <w:tmpl w:val="60C03E91"/>
    <w:lvl w:ilvl="0" w:tentative="0">
      <w:start w:val="2"/>
      <w:numFmt w:val="chineseCounting"/>
      <w:suff w:val="nothing"/>
      <w:lvlText w:val="%1、"/>
      <w:lvlJc w:val="left"/>
      <w:pPr>
        <w:ind w:left="0" w:firstLine="420"/>
      </w:pPr>
      <w:rPr>
        <w:rFonts w:hint="eastAsia"/>
        <w:color w:val="000000"/>
      </w:rPr>
    </w:lvl>
  </w:abstractNum>
  <w:abstractNum w:abstractNumId="4">
    <w:nsid w:val="60C03EC3"/>
    <w:multiLevelType w:val="singleLevel"/>
    <w:tmpl w:val="60C03EC3"/>
    <w:lvl w:ilvl="0" w:tentative="0">
      <w:start w:val="3"/>
      <w:numFmt w:val="chineseCounting"/>
      <w:suff w:val="nothing"/>
      <w:lvlText w:val="%1、"/>
      <w:lvlJc w:val="left"/>
      <w:pPr>
        <w:ind w:left="0" w:firstLine="420"/>
      </w:pPr>
      <w:rPr>
        <w:rFonts w:hint="eastAsia"/>
        <w:color w:val="000000"/>
      </w:rPr>
    </w:lvl>
  </w:abstractNum>
  <w:abstractNum w:abstractNumId="5">
    <w:nsid w:val="60C03ED7"/>
    <w:multiLevelType w:val="singleLevel"/>
    <w:tmpl w:val="60C03ED7"/>
    <w:lvl w:ilvl="0" w:tentative="0">
      <w:start w:val="1"/>
      <w:numFmt w:val="chineseCounting"/>
      <w:suff w:val="nothing"/>
      <w:lvlText w:val="（%1）"/>
      <w:lvlJc w:val="left"/>
      <w:pPr>
        <w:ind w:left="0" w:firstLine="420"/>
      </w:pPr>
      <w:rPr>
        <w:rFonts w:hint="eastAsia"/>
        <w:color w:val="000000"/>
      </w:rPr>
    </w:lvl>
  </w:abstractNum>
  <w:abstractNum w:abstractNumId="6">
    <w:nsid w:val="60C03F05"/>
    <w:multiLevelType w:val="singleLevel"/>
    <w:tmpl w:val="60C03F05"/>
    <w:lvl w:ilvl="0" w:tentative="0">
      <w:start w:val="1"/>
      <w:numFmt w:val="decimal"/>
      <w:suff w:val="nothing"/>
      <w:lvlText w:val="%1．"/>
      <w:lvlJc w:val="left"/>
      <w:pPr>
        <w:ind w:left="0" w:firstLine="400"/>
      </w:pPr>
      <w:rPr>
        <w:rFonts w:hint="default"/>
        <w:color w:val="000000"/>
      </w:rPr>
    </w:lvl>
  </w:abstractNum>
  <w:abstractNum w:abstractNumId="7">
    <w:nsid w:val="60C03F2E"/>
    <w:multiLevelType w:val="singleLevel"/>
    <w:tmpl w:val="60C03F2E"/>
    <w:lvl w:ilvl="0" w:tentative="0">
      <w:start w:val="4"/>
      <w:numFmt w:val="chineseCounting"/>
      <w:suff w:val="nothing"/>
      <w:lvlText w:val="（%1）"/>
      <w:lvlJc w:val="left"/>
      <w:pPr>
        <w:ind w:left="0" w:firstLine="420"/>
      </w:pPr>
      <w:rPr>
        <w:rFonts w:hint="eastAsia"/>
        <w:color w:val="000000"/>
      </w:rPr>
    </w:lvl>
  </w:abstractNum>
  <w:abstractNum w:abstractNumId="8">
    <w:nsid w:val="60C03F4B"/>
    <w:multiLevelType w:val="singleLevel"/>
    <w:tmpl w:val="60C03F4B"/>
    <w:lvl w:ilvl="0" w:tentative="0">
      <w:start w:val="1"/>
      <w:numFmt w:val="chineseCounting"/>
      <w:suff w:val="nothing"/>
      <w:lvlText w:val="（%1）"/>
      <w:lvlJc w:val="left"/>
      <w:pPr>
        <w:ind w:left="0" w:firstLine="420"/>
      </w:pPr>
      <w:rPr>
        <w:rFonts w:hint="eastAsia"/>
        <w:color w:val="000000"/>
      </w:r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E74315"/>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1A6BC6"/>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72</Pages>
  <Words>33877</Words>
  <Characters>34745</Characters>
  <Lines>1</Lines>
  <Paragraphs>1</Paragraphs>
  <TotalTime>0</TotalTime>
  <ScaleCrop>false</ScaleCrop>
  <LinksUpToDate>false</LinksUpToDate>
  <CharactersWithSpaces>35110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2026-07-14T07:32:33Z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2052-11.8.2.8411</vt:lpwstr>
  </property>
</Properties>
</file>