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color w:val="000000"/>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幸福99丰裕固收768天26134期理财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Z7002226000293</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
        </w:numPr>
        <w:spacing w:line="360" w:lineRule="auto"/>
        <w:jc w:val="left"/>
        <w:outlineLvl w:val="1"/>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spacing w:line="360" w:lineRule="auto"/>
        <w:jc w:val="left"/>
        <w:rPr>
          <w:rFonts w:hint="eastAsia" w:ascii="宋体" w:hAnsi="宋体" w:cs="宋体"/>
          <w:bCs/>
          <w:color w:val="000000"/>
          <w:sz w:val="24"/>
          <w:highlight w:val="none"/>
        </w:rPr>
      </w:pPr>
    </w:p>
    <w:p>
      <w:pPr>
        <w:numPr>
          <w:ilvl w:val="0"/>
          <w:numId w:val="3"/>
        </w:numPr>
        <w:spacing w:line="360" w:lineRule="auto"/>
        <w:jc w:val="left"/>
        <w:outlineLvl w:val="1"/>
        <w:rPr>
          <w:rFonts w:ascii="宋体" w:hAnsi="宋体" w:cs="宋体"/>
          <w:b/>
          <w:color w:val="000000"/>
          <w:sz w:val="24"/>
          <w:highlight w:val="none"/>
        </w:rPr>
      </w:pPr>
      <w:r>
        <w:rPr>
          <w:rFonts w:hint="eastAsia" w:ascii="宋体" w:hAnsi="宋体" w:cs="宋体"/>
          <w:b/>
          <w:color w:val="000000"/>
          <w:sz w:val="24"/>
          <w:highlight w:val="none"/>
        </w:rPr>
        <w:t>释义</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幸福99丰裕固收768天26134期理财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幸福99丰裕固收768天26134期理财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幸福99丰裕固收768天26134期理财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幸福99丰裕固收768天26134期理财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幸福99丰裕固收768天26134期理财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w:t>
      </w:r>
      <w:r>
        <w:rPr>
          <w:rFonts w:hint="eastAsia" w:ascii="宋体" w:hAnsi="宋体" w:cs="宋体"/>
          <w:bCs/>
          <w:color w:val="000000"/>
          <w:kern w:val="2"/>
          <w:highlight w:val="none"/>
        </w:rPr>
        <w:t>书》《投资者权益须知》《理财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幸福99丰裕固收768天26134期理财</w:t>
      </w:r>
      <w:r>
        <w:rPr>
          <w:rFonts w:hint="eastAsia" w:ascii="宋体" w:hAnsi="宋体" w:cs="宋体"/>
          <w:bCs/>
          <w:color w:val="000000"/>
          <w:highlight w:val="none"/>
        </w:rPr>
        <w:t>。</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流动性</w:t>
      </w:r>
      <w:r>
        <w:rPr>
          <w:rFonts w:hint="eastAsia"/>
          <w:b/>
          <w:bCs w:val="0"/>
          <w:color w:val="000000"/>
          <w:highlight w:val="none"/>
          <w:lang w:val="en-US" w:eastAsia="zh-CN"/>
        </w:rPr>
        <w:t>受限资产：</w:t>
      </w:r>
      <w:r>
        <w:rPr>
          <w:rFonts w:hint="eastAsia"/>
          <w:color w:val="000000"/>
          <w:highlight w:val="none"/>
          <w:lang w:val="en-US" w:eastAsia="zh-CN"/>
        </w:rPr>
        <w:t>是指由于法律法规、监管、合同或操作障碍等原因无法以合理价格予以变现的资产，包括到期日在</w:t>
      </w:r>
      <w:r>
        <w:rPr>
          <w:rFonts w:hint="eastAsia" w:ascii="宋体" w:hAnsi="宋体" w:eastAsia="宋体" w:cs="宋体"/>
          <w:color w:val="000000"/>
          <w:highlight w:val="none"/>
          <w:lang w:val="en-US" w:eastAsia="zh-CN"/>
        </w:rPr>
        <w:t>10</w:t>
      </w:r>
      <w:r>
        <w:rPr>
          <w:rFonts w:hint="eastAsia"/>
          <w:color w:val="000000"/>
          <w:highlight w:val="none"/>
          <w:lang w:val="en-US" w:eastAsia="zh-CN"/>
        </w:rPr>
        <w:t>个交易日以上的逆回购与银行定期存款（含协议约定有条件提前支取的银行存款）、距可赎回日在</w:t>
      </w:r>
      <w:r>
        <w:rPr>
          <w:rFonts w:hint="eastAsia" w:ascii="宋体" w:hAnsi="宋体" w:eastAsia="宋体" w:cs="宋体"/>
          <w:color w:val="000000"/>
          <w:highlight w:val="none"/>
          <w:lang w:val="en-US" w:eastAsia="zh-CN"/>
        </w:rPr>
        <w:t>10</w:t>
      </w:r>
      <w:r>
        <w:rPr>
          <w:rFonts w:hint="eastAsia"/>
          <w:color w:val="000000"/>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17"/>
        <w:numPr>
          <w:ilvl w:val="0"/>
          <w:numId w:val="8"/>
        </w:numPr>
        <w:adjustRightInd/>
        <w:spacing w:line="360" w:lineRule="auto"/>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17"/>
        <w:adjustRightInd/>
        <w:spacing w:line="360" w:lineRule="auto"/>
        <w:rPr>
          <w:rFonts w:hint="eastAsia" w:ascii="宋体" w:hAnsi="宋体" w:cs="宋体"/>
          <w:bCs/>
          <w:color w:val="000000"/>
          <w:kern w:val="2"/>
          <w:highlight w:val="none"/>
        </w:rPr>
      </w:pPr>
    </w:p>
    <w:p>
      <w:pPr>
        <w:pStyle w:val="17"/>
        <w:numPr>
          <w:ilvl w:val="0"/>
          <w:numId w:val="9"/>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激进型</w:t>
            </w:r>
          </w:p>
        </w:tc>
      </w:tr>
    </w:tbl>
    <w:p>
      <w:pPr>
        <w:pStyle w:val="17"/>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17"/>
        <w:adjustRightInd/>
        <w:spacing w:line="360" w:lineRule="auto"/>
        <w:rPr>
          <w:rFonts w:hint="eastAsia" w:ascii="宋体" w:hAnsi="宋体" w:cs="宋体"/>
          <w:bCs/>
          <w:color w:val="000000"/>
          <w:kern w:val="2"/>
          <w:highlight w:val="none"/>
          <w:lang w:eastAsia="zh-CN"/>
        </w:rPr>
      </w:pPr>
    </w:p>
    <w:p>
      <w:pPr>
        <w:pStyle w:val="17"/>
        <w:numPr>
          <w:ilvl w:val="0"/>
          <w:numId w:val="9"/>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幸福99丰裕固收768天26134期理财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丰裕固收26134期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FYG26134</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Z7002226000293</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Cs w:val="21"/>
                <w:highlight w:val="none"/>
              </w:rPr>
              <w:t>。</w:t>
            </w:r>
            <w:r>
              <w:rPr>
                <w:rFonts w:hint="eastAsia" w:ascii="宋体" w:hAnsi="宋体" w:cs="宋体"/>
                <w:bCs/>
                <w:color w:val="000000"/>
                <w:kern w:val="2"/>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其中：</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A份额（销售代码〖FYG26134A〗）：普通个人投资者和机构客户。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B份额（销售代码〖FYG26134B〗）：普通个人投资者和机构客户。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C份额（销售代码〖FYG26134C〗）：普通个人投资者和机构客户。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D份额（销售代码〖FYG26134D〗）：普通个人投资者和机构客户。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E份额惠享款（幸福金桂）（销售代码〖FYG26134E〗）：普通个人投资者和机构客户。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F份额惠享款（幸福金桂私行专属）（销售代码〖FYG26134F〗）：特邀客户。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G份额惠享款（销售代码〖FYG26134G〗）：普通个人投资者和机构客户。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H份额（销售代码〖FYG26134H〗）：普通个人投资者和机构客户。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I份额（爽盈优选）（销售代码〖FYG26134I〗）：普通个人投资者和机构客户。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J份额（天府·优选）（销售代码〖FYG26134J〗）：普通个人投资者和机构客户。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K份额惠享款（吉享人生）（销售代码〖FYG26134K〗）：普通个人投资者和机构客户。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M份额惠享款（湖北银行专属）（销售代码〖FYG26134M〗）：普通个人投资者和机构客户。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N份额惠享款（长长财富·鑫享）（销售代码〖FYG26134N〗）：普通个人投资者和机构客户。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P份额（芙蓉锦程·优选）（销售代码〖FYG26134P〗）：普通个人投资者和机构客户。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Q份额（芙蓉锦程·优选-尊享款）（销售代码〖FYG26134Q〗）：普通个人投资者和机构客户。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T份额（销售代码〖FYG26134T〗）：普通个人投资者和机构客户。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W份额惠享款（销售代码〖FYG26134W〗）：普通个人投资者和机构客户。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X份额惠享款（销售代码〖FYG26134X〗）：普通个人投资者和机构客户。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Y份额惠享款（销售代码〖FYG26134Y〗）：普通个人投资者和机构客户。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Z份额惠享款（销售代码〖FYG26134Z〗）：普通个人投资者和机构客户。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2028</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768</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〖K份额〗起点〖5〗万元整，超过认购起点部分，应为〖1〗元的整数倍。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CN"/>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单位净值〖保留小数点后四位〗，〖四位后四舍五入〗</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Cs w:val="21"/>
                <w:highlight w:val="none"/>
              </w:rPr>
              <w:t>，最晚</w:t>
            </w:r>
            <w:r>
              <w:rPr>
                <w:rFonts w:hint="eastAsia" w:ascii="宋体" w:hAnsi="宋体" w:eastAsia="宋体" w:cs="宋体"/>
                <w:color w:val="000000"/>
                <w:kern w:val="2"/>
                <w:sz w:val="21"/>
                <w:szCs w:val="21"/>
                <w:lang w:val="en-US" w:eastAsia="zh-CN" w:bidi="ar"/>
              </w:rPr>
              <w:t>〖3〗个〖工作日〗内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color w:val="000000"/>
                <w:szCs w:val="21"/>
                <w:highlight w:val="none"/>
                <w:lang w:eastAsia="zh-CN"/>
              </w:rPr>
              <w:t>不</w:t>
            </w:r>
            <w:r>
              <w:rPr>
                <w:rFonts w:hint="eastAsia" w:ascii="宋体" w:hAnsi="宋体" w:cs="宋体"/>
                <w:color w:val="000000"/>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本理财计划〖A份额〗业绩比较基准为〖2.45%-2.65%〗（年化）。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本理财计划〖B份额〗业绩比较基准为〖2.55%-2.75%〗（年化）。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本理财计划〖C份额〗业绩比较基准为〖2.65%-2.85%〗（年化）。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本理财计划〖D份额〗业绩比较基准为〖2.60%-2.80%〗（年化）。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本理财计划〖E份额〗业绩比较基准为〖2.55%-2.75%〗（年化）。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本理财计划〖F份额〗业绩比较基准为〖2.60%-2.80%〗（年化）。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本理财计划〖G份额〗业绩比较基准为〖2.35%-2.55%〗（年化）。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本理财计划〖H份额〗业绩比较基准为〖2.70%-2.90%〗（年化）。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本理财计划〖I份额〗业绩比较基准为〖2.45%-2.65%〗（年化）。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本理财计划〖J份额〗业绩比较基准为〖2.60%-2.80%〗（年化）。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本理财计划〖K份额〗业绩比较基准为〖2.65%-2.85%〗（年化）。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本理财计划〖M份额〗业绩比较基准为〖2.70%-2.90%〗（年化）。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本理财计划〖N份额〗业绩比较基准为〖2.55%-2.75%〗（年化）。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本理财计划〖P份额〗业绩比较基准为〖2.60%-2.80%〗（年化）。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本理财计划〖Q份额〗业绩比较基准为〖2.75%-2.95%〗（年化）。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本理财计划〖T份额〗业绩比较基准为〖2.50%-2.70%〗（年化）。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本理财计划〖W份额〗业绩比较基准为〖2.45%-2.65%〗（年化）。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本理财计划〖X份额〗业绩比较基准为〖2.60%-2.80%〗（年化）。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本理财计划〖Y份额〗业绩比较基准为〖2.55%-2.75%〗（年化）。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本理财计划〖Z份额〗业绩比较基准为〖2.65%-2.85%〗（年化）。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color w:val="000000"/>
                <w:szCs w:val="21"/>
                <w:highlight w:val="none"/>
              </w:rPr>
              <w:t>本理财计划为净值型理财产品，其业绩表现将随市场波动具有不确定性。本公司提醒投资者关注，业绩比较基准</w:t>
            </w:r>
            <w:r>
              <w:rPr>
                <w:rFonts w:hint="eastAsia" w:ascii="宋体" w:hAnsi="宋体" w:cs="宋体"/>
                <w:b/>
                <w:color w:val="000000"/>
                <w:szCs w:val="21"/>
                <w:highlight w:val="none"/>
                <w:lang w:eastAsia="zh-CN"/>
              </w:rPr>
              <w:t>不是预期收益率，</w:t>
            </w:r>
            <w:r>
              <w:rPr>
                <w:rFonts w:hint="eastAsia" w:ascii="宋体" w:hAnsi="宋体" w:cs="宋体"/>
                <w:b/>
                <w:color w:val="000000"/>
                <w:szCs w:val="21"/>
                <w:highlight w:val="none"/>
              </w:rPr>
              <w:t>并不代表</w:t>
            </w:r>
            <w:r>
              <w:rPr>
                <w:rFonts w:hint="eastAsia" w:ascii="宋体" w:hAnsi="宋体" w:cs="宋体"/>
                <w:b/>
                <w:color w:val="000000"/>
                <w:szCs w:val="21"/>
                <w:highlight w:val="none"/>
                <w:lang w:eastAsia="zh-CN"/>
              </w:rPr>
              <w:t>理财计划的未来表现和</w:t>
            </w:r>
            <w:r>
              <w:rPr>
                <w:rFonts w:hint="eastAsia" w:ascii="宋体" w:hAnsi="宋体" w:cs="宋体"/>
                <w:b/>
                <w:color w:val="000000"/>
                <w:szCs w:val="21"/>
                <w:highlight w:val="none"/>
              </w:rPr>
              <w:t>实际收益率</w:t>
            </w:r>
            <w:r>
              <w:rPr>
                <w:rFonts w:hint="eastAsia" w:ascii="宋体" w:hAnsi="宋体" w:cs="宋体"/>
                <w:b/>
                <w:color w:val="000000"/>
                <w:szCs w:val="21"/>
                <w:highlight w:val="none"/>
                <w:lang w:eastAsia="zh-CN"/>
              </w:rPr>
              <w:t>，不构成对理财计划收益的承诺</w:t>
            </w:r>
            <w:r>
              <w:rPr>
                <w:rFonts w:hint="eastAsia" w:ascii="宋体" w:hAnsi="宋体" w:cs="宋体"/>
                <w:b/>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〖E份额〗收取年化〖0.20%〗的销售服务费, 〖F份额〗收取年化〖0.15%〗的销售服务费, 〖G份额〗收取年化〖0.40%〗的销售服务费, 〖H份额〗收取年化〖0.05%〗的销售服务费, 〖I份额〗收取年化〖0.30%〗的销售服务费, 〖J份额〗收取年化〖0.15%〗的销售服务费, 〖K份额〗收取年化〖0.10%〗的销售服务费, 〖M份额〗收取年化〖0.05%〗的销售服务费, 〖N份额〗收取年化〖0.20%〗的销售服务费, 〖P份额〗收取年化〖0.15%〗的销售服务费, 〖Q份额〗收取年化〖0.05%〗的销售服务费, 〖T份额〗收取年化〖0.25%〗的销售服务费, 〖W份额〗收取年化〖0.30%〗的销售服务费, 〖X份额〗收取年化〖0.15%〗的销售服务费,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〖E份额〗收取年化〖0.10%〗的固定管理费, 〖F份额〗收取年化〖0.10%〗的固定管理费, 〖G份额〗收取年化〖0.10%〗的固定管理费, 〖H份额〗收取年化〖0.10%〗的固定管理费, 〖I份额〗收取年化〖0.10%〗的固定管理费, 〖J份额〗收取年化〖0.10%〗的固定管理费, 〖K份额〗收取年化〖0.10%〗的固定管理费, 〖M份额〗收取年化〖0.10%〗的固定管理费, 〖N份额〗收取年化〖0.10%〗的固定管理费, 〖P份额〗收取年化〖0.10%〗的固定管理费, 〖Q份额〗收取年化〖0.05%〗的固定管理费, 〖T份额〗收取年化〖0.10%〗的固定管理费, 〖W份额〗收取年化〖0.10%〗的固定管理费, 〖X份额〗收取年化〖0.10%〗的固定管理费, 〖Y份额〗收取年化〖0.10%〗的固定管理费, 〖Z份额〗收取年化〖0.10%〗的固定管理费。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到期日（提前终止日）的折合年化收益率在〖业绩比较基准下限（含）至业绩比较基准上限（含）〗的部分，管理人提取〖50%〗作为浮动管理费，在折合年化收益率超过〖业绩比较基准上限〗的部分，管理人提取〖80%〗作为浮动管理费。</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
              </w:rPr>
              <w:t>6.信息技术服务费：收取年化〖0.002%〗的信息技术服务费。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0"/>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color w:val="000000"/>
          <w:kern w:val="2"/>
          <w:position w:val="0"/>
          <w:sz w:val="24"/>
          <w:szCs w:val="24"/>
          <w:highlight w:val="none"/>
        </w:rPr>
      </w:pPr>
      <w:r>
        <w:rPr>
          <w:rFonts w:hint="eastAsia" w:ascii="宋体" w:hAnsi="宋体" w:eastAsia="宋体" w:cs="宋体"/>
          <w:color w:val="000000"/>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color w:val="000000"/>
          <w:highlight w:val="none"/>
        </w:rPr>
      </w:pPr>
      <w:r>
        <w:rPr>
          <w:rFonts w:hint="eastAsia" w:ascii="宋体" w:hAnsi="宋体" w:eastAsia="宋体" w:cs="宋体"/>
          <w:color w:val="000000"/>
          <w:kern w:val="2"/>
          <w:position w:val="0"/>
          <w:sz w:val="24"/>
          <w:szCs w:val="24"/>
          <w:highlight w:val="none"/>
          <w:lang w:val="en-US" w:eastAsia="zh-CN" w:bidi="ar"/>
        </w:rPr>
        <w:t>法律法规或监管机构允许投资的符合本理财产品投资性质的其他金融资产。</w:t>
      </w:r>
    </w:p>
    <w:p>
      <w:pPr>
        <w:numPr>
          <w:ilvl w:val="0"/>
          <w:numId w:val="11"/>
        </w:numPr>
        <w:spacing w:line="360" w:lineRule="auto"/>
        <w:jc w:val="left"/>
        <w:outlineLvl w:val="2"/>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投资比例</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本理财计划各投资资产占</w:t>
      </w:r>
      <w:r>
        <w:rPr>
          <w:rFonts w:hint="eastAsia" w:ascii="宋体" w:hAnsi="宋体" w:eastAsia="宋体" w:cs="宋体"/>
          <w:bCs/>
          <w:color w:val="000000"/>
          <w:sz w:val="24"/>
          <w:highlight w:val="none"/>
          <w:lang w:eastAsia="zh-CN"/>
        </w:rPr>
        <w:t>总</w:t>
      </w:r>
      <w:r>
        <w:rPr>
          <w:rFonts w:hint="eastAsia" w:ascii="宋体" w:hAnsi="宋体" w:eastAsia="宋体" w:cs="宋体"/>
          <w:bCs/>
          <w:color w:val="000000"/>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szCs w:val="24"/>
          <w:highlight w:val="none"/>
        </w:rPr>
      </w:pPr>
      <w:r>
        <w:rPr>
          <w:rFonts w:hint="eastAsia" w:ascii="宋体" w:hAnsi="宋体" w:eastAsia="宋体" w:cs="宋体"/>
          <w:color w:val="000000"/>
          <w:kern w:val="2"/>
          <w:sz w:val="24"/>
          <w:szCs w:val="24"/>
          <w:lang w:val="en-US" w:eastAsia="zh-CN" w:bidi="ar"/>
        </w:rPr>
        <w:t>本理财产品投资于固定收益类资产的比例不低于80%，投资于非标准化债权类资产的比例不高于50%。</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2"/>
        </w:numPr>
        <w:adjustRightInd/>
        <w:spacing w:line="360" w:lineRule="auto"/>
        <w:ind w:firstLine="458" w:firstLineChars="190"/>
        <w:rPr>
          <w:rFonts w:hint="eastAsia" w:ascii="宋体" w:hAnsi="宋体" w:cs="宋体"/>
          <w:bCs/>
          <w:color w:val="000000"/>
          <w:kern w:val="2"/>
          <w:highlight w:val="none"/>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17"/>
        <w:numPr>
          <w:ilvl w:val="0"/>
          <w:numId w:val="13"/>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4"/>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本理财计划投资的非标准化债权类资产到期日不得晚于理财计划到期日。</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本理财计划的总资产不得超过净资产的200%。</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lang w:eastAsia="zh-CN"/>
        </w:rPr>
        <w:t>拟</w:t>
      </w:r>
      <w:r>
        <w:rPr>
          <w:rFonts w:hint="eastAsia" w:ascii="宋体" w:hAnsi="宋体" w:cs="宋体"/>
          <w:b/>
          <w:bCs w:val="0"/>
          <w:color w:val="00000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19"/>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Cs w:val="21"/>
                <w:highlight w:val="none"/>
              </w:rPr>
            </w:pPr>
            <w:r>
              <w:rPr>
                <w:rFonts w:hint="default"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color w:val="000000"/>
                <w:szCs w:val="21"/>
                <w:highlight w:val="none"/>
                <w:lang w:val="en-US" w:eastAsia="zh-CN"/>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新疆银行股份有限公司</w:t>
            </w:r>
          </w:p>
        </w:tc>
        <w:tc>
          <w:tcPr>
            <w:tcW w:w="1200" w:type="dxa"/>
            <w:vAlign w:val="center"/>
          </w:tcPr>
          <w:p>
            <w:pPr>
              <w:jc w:val="left"/>
            </w:pPr>
            <w:r>
              <w:t>住所</w:t>
            </w:r>
          </w:p>
        </w:tc>
        <w:tc>
          <w:tcPr>
            <w:tcW w:w="3800" w:type="dxa"/>
            <w:vAlign w:val="center"/>
          </w:tcPr>
          <w:p>
            <w:pPr>
              <w:jc w:val="center"/>
            </w:pPr>
            <w:r>
              <w:t>新疆乌鲁木齐市天山区新华南路338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江苏丹阳农村商业银行股份有限公司</w:t>
            </w:r>
          </w:p>
        </w:tc>
        <w:tc>
          <w:tcPr>
            <w:tcW w:w="1200" w:type="dxa"/>
            <w:vAlign w:val="center"/>
          </w:tcPr>
          <w:p>
            <w:pPr>
              <w:jc w:val="left"/>
            </w:pPr>
            <w:r>
              <w:t>住所</w:t>
            </w:r>
          </w:p>
        </w:tc>
        <w:tc>
          <w:tcPr>
            <w:tcW w:w="3800" w:type="dxa"/>
            <w:vAlign w:val="center"/>
          </w:tcPr>
          <w:p>
            <w:pPr>
              <w:jc w:val="center"/>
            </w:pPr>
            <w: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江苏仪征农村商业银行股份有限公司</w:t>
            </w:r>
          </w:p>
        </w:tc>
        <w:tc>
          <w:tcPr>
            <w:tcW w:w="1200" w:type="dxa"/>
            <w:vAlign w:val="center"/>
          </w:tcPr>
          <w:p>
            <w:pPr>
              <w:jc w:val="left"/>
            </w:pPr>
            <w:r>
              <w:t>住所</w:t>
            </w:r>
          </w:p>
        </w:tc>
        <w:tc>
          <w:tcPr>
            <w:tcW w:w="3800" w:type="dxa"/>
            <w:vAlign w:val="center"/>
          </w:tcPr>
          <w:p>
            <w:pPr>
              <w:jc w:val="center"/>
            </w:pPr>
            <w:r>
              <w:t>江苏省仪征市真州镇解放东路818号金融集聚区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江苏启东农村商业银行股份有限公司</w:t>
            </w:r>
          </w:p>
        </w:tc>
        <w:tc>
          <w:tcPr>
            <w:tcW w:w="1200" w:type="dxa"/>
            <w:vAlign w:val="center"/>
          </w:tcPr>
          <w:p>
            <w:pPr>
              <w:jc w:val="left"/>
            </w:pPr>
            <w:r>
              <w:t>住所</w:t>
            </w:r>
          </w:p>
        </w:tc>
        <w:tc>
          <w:tcPr>
            <w:tcW w:w="3800" w:type="dxa"/>
            <w:vAlign w:val="center"/>
          </w:tcPr>
          <w:p>
            <w:pPr>
              <w:jc w:val="center"/>
            </w:pPr>
            <w:r>
              <w:t>江苏省启东市汇龙镇金沙江路1688号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0513-83929017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江苏如皋农村商业银行股份有限公司</w:t>
            </w:r>
          </w:p>
        </w:tc>
        <w:tc>
          <w:tcPr>
            <w:tcW w:w="1200" w:type="dxa"/>
            <w:vAlign w:val="center"/>
          </w:tcPr>
          <w:p>
            <w:pPr>
              <w:jc w:val="left"/>
            </w:pPr>
            <w:r>
              <w:t>住所</w:t>
            </w:r>
          </w:p>
        </w:tc>
        <w:tc>
          <w:tcPr>
            <w:tcW w:w="3800" w:type="dxa"/>
            <w:vAlign w:val="center"/>
          </w:tcPr>
          <w:p>
            <w:pPr>
              <w:jc w:val="center"/>
            </w:pPr>
            <w:r>
              <w:t>如皋市如城街道海阳南路999号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江苏宝应农村商业银行股份有限公司</w:t>
            </w:r>
          </w:p>
        </w:tc>
        <w:tc>
          <w:tcPr>
            <w:tcW w:w="1200" w:type="dxa"/>
            <w:vAlign w:val="center"/>
          </w:tcPr>
          <w:p>
            <w:pPr>
              <w:jc w:val="left"/>
            </w:pPr>
            <w:r>
              <w:t>住所</w:t>
            </w:r>
          </w:p>
        </w:tc>
        <w:tc>
          <w:tcPr>
            <w:tcW w:w="3800" w:type="dxa"/>
            <w:vAlign w:val="center"/>
          </w:tcPr>
          <w:p>
            <w:pPr>
              <w:jc w:val="center"/>
            </w:pPr>
            <w:r>
              <w:t>江苏省宝应县文津路1号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江苏张家港农村商业银行股份有限公司</w:t>
            </w:r>
          </w:p>
        </w:tc>
        <w:tc>
          <w:tcPr>
            <w:tcW w:w="1200" w:type="dxa"/>
            <w:vAlign w:val="center"/>
          </w:tcPr>
          <w:p>
            <w:pPr>
              <w:jc w:val="left"/>
            </w:pPr>
            <w:r>
              <w:t>住所</w:t>
            </w:r>
          </w:p>
        </w:tc>
        <w:tc>
          <w:tcPr>
            <w:tcW w:w="3800" w:type="dxa"/>
            <w:vAlign w:val="center"/>
          </w:tcPr>
          <w:p>
            <w:pPr>
              <w:jc w:val="center"/>
            </w:pPr>
            <w:r>
              <w:t>江苏省苏州市张家港市杨舍镇人民中路66号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江苏扬中农村商业银行股份有限公司</w:t>
            </w:r>
          </w:p>
        </w:tc>
        <w:tc>
          <w:tcPr>
            <w:tcW w:w="1200" w:type="dxa"/>
            <w:vAlign w:val="center"/>
          </w:tcPr>
          <w:p>
            <w:pPr>
              <w:jc w:val="left"/>
            </w:pPr>
            <w:r>
              <w:t>住所</w:t>
            </w:r>
          </w:p>
        </w:tc>
        <w:tc>
          <w:tcPr>
            <w:tcW w:w="3800" w:type="dxa"/>
            <w:vAlign w:val="center"/>
          </w:tcPr>
          <w:p>
            <w:pPr>
              <w:jc w:val="center"/>
            </w:pPr>
            <w:r>
              <w:t>江苏省扬中市扬子西路79号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江苏扬州农村商业银行股份有限公司</w:t>
            </w:r>
          </w:p>
        </w:tc>
        <w:tc>
          <w:tcPr>
            <w:tcW w:w="1200" w:type="dxa"/>
            <w:vAlign w:val="center"/>
          </w:tcPr>
          <w:p>
            <w:pPr>
              <w:jc w:val="left"/>
            </w:pPr>
            <w:r>
              <w:t>住所</w:t>
            </w:r>
          </w:p>
        </w:tc>
        <w:tc>
          <w:tcPr>
            <w:tcW w:w="3800" w:type="dxa"/>
            <w:vAlign w:val="center"/>
          </w:tcPr>
          <w:p>
            <w:pPr>
              <w:jc w:val="center"/>
            </w:pPr>
            <w: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江苏江南农村商业银行股份有限公司</w:t>
            </w:r>
          </w:p>
        </w:tc>
        <w:tc>
          <w:tcPr>
            <w:tcW w:w="1200" w:type="dxa"/>
            <w:vAlign w:val="center"/>
          </w:tcPr>
          <w:p>
            <w:pPr>
              <w:jc w:val="left"/>
            </w:pPr>
            <w:r>
              <w:t>住所</w:t>
            </w:r>
          </w:p>
        </w:tc>
        <w:tc>
          <w:tcPr>
            <w:tcW w:w="3800" w:type="dxa"/>
            <w:vAlign w:val="center"/>
          </w:tcPr>
          <w:p>
            <w:pPr>
              <w:jc w:val="center"/>
            </w:pPr>
            <w: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江苏江阴农村商业银行股份有限公司</w:t>
            </w:r>
          </w:p>
        </w:tc>
        <w:tc>
          <w:tcPr>
            <w:tcW w:w="1200" w:type="dxa"/>
            <w:vAlign w:val="center"/>
          </w:tcPr>
          <w:p>
            <w:pPr>
              <w:jc w:val="left"/>
            </w:pPr>
            <w:r>
              <w:t>住所</w:t>
            </w:r>
          </w:p>
        </w:tc>
        <w:tc>
          <w:tcPr>
            <w:tcW w:w="3800" w:type="dxa"/>
            <w:vAlign w:val="center"/>
          </w:tcPr>
          <w:p>
            <w:pPr>
              <w:jc w:val="center"/>
            </w:pPr>
            <w:r>
              <w:t>江阴市澄江中路1号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0510-86823403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江苏滨海农村商业银行股份有限公司</w:t>
            </w:r>
          </w:p>
        </w:tc>
        <w:tc>
          <w:tcPr>
            <w:tcW w:w="1200" w:type="dxa"/>
            <w:vAlign w:val="center"/>
          </w:tcPr>
          <w:p>
            <w:pPr>
              <w:jc w:val="left"/>
            </w:pPr>
            <w:r>
              <w:t>住所</w:t>
            </w:r>
          </w:p>
        </w:tc>
        <w:tc>
          <w:tcPr>
            <w:tcW w:w="3800" w:type="dxa"/>
            <w:vAlign w:val="center"/>
          </w:tcPr>
          <w:p>
            <w:pPr>
              <w:jc w:val="center"/>
            </w:pPr>
            <w:r>
              <w:t>滨海县城迎宾中路1号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江苏盐城农村商业银行股份有限公司</w:t>
            </w:r>
          </w:p>
        </w:tc>
        <w:tc>
          <w:tcPr>
            <w:tcW w:w="1200" w:type="dxa"/>
            <w:vAlign w:val="center"/>
          </w:tcPr>
          <w:p>
            <w:pPr>
              <w:jc w:val="left"/>
            </w:pPr>
            <w:r>
              <w:t>住所</w:t>
            </w:r>
          </w:p>
        </w:tc>
        <w:tc>
          <w:tcPr>
            <w:tcW w:w="3800" w:type="dxa"/>
            <w:vAlign w:val="center"/>
          </w:tcPr>
          <w:p>
            <w:pPr>
              <w:jc w:val="center"/>
            </w:pPr>
            <w:r>
              <w:t>盐城市盐南高新区新都西路8号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88880000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江苏苏州农村商业银行股份有限公司</w:t>
            </w:r>
          </w:p>
        </w:tc>
        <w:tc>
          <w:tcPr>
            <w:tcW w:w="1200" w:type="dxa"/>
            <w:vAlign w:val="center"/>
          </w:tcPr>
          <w:p>
            <w:pPr>
              <w:jc w:val="left"/>
            </w:pPr>
            <w:r>
              <w:t>住所</w:t>
            </w:r>
          </w:p>
        </w:tc>
        <w:tc>
          <w:tcPr>
            <w:tcW w:w="3800" w:type="dxa"/>
            <w:vAlign w:val="center"/>
          </w:tcPr>
          <w:p>
            <w:pPr>
              <w:jc w:val="center"/>
            </w:pPr>
            <w:r>
              <w:t>江苏省苏州市吴江区中山南路1777号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江苏镇江农村商业银行股份有限公司</w:t>
            </w:r>
          </w:p>
        </w:tc>
        <w:tc>
          <w:tcPr>
            <w:tcW w:w="1200" w:type="dxa"/>
            <w:vAlign w:val="center"/>
          </w:tcPr>
          <w:p>
            <w:pPr>
              <w:jc w:val="left"/>
            </w:pPr>
            <w:r>
              <w:t>住所</w:t>
            </w:r>
          </w:p>
        </w:tc>
        <w:tc>
          <w:tcPr>
            <w:tcW w:w="3800" w:type="dxa"/>
            <w:vAlign w:val="center"/>
          </w:tcPr>
          <w:p>
            <w:pPr>
              <w:jc w:val="center"/>
            </w:pPr>
            <w:r>
              <w:t>江苏省镇江市润州区长江路97号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江苏高邮农村商业银行股份有限公司</w:t>
            </w:r>
          </w:p>
        </w:tc>
        <w:tc>
          <w:tcPr>
            <w:tcW w:w="1200" w:type="dxa"/>
            <w:vAlign w:val="center"/>
          </w:tcPr>
          <w:p>
            <w:pPr>
              <w:jc w:val="left"/>
            </w:pPr>
            <w:r>
              <w:t>住所</w:t>
            </w:r>
          </w:p>
        </w:tc>
        <w:tc>
          <w:tcPr>
            <w:tcW w:w="3800" w:type="dxa"/>
            <w:vAlign w:val="center"/>
          </w:tcPr>
          <w:p>
            <w:pPr>
              <w:jc w:val="center"/>
            </w:pPr>
            <w:r>
              <w:t>高邮市文游中路28号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湖北银行股份有限公司</w:t>
            </w:r>
          </w:p>
        </w:tc>
        <w:tc>
          <w:tcPr>
            <w:tcW w:w="1200" w:type="dxa"/>
            <w:vAlign w:val="center"/>
          </w:tcPr>
          <w:p>
            <w:pPr>
              <w:jc w:val="left"/>
            </w:pPr>
            <w:r>
              <w:t>住所</w:t>
            </w:r>
          </w:p>
        </w:tc>
        <w:tc>
          <w:tcPr>
            <w:tcW w:w="3800" w:type="dxa"/>
            <w:vAlign w:val="center"/>
          </w:tcPr>
          <w:p>
            <w:pPr>
              <w:jc w:val="center"/>
            </w:pPr>
            <w: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连云港东方农村商业银行股份有限公司</w:t>
            </w:r>
          </w:p>
        </w:tc>
        <w:tc>
          <w:tcPr>
            <w:tcW w:w="1200" w:type="dxa"/>
            <w:vAlign w:val="center"/>
          </w:tcPr>
          <w:p>
            <w:pPr>
              <w:jc w:val="left"/>
            </w:pPr>
            <w:r>
              <w:t>住所</w:t>
            </w:r>
          </w:p>
        </w:tc>
        <w:tc>
          <w:tcPr>
            <w:tcW w:w="3800" w:type="dxa"/>
            <w:vAlign w:val="center"/>
          </w:tcPr>
          <w:p>
            <w:pPr>
              <w:jc w:val="center"/>
            </w:pPr>
            <w:r>
              <w:t>江苏省连云港市海州区郁洲南路10号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color w:val="000000"/>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3）</w:t>
      </w:r>
      <w:r>
        <w:rPr>
          <w:rFonts w:hint="eastAsia" w:ascii="宋体" w:hAnsi="宋体"/>
          <w:color w:val="000000"/>
          <w:sz w:val="24"/>
          <w:highlight w:val="none"/>
        </w:rPr>
        <w:t>首次发行未上市的股票，按发行价格进行估值；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4）</w:t>
      </w:r>
      <w:r>
        <w:rPr>
          <w:rFonts w:hint="eastAsia" w:ascii="宋体" w:hAnsi="宋体"/>
          <w:color w:val="000000"/>
          <w:sz w:val="24"/>
          <w:highlight w:val="none"/>
        </w:rPr>
        <w:t>因持有股票而享有的配股权，采用估值技术确定公允价值。</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17"/>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2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4"/>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25"/>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5"/>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H份额〗、〖I份额〗、〖J份额〗、〖P份额〗、〖Q份额〗、〖T份额〗和销售服务费于产品成立日一次性收取的〖E份额〗、〖F份额〗、〖G份额〗、〖K份额〗、〖M份额〗、〖N份额〗、〖W份额〗、〖X份额〗、〖Y份额〗、〖Z份额〗。A份额的年化销售服务费率为〖0.30%〗, B份额的年化销售服务费率为〖0.20%〗, C份额的年化销售服务费率为〖0.10%〗, D份额的年化销售服务费率为〖0.15%〗, E份额的年化销售服务费率为〖0.20%〗, F份额的年化销售服务费率为〖0.15%〗, G份额的年化销售服务费率为〖0.40%〗, H份额的年化销售服务费率为〖0.05%〗, I份额的年化销售服务费率为〖0.30%〗, J份额的年化销售服务费率为〖0.15%〗, K份额的年化销售服务费率为〖0.10%〗, M份额的年化销售服务费率为〖0.05%〗, N份额的年化销售服务费率为〖0.20%〗, P份额的年化销售服务费率为〖0.15%〗, Q份额的年化销售服务费率为〖0.05%〗, T份额的年化销售服务费率为〖0.25%〗, W份额的年化销售服务费率为〖0.30%〗, X份额的年化销售服务费率为〖0.15%〗,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（1）销售服务费按日计提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（2）销售服务费一次性收取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H2＝E2×〖0.20%〗×P2÷365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H2为〖E份额〗应计提的销售服务费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E2为〖E份额〗成立日产品份额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P2为产品投资期限天数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bCs/>
          <w:color w:val="000000"/>
          <w:kern w:val="2"/>
          <w:sz w:val="24"/>
          <w:szCs w:val="24"/>
          <w:highlight w:val="none"/>
          <w:lang w:val="en-US" w:eastAsia="zh-CN"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4"/>
          <w:szCs w:val="24"/>
          <w:highlight w:val="none"/>
          <w:lang w:eastAsia="zh-CN"/>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E份额的年化固定管理费率为〖0.10%〗, F份额的年化固定管理费率为〖0.10%〗, G份额的年化固定管理费率为〖0.10%〗, H份额的年化固定管理费率为〖0.10%〗, I份额的年化固定管理费率为〖0.10%〗, J份额的年化固定管理费率为〖0.10%〗, K份额的年化固定管理费率为〖0.10%〗, M份额的年化固定管理费率为〖0.10%〗, N份额的年化固定管理费率为〖0.10%〗, P份额的年化固定管理费率为〖0.10%〗, Q份额的年化固定管理费率为〖0.05%〗, T份额的年化固定管理费率为〖0.10%〗, W份额的年化固定管理费率为〖0.10%〗, X份额的年化固定管理费率为〖0.10%〗, Y份额的年化固定管理费率为〖0.10%〗, 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0.10</w:t>
      </w:r>
      <w:r>
        <w:rPr>
          <w:rFonts w:hint="eastAsia" w:ascii="宋体" w:hAnsi="宋体" w:cs="宋体"/>
          <w:bCs/>
          <w:color w:val="000000"/>
          <w:kern w:val="2"/>
          <w:sz w:val="24"/>
          <w:szCs w:val="24"/>
          <w:highlight w:val="none"/>
          <w:lang w:val="en-US" w:eastAsia="zh-CN"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CN"/>
        </w:rPr>
        <w:t>。</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信息技术服务费</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理财计划财产的年化信息技术服务费为〖</w:t>
      </w:r>
      <w:r>
        <w:rPr>
          <w:rFonts w:hint="eastAsia" w:ascii="宋体" w:hAnsi="宋体" w:cs="宋体"/>
          <w:bCs/>
          <w:color w:val="000000"/>
          <w:sz w:val="24"/>
          <w:highlight w:val="none"/>
          <w:lang w:val="en-US" w:eastAsia="zh-CN"/>
        </w:rPr>
        <w:t>0.002</w:t>
      </w:r>
      <w:r>
        <w:rPr>
          <w:rFonts w:hint="eastAsia" w:ascii="宋体" w:hAnsi="宋体" w:cs="宋体"/>
          <w:bCs/>
          <w:color w:val="000000"/>
          <w:sz w:val="24"/>
          <w:highlight w:val="none"/>
          <w:lang w:eastAsia="zh-CN"/>
        </w:rPr>
        <w:t>%〗，计算方法如下：</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H＝E×〖</w:t>
      </w:r>
      <w:r>
        <w:rPr>
          <w:rFonts w:hint="eastAsia" w:ascii="宋体" w:hAnsi="宋体" w:cs="宋体"/>
          <w:bCs/>
          <w:color w:val="000000"/>
          <w:sz w:val="24"/>
          <w:highlight w:val="none"/>
          <w:lang w:val="en-US" w:eastAsia="zh-CN"/>
        </w:rPr>
        <w:t>0.002</w:t>
      </w:r>
      <w:r>
        <w:rPr>
          <w:rFonts w:hint="eastAsia" w:ascii="宋体" w:hAnsi="宋体" w:cs="宋体"/>
          <w:bCs/>
          <w:color w:val="000000"/>
          <w:sz w:val="24"/>
          <w:highlight w:val="none"/>
          <w:lang w:eastAsia="zh-CN"/>
        </w:rPr>
        <w:t>%〗÷365</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H为每日应计提的信息技术服务费</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E为本理财计划前一日资产净值</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信息技术服务费原则上按日计提。</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jc w:val="left"/>
        <w:rPr>
          <w:rFonts w:ascii="宋体" w:hAnsi="宋体" w:cs="宋体"/>
          <w:bCs/>
          <w:color w:val="000000"/>
          <w:sz w:val="24"/>
          <w:highlight w:val="none"/>
        </w:rPr>
      </w:pPr>
      <w:r>
        <w:rPr>
          <w:rFonts w:hint="eastAsia" w:ascii="宋体" w:hAnsi="宋体" w:cs="宋体"/>
          <w:bCs/>
          <w:color w:val="000000"/>
          <w:sz w:val="24"/>
          <w:highlight w:val="none"/>
        </w:rPr>
        <w:t xml:space="preserve">    </w:t>
      </w: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28"/>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29"/>
        </w:numPr>
        <w:spacing w:line="360" w:lineRule="auto"/>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2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29"/>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CN"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CN"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CN"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CN"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CN"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CN"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CN"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CN"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后，如理财计划未扣除浮动管理费前的净值为0.9975，则投资管理人不收取浮动管理费，投资者最终收益为：100,000.00×（0.9975-1.0000）=-250.00（元）。</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4"/>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本理财计划封闭式运作，存续期间不开放申购和赎回。</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color w:val="000000"/>
          <w:kern w:val="2"/>
          <w:sz w:val="24"/>
          <w:szCs w:val="24"/>
          <w:lang w:val="en-US" w:eastAsia="zh-CN" w:bidi="ar"/>
        </w:rPr>
        <w:t>〖1〗个〖工作日〗</w:t>
      </w:r>
      <w:r>
        <w:rPr>
          <w:rFonts w:hint="eastAsia" w:ascii="宋体" w:hAnsi="宋体" w:cs="宋体"/>
          <w:bCs/>
          <w:color w:val="000000"/>
          <w:sz w:val="24"/>
          <w:highlight w:val="none"/>
        </w:rPr>
        <w:t>、最晚</w:t>
      </w:r>
      <w:r>
        <w:rPr>
          <w:rFonts w:hint="eastAsia" w:ascii="宋体" w:hAnsi="宋体" w:eastAsia="宋体" w:cs="宋体"/>
          <w:color w:val="000000"/>
          <w:kern w:val="2"/>
          <w:sz w:val="24"/>
          <w:szCs w:val="24"/>
          <w:lang w:val="en-US" w:eastAsia="zh-CN" w:bidi="ar"/>
        </w:rPr>
        <w:t>〖3〗个〖工作日〗</w:t>
      </w:r>
      <w:r>
        <w:rPr>
          <w:rFonts w:hint="eastAsia" w:ascii="宋体" w:hAnsi="宋体" w:cs="宋体"/>
          <w:bCs/>
          <w:color w:val="000000"/>
          <w:sz w:val="24"/>
          <w:highlight w:val="none"/>
        </w:rPr>
        <w:t>内（遇节假日顺延）将资金按规定的要求划入投资者授权指定的理财账户。（具体以销售机构规定为准）</w:t>
      </w:r>
    </w:p>
    <w:p>
      <w:pPr>
        <w:keepNext w:val="0"/>
        <w:keepLines w:val="0"/>
        <w:widowControl w:val="0"/>
        <w:suppressLineNumbers w:val="0"/>
        <w:spacing w:before="0" w:beforeAutospacing="0" w:after="0" w:afterAutospacing="0" w:line="360" w:lineRule="auto"/>
        <w:ind w:left="0" w:leftChars="0" w:right="0" w:firstLine="480" w:firstLineChars="200"/>
        <w:jc w:val="both"/>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37"/>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39"/>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3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0"/>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0"/>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1"/>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7"/>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2"/>
        </w:numPr>
        <w:tabs>
          <w:tab w:val="left" w:pos="6090"/>
        </w:tabs>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6">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7">
    <w:nsid w:val="D8D75090"/>
    <w:multiLevelType w:val="singleLevel"/>
    <w:tmpl w:val="D8D75090"/>
    <w:lvl w:ilvl="0" w:tentative="0">
      <w:start w:val="1"/>
      <w:numFmt w:val="decimal"/>
      <w:suff w:val="nothing"/>
      <w:lvlText w:val="（%1）"/>
      <w:lvlJc w:val="left"/>
      <w:rPr>
        <w:rFonts w:hint="default"/>
        <w:b w:val="0"/>
        <w:bCs w:val="0"/>
      </w:rPr>
    </w:lvl>
  </w:abstractNum>
  <w:abstractNum w:abstractNumId="18">
    <w:nsid w:val="DD2251DF"/>
    <w:multiLevelType w:val="singleLevel"/>
    <w:tmpl w:val="DD2251DF"/>
    <w:lvl w:ilvl="0" w:tentative="0">
      <w:start w:val="1"/>
      <w:numFmt w:val="decimal"/>
      <w:suff w:val="nothing"/>
      <w:lvlText w:val="（%1）"/>
      <w:lvlJc w:val="left"/>
      <w:rPr>
        <w:rFonts w:hint="default"/>
        <w:b w:val="0"/>
        <w:bCs w:val="0"/>
      </w:rPr>
    </w:lvl>
  </w:abstractNum>
  <w:abstractNum w:abstractNumId="19">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1">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2">
    <w:nsid w:val="F574F5B6"/>
    <w:multiLevelType w:val="singleLevel"/>
    <w:tmpl w:val="F574F5B6"/>
    <w:lvl w:ilvl="0" w:tentative="0">
      <w:start w:val="1"/>
      <w:numFmt w:val="decimal"/>
      <w:suff w:val="nothing"/>
      <w:lvlText w:val="（%1）"/>
      <w:lvlJc w:val="left"/>
    </w:lvl>
  </w:abstractNum>
  <w:abstractNum w:abstractNumId="23">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4">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5">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6">
    <w:nsid w:val="084A6179"/>
    <w:multiLevelType w:val="singleLevel"/>
    <w:tmpl w:val="084A6179"/>
    <w:lvl w:ilvl="0" w:tentative="0">
      <w:start w:val="1"/>
      <w:numFmt w:val="decimal"/>
      <w:suff w:val="nothing"/>
      <w:lvlText w:val="（%1）"/>
      <w:lvlJc w:val="left"/>
      <w:rPr>
        <w:rFonts w:hint="default"/>
        <w:highlight w:val="none"/>
      </w:rPr>
    </w:lvl>
  </w:abstractNum>
  <w:abstractNum w:abstractNumId="2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29">
    <w:nsid w:val="167B0BB4"/>
    <w:multiLevelType w:val="singleLevel"/>
    <w:tmpl w:val="167B0BB4"/>
    <w:lvl w:ilvl="0" w:tentative="0">
      <w:start w:val="1"/>
      <w:numFmt w:val="decimal"/>
      <w:suff w:val="nothing"/>
      <w:lvlText w:val="（%1）"/>
      <w:lvlJc w:val="left"/>
    </w:lvl>
  </w:abstractNum>
  <w:abstractNum w:abstractNumId="3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1">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3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0">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1">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8"/>
  </w:num>
  <w:num w:numId="2">
    <w:abstractNumId w:val="35"/>
  </w:num>
  <w:num w:numId="3">
    <w:abstractNumId w:val="23"/>
  </w:num>
  <w:num w:numId="4">
    <w:abstractNumId w:val="21"/>
  </w:num>
  <w:num w:numId="5">
    <w:abstractNumId w:val="27"/>
  </w:num>
  <w:num w:numId="6">
    <w:abstractNumId w:val="20"/>
  </w:num>
  <w:num w:numId="7">
    <w:abstractNumId w:val="15"/>
  </w:num>
  <w:num w:numId="8">
    <w:abstractNumId w:val="10"/>
  </w:num>
  <w:num w:numId="9">
    <w:abstractNumId w:val="7"/>
  </w:num>
  <w:num w:numId="10">
    <w:abstractNumId w:val="8"/>
  </w:num>
  <w:num w:numId="11">
    <w:abstractNumId w:val="6"/>
  </w:num>
  <w:num w:numId="12">
    <w:abstractNumId w:val="40"/>
  </w:num>
  <w:num w:numId="13">
    <w:abstractNumId w:val="4"/>
  </w:num>
  <w:num w:numId="14">
    <w:abstractNumId w:val="0"/>
  </w:num>
  <w:num w:numId="15">
    <w:abstractNumId w:val="34"/>
  </w:num>
  <w:num w:numId="16">
    <w:abstractNumId w:val="22"/>
  </w:num>
  <w:num w:numId="17">
    <w:abstractNumId w:val="14"/>
  </w:num>
  <w:num w:numId="18">
    <w:abstractNumId w:val="31"/>
  </w:num>
  <w:num w:numId="19">
    <w:abstractNumId w:val="16"/>
  </w:num>
  <w:num w:numId="20">
    <w:abstractNumId w:val="5"/>
  </w:num>
  <w:num w:numId="21">
    <w:abstractNumId w:val="37"/>
  </w:num>
  <w:num w:numId="22">
    <w:abstractNumId w:val="3"/>
  </w:num>
  <w:num w:numId="23">
    <w:abstractNumId w:val="26"/>
  </w:num>
  <w:num w:numId="24">
    <w:abstractNumId w:val="30"/>
  </w:num>
  <w:num w:numId="25">
    <w:abstractNumId w:val="41"/>
  </w:num>
  <w:num w:numId="26">
    <w:abstractNumId w:val="25"/>
  </w:num>
  <w:num w:numId="27">
    <w:abstractNumId w:val="18"/>
  </w:num>
  <w:num w:numId="28">
    <w:abstractNumId w:val="33"/>
  </w:num>
  <w:num w:numId="29">
    <w:abstractNumId w:val="1"/>
  </w:num>
  <w:num w:numId="30">
    <w:abstractNumId w:val="19"/>
  </w:num>
  <w:num w:numId="31">
    <w:abstractNumId w:val="24"/>
  </w:num>
  <w:num w:numId="32">
    <w:abstractNumId w:val="36"/>
  </w:num>
  <w:num w:numId="33">
    <w:abstractNumId w:val="28"/>
  </w:num>
  <w:num w:numId="34">
    <w:abstractNumId w:val="13"/>
  </w:num>
  <w:num w:numId="35">
    <w:abstractNumId w:val="39"/>
  </w:num>
  <w:num w:numId="36">
    <w:abstractNumId w:val="11"/>
  </w:num>
  <w:num w:numId="37">
    <w:abstractNumId w:val="9"/>
  </w:num>
  <w:num w:numId="38">
    <w:abstractNumId w:val="12"/>
  </w:num>
  <w:num w:numId="39">
    <w:abstractNumId w:val="29"/>
  </w:num>
  <w:num w:numId="40">
    <w:abstractNumId w:val="17"/>
  </w:num>
  <w:num w:numId="41">
    <w:abstractNumId w:val="2"/>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BB08DA"/>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7F23197"/>
    <w:rsid w:val="394B6E53"/>
    <w:rsid w:val="3B1C12F3"/>
    <w:rsid w:val="3BD53B5C"/>
    <w:rsid w:val="3CC57F13"/>
    <w:rsid w:val="3D4C282D"/>
    <w:rsid w:val="3D970F4E"/>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528020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0451376"/>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3723353"/>
    <w:rsid w:val="64164D78"/>
    <w:rsid w:val="64993141"/>
    <w:rsid w:val="659F27EB"/>
    <w:rsid w:val="659F600E"/>
    <w:rsid w:val="66BD4691"/>
    <w:rsid w:val="67CE6661"/>
    <w:rsid w:val="680A5A06"/>
    <w:rsid w:val="68B9403E"/>
    <w:rsid w:val="68D511B9"/>
    <w:rsid w:val="68FA6041"/>
    <w:rsid w:val="69827CEE"/>
    <w:rsid w:val="6BDE71F2"/>
    <w:rsid w:val="6C9577EB"/>
    <w:rsid w:val="6CBA3A99"/>
    <w:rsid w:val="6D3A1203"/>
    <w:rsid w:val="6DB5A206"/>
    <w:rsid w:val="6DFE35A5"/>
    <w:rsid w:val="6E9C369D"/>
    <w:rsid w:val="6EF41B11"/>
    <w:rsid w:val="6EF79B63"/>
    <w:rsid w:val="6FDE62EE"/>
    <w:rsid w:val="6FF79273"/>
    <w:rsid w:val="702573F3"/>
    <w:rsid w:val="70B57531"/>
    <w:rsid w:val="70FA499F"/>
    <w:rsid w:val="730C182D"/>
    <w:rsid w:val="7377A39E"/>
    <w:rsid w:val="73F5BB6D"/>
    <w:rsid w:val="73FC9A3F"/>
    <w:rsid w:val="751974A1"/>
    <w:rsid w:val="758B30E4"/>
    <w:rsid w:val="75F42331"/>
    <w:rsid w:val="761F7C3C"/>
    <w:rsid w:val="76683D2A"/>
    <w:rsid w:val="76C62D9E"/>
    <w:rsid w:val="76DF52A4"/>
    <w:rsid w:val="77FA47C2"/>
    <w:rsid w:val="78243078"/>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F434"/>
    <w:rsid w:val="7F5F887D"/>
    <w:rsid w:val="7F9FC635"/>
    <w:rsid w:val="7FCC7D05"/>
    <w:rsid w:val="7FEF42B8"/>
    <w:rsid w:val="7FEFE414"/>
    <w:rsid w:val="7FF2B36D"/>
    <w:rsid w:val="7FF39E9A"/>
    <w:rsid w:val="7FFB28EC"/>
    <w:rsid w:val="7FFF0685"/>
    <w:rsid w:val="84392690"/>
    <w:rsid w:val="9FD01BC3"/>
    <w:rsid w:val="9FDF7357"/>
    <w:rsid w:val="B3FE25BF"/>
    <w:rsid w:val="BE6E0F8F"/>
    <w:rsid w:val="C679D4D5"/>
    <w:rsid w:val="C7EFAC2C"/>
    <w:rsid w:val="CFBD1285"/>
    <w:rsid w:val="D3FFF2E3"/>
    <w:rsid w:val="D4B948F0"/>
    <w:rsid w:val="D76FBC03"/>
    <w:rsid w:val="D7BE90C3"/>
    <w:rsid w:val="DFFBF81E"/>
    <w:rsid w:val="E2F2C526"/>
    <w:rsid w:val="E4FFD666"/>
    <w:rsid w:val="E5D7501E"/>
    <w:rsid w:val="E7F7B356"/>
    <w:rsid w:val="E9F39395"/>
    <w:rsid w:val="E9FFA600"/>
    <w:rsid w:val="EBF5BECB"/>
    <w:rsid w:val="ED6EA22C"/>
    <w:rsid w:val="F3F331A4"/>
    <w:rsid w:val="F3FF81F7"/>
    <w:rsid w:val="F5DBF1C3"/>
    <w:rsid w:val="F5E5AD98"/>
    <w:rsid w:val="F6D74091"/>
    <w:rsid w:val="F7EF100D"/>
    <w:rsid w:val="F7FE62B6"/>
    <w:rsid w:val="F8ADBDD7"/>
    <w:rsid w:val="FA543BA3"/>
    <w:rsid w:val="FD7F9463"/>
    <w:rsid w:val="FDFD4F0C"/>
    <w:rsid w:val="FEAED78B"/>
    <w:rsid w:val="FF3E6B15"/>
    <w:rsid w:val="FF5D960F"/>
    <w:rsid w:val="FF7C7432"/>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33877</Words>
  <Characters>34745</Characters>
  <Lines>1</Lines>
  <Paragraphs>1</Paragraphs>
  <TotalTime>1</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2026-08-20T06:48:55Z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2C5DB8151322CCF39215846AD0A367E2_43</vt:lpwstr>
  </property>
  <property fmtid="{D5CDD505-2E9C-101B-9397-08002B2CF9AE}" pid="3" name="KSOProductBuildVer">
    <vt:lpwstr>2052-11.8.2.8411</vt:lpwstr>
  </property>
</Properties>
</file>