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0"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center"/>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outlineLvl w:val="1"/>
        <w:rPr>
          <w:rFonts w:hint="eastAsia" w:ascii="宋体" w:hAnsi="宋体" w:cs="宋体"/>
          <w:b/>
          <w:kern w:val="0"/>
          <w:sz w:val="24"/>
          <w:highlight w:val="none"/>
        </w:rPr>
      </w:pPr>
      <w:r>
        <w:rPr>
          <w:rFonts w:hint="eastAsia" w:ascii="宋体" w:hAnsi="宋体" w:cs="宋体"/>
          <w:b/>
          <w:color w:val="000000"/>
          <w:kern w:val="0"/>
          <w:sz w:val="24"/>
          <w:highlight w:val="none"/>
        </w:rPr>
        <w:t>理财计划办理流程</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首次在销售机构购买杭银理财理财计划的普通投资者须接受并完成销售机构对您的风险承受能力评估，并确认风险承受能力等级不低于本理财计划风险评级。如销售机构对于专业投资者的风险承受能力评估有要求的，则参照销售机构相关评估标准或代理销售协议书执行。</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投资者应仔细阅读本理财计划完整合同（包括但不限于</w:t>
      </w:r>
      <w:r>
        <w:rPr>
          <w:rFonts w:hint="eastAsia" w:ascii="宋体" w:hAnsi="宋体" w:cs="宋体"/>
          <w:color w:val="000000"/>
          <w:kern w:val="0"/>
          <w:sz w:val="24"/>
          <w:highlight w:val="none"/>
          <w:lang w:eastAsia="zh-CN"/>
        </w:rPr>
        <w:t>理财计划</w:t>
      </w:r>
      <w:r>
        <w:rPr>
          <w:rFonts w:hint="eastAsia" w:ascii="宋体" w:hAnsi="宋体" w:cs="宋体"/>
          <w:color w:val="000000"/>
          <w:kern w:val="0"/>
          <w:sz w:val="24"/>
          <w:highlight w:val="none"/>
        </w:rPr>
        <w:t>风险揭示书、理财计划产品说明书、投资者权益须知</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理财计划投资协议书</w:t>
      </w:r>
      <w:r>
        <w:rPr>
          <w:rFonts w:hint="eastAsia" w:ascii="宋体" w:hAnsi="宋体" w:cs="宋体"/>
          <w:color w:val="000000"/>
          <w:kern w:val="0"/>
          <w:sz w:val="24"/>
          <w:highlight w:val="none"/>
          <w:lang w:eastAsia="zh-CN"/>
        </w:rPr>
        <w:t>和理财计划（</w:t>
      </w:r>
      <w:r>
        <w:rPr>
          <w:rFonts w:hint="eastAsia" w:ascii="宋体" w:hAnsi="宋体" w:cs="宋体"/>
          <w:color w:val="000000"/>
          <w:kern w:val="0"/>
          <w:sz w:val="24"/>
          <w:highlight w:val="none"/>
          <w:lang w:val="en-US" w:eastAsia="zh-CN"/>
        </w:rPr>
        <w:t>代理销售</w:t>
      </w:r>
      <w:r>
        <w:rPr>
          <w:rFonts w:hint="eastAsia" w:ascii="宋体" w:hAnsi="宋体" w:cs="宋体"/>
          <w:color w:val="000000"/>
          <w:kern w:val="0"/>
          <w:sz w:val="24"/>
          <w:highlight w:val="none"/>
          <w:lang w:eastAsia="zh-CN"/>
        </w:rPr>
        <w:t>）销售协议书</w:t>
      </w:r>
      <w:r>
        <w:rPr>
          <w:rFonts w:hint="eastAsia" w:ascii="宋体" w:hAnsi="宋体" w:cs="宋体"/>
          <w:color w:val="000000"/>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如在银行营业场所购买杭银理财理财计划，销售机构需对每笔理财计划销售过程同步录音录像。</w:t>
      </w:r>
      <w:r>
        <w:rPr>
          <w:rFonts w:hint="eastAsia" w:ascii="宋体" w:hAnsi="宋体" w:cs="宋体"/>
          <w:color w:val="000000"/>
          <w:kern w:val="0"/>
          <w:sz w:val="24"/>
          <w:highlight w:val="none"/>
          <w:lang w:val="en-US" w:eastAsia="zh-CN"/>
        </w:rPr>
        <w:t>在没有销售人员推介的情况下，投资者通过自助终端等电子设备进行自主购买的情况除外。</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投资者确定交易金额，完成交易申请，并在确认份额后进行查询。</w:t>
      </w:r>
    </w:p>
    <w:p>
      <w:pPr>
        <w:numPr>
          <w:ilvl w:val="0"/>
          <w:numId w:val="3"/>
        </w:numPr>
        <w:spacing w:line="360" w:lineRule="auto"/>
        <w:outlineLvl w:val="1"/>
        <w:rPr>
          <w:rFonts w:hint="eastAsia" w:ascii="宋体" w:hAnsi="宋体" w:cs="宋体"/>
          <w:b/>
          <w:kern w:val="0"/>
          <w:sz w:val="24"/>
          <w:highlight w:val="none"/>
        </w:rPr>
      </w:pPr>
      <w:r>
        <w:rPr>
          <w:rFonts w:hint="eastAsia" w:ascii="宋体" w:hAnsi="宋体" w:cs="宋体"/>
          <w:b/>
          <w:color w:val="000000"/>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专业投资者及谨慎型、稳健型、平衡型、进取型、激进型的普通投资者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专业投资者及激进型的普通投资者</w:t>
            </w:r>
          </w:p>
        </w:tc>
      </w:tr>
    </w:tbl>
    <w:p>
      <w:pPr>
        <w:pStyle w:val="20"/>
        <w:adjustRightInd/>
        <w:spacing w:line="360" w:lineRule="auto"/>
        <w:ind w:firstLine="480" w:firstLineChars="200"/>
        <w:rPr>
          <w:rFonts w:hint="default" w:ascii="宋体" w:hAnsi="宋体" w:eastAsia="宋体" w:cs="宋体"/>
          <w:b/>
          <w:kern w:val="0"/>
          <w:sz w:val="24"/>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numPr>
          <w:ilvl w:val="0"/>
          <w:numId w:val="4"/>
        </w:numPr>
        <w:spacing w:line="360" w:lineRule="auto"/>
        <w:outlineLvl w:val="1"/>
        <w:rPr>
          <w:rFonts w:hint="eastAsia" w:ascii="宋体" w:hAnsi="宋体" w:cs="宋体"/>
          <w:b/>
          <w:kern w:val="0"/>
          <w:sz w:val="24"/>
          <w:highlight w:val="none"/>
        </w:rPr>
      </w:pPr>
      <w:r>
        <w:rPr>
          <w:rFonts w:hint="eastAsia" w:ascii="宋体" w:hAnsi="宋体" w:cs="宋体"/>
          <w:b/>
          <w:color w:val="000000"/>
          <w:kern w:val="0"/>
          <w:sz w:val="24"/>
          <w:highlight w:val="none"/>
        </w:rPr>
        <w:t>投资者风险承受能力评估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本理财计划销售工作及投资者适当性评估由销售机构负责。普通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普通投资者风险承受能力评估结果有效期为一年，如风险承受能力评估时效已超过一年，或影响风险承受能力的因素发生变化，请及时完成风险承受能力的重新评估。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普通投资者风险承受能力评估流程（详询销售机构工作人员）</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普通投资者在销售机构进行风险承受能力评估；</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填写销售机构普通投资者风险承受能力测试问卷；</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生成相应的普通投资者风险承受能力评估结果；</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投资者对评估结果进行确认。</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风险承受能力评估结果将作为评价普通投资者是否适合购买理财计划的重要因素，风险承受能力评级越高适合购买的理财计划风险评级越高，适合购买的理财计划类型越丰富。</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普通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专业投资者购买理财计划前可简化或无须进行风险评估能力测试。专业投资者不适用普通投资者的风险承受能力评估，请专业投资者根据自身财务状况、投资风格、资金需求等要素，并在阅读本权益须知、理财计划风险揭示书、理财计划产品说明书、理财计划投资协议书和理财计划销售协议书的基础上，充分认识投资本理财计划需要承担的风险。如销售机构对于专业投资者的风险承受能力评估有要求的，则参照销售机构相关评估标准或代理销售协议书执行。</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color w:val="000000"/>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您知晓并同意通知送达，请您及时查询。</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color w:val="000000"/>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销售机构应当根据反洗钱、反恐怖融资及非居民金融账户涉税信息尽职调查等相关法律法规要求识别客户身份。投资者通过公司认可的销售机构购买本公司理财的，知晓并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color w:val="000000"/>
          <w:kern w:val="0"/>
          <w:sz w:val="24"/>
          <w:highlight w:val="none"/>
        </w:rPr>
        <w:t>六、投诉与建议</w:t>
      </w:r>
    </w:p>
    <w:p>
      <w:pPr>
        <w:numPr>
          <w:ilvl w:val="0"/>
          <w:numId w:val="8"/>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投资者如认为理财</w:t>
      </w:r>
      <w:r>
        <w:rPr>
          <w:rFonts w:hint="eastAsia" w:ascii="宋体" w:hAnsi="宋体" w:cs="宋体"/>
          <w:color w:val="000000"/>
          <w:kern w:val="0"/>
          <w:sz w:val="24"/>
          <w:highlight w:val="none"/>
          <w:lang w:val="en-US" w:eastAsia="zh-CN"/>
        </w:rPr>
        <w:t>计划</w:t>
      </w:r>
      <w:r>
        <w:rPr>
          <w:rFonts w:hint="eastAsia" w:ascii="宋体" w:hAnsi="宋体" w:cs="宋体"/>
          <w:color w:val="000000"/>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color w:val="000000"/>
          <w:kern w:val="0"/>
          <w:sz w:val="24"/>
          <w:highlight w:val="none"/>
          <w:lang w:val="en-US" w:eastAsia="zh-CN"/>
        </w:rPr>
        <w:t>或管理人</w:t>
      </w:r>
      <w:r>
        <w:rPr>
          <w:rFonts w:hint="eastAsia" w:ascii="宋体" w:hAnsi="宋体" w:cs="宋体"/>
          <w:color w:val="000000"/>
          <w:kern w:val="0"/>
          <w:sz w:val="24"/>
          <w:highlight w:val="none"/>
        </w:rPr>
        <w:t>热线或客服电话进行反馈</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将由专人接听、记录您的意见建议，并由双方协商共同解决。</w:t>
      </w:r>
    </w:p>
    <w:p>
      <w:pPr>
        <w:numPr>
          <w:ilvl w:val="0"/>
          <w:numId w:val="8"/>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jc w:val="left"/>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72</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72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color w:val="000000"/>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color w:val="000000"/>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color w:val="000000"/>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color w:val="000000"/>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color w:val="000000"/>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color w:val="000000"/>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color w:val="000000"/>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color w:val="000000"/>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color w:val="000000"/>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112FEB"/>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E74315"/>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72</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2026-07-14T07:36:15Z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55731E6056FEE22E74694F6AA6A46810_43</vt:lpwstr>
  </property>
  <property fmtid="{D5CDD505-2E9C-101B-9397-08002B2CF9AE}" pid="3" name="KSOProductBuildVer">
    <vt:lpwstr>2052-11.8.2.8411</vt:lpwstr>
  </property>
</Properties>
</file>