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ackground w:color="ffffff">
    <v:background id="_x0000_s1025" filled="t"/>
  </w:background>
  <w:body>
    <w:p w14:paraId="27C7AB45">
      <w:pPr>
        <w:spacing w:before="0"/>
        <w:jc w:val="center"/>
        <w:outlineLvl w:val="0"/>
        <w:rPr>
          <w:rFonts w:hint="eastAsia"/>
          <w:b/>
          <w:sz w:val="44"/>
          <w:szCs w:val="44"/>
          <w:highlight w:val="none"/>
        </w:rPr>
      </w:pPr>
      <w:r>
        <w:rPr>
          <w:rFonts w:hint="eastAsia"/>
          <w:b/>
          <w:color w:val="000000"/>
          <w:sz w:val="44"/>
          <w:szCs w:val="44"/>
          <w:highlight w:val="none"/>
        </w:rPr>
        <w:t>杭银理财理财计划投资协议书</w:t>
      </w:r>
    </w:p>
    <w:p w14:paraId="66233884">
      <w:pPr>
        <w:jc w:val="center"/>
        <w:rPr>
          <w:rFonts w:hint="eastAsia"/>
          <w:b/>
          <w:sz w:val="44"/>
          <w:szCs w:val="44"/>
          <w:highlight w:val="none"/>
        </w:rPr>
      </w:pPr>
      <w:r>
        <w:rPr>
          <w:rFonts w:ascii="宋体" w:hAnsi="宋体" w:cs="宋体" w:hint="eastAsia"/>
          <w:color w:val="000000"/>
          <w:sz w:val="28"/>
          <w:szCs w:val="28"/>
          <w:highlight w:val="none"/>
        </w:rPr>
        <w:t>（</w:t>
      </w:r>
      <w:r>
        <w:rPr>
          <w:rFonts w:ascii="宋体" w:hAnsi="宋体" w:cs="宋体" w:hint="eastAsia"/>
          <w:color w:val="000000"/>
          <w:sz w:val="28"/>
          <w:szCs w:val="28"/>
          <w:highlight w:val="none"/>
          <w:lang w:eastAsia="zh-CN"/>
        </w:rPr>
        <w:t>202601</w:t>
      </w:r>
      <w:r>
        <w:rPr>
          <w:rFonts w:ascii="宋体" w:hAnsi="宋体" w:cs="宋体" w:hint="eastAsia"/>
          <w:color w:val="000000"/>
          <w:sz w:val="28"/>
          <w:szCs w:val="28"/>
          <w:highlight w:val="none"/>
        </w:rPr>
        <w:t>版）</w:t>
      </w:r>
    </w:p>
    <w:p w14:paraId="24681A4B">
      <w:pPr>
        <w:spacing w:line="360" w:lineRule="auto"/>
        <w:jc w:val="center"/>
        <w:rPr>
          <w:rFonts w:hint="eastAsia"/>
          <w:b/>
          <w:sz w:val="32"/>
          <w:szCs w:val="32"/>
          <w:highlight w:val="none"/>
        </w:rPr>
      </w:pPr>
      <w:r>
        <w:rPr>
          <w:rFonts w:ascii="宋体" w:hAnsi="宋体" w:cs="宋体" w:hint="eastAsia"/>
          <w:b/>
          <w:bCs/>
          <w:color w:val="000000"/>
          <w:sz w:val="24"/>
          <w:highlight w:val="none"/>
          <w:u w:val="single"/>
        </w:rPr>
        <w:t>理财非存款、产品有风险、投资须谨慎</w:t>
      </w:r>
    </w:p>
    <w:p w14:paraId="42AD33CF">
      <w:pPr>
        <w:spacing w:line="360" w:lineRule="auto"/>
        <w:ind w:firstLine="480" w:firstLineChars="200"/>
        <w:rPr>
          <w:rFonts w:hint="eastAsia"/>
          <w:b/>
          <w:bCs/>
          <w:sz w:val="24"/>
          <w:highlight w:val="none"/>
        </w:rPr>
      </w:pPr>
      <w:r>
        <w:rPr>
          <w:rFonts w:hint="eastAsia"/>
          <w:b/>
          <w:bCs/>
          <w:color w:val="000000"/>
          <w:sz w:val="24"/>
          <w:highlight w:val="none"/>
        </w:rPr>
        <w:t>特别提示：杭银理财理财计划投资协议书与</w:t>
      </w:r>
      <w:r>
        <w:rPr>
          <w:rFonts w:hint="eastAsia"/>
          <w:b/>
          <w:bCs/>
          <w:color w:val="000000"/>
          <w:sz w:val="24"/>
          <w:highlight w:val="none"/>
          <w:lang w:eastAsia="zh-CN"/>
        </w:rPr>
        <w:t>理财计划风险揭示书、理财计划产品说明书、</w:t>
      </w:r>
      <w:r>
        <w:rPr>
          <w:rFonts w:hint="eastAsia"/>
          <w:b/>
          <w:bCs/>
          <w:color w:val="000000"/>
          <w:sz w:val="24"/>
          <w:highlight w:val="none"/>
        </w:rPr>
        <w:t>投资者权益须知</w:t>
      </w:r>
      <w:r>
        <w:rPr>
          <w:rFonts w:hint="eastAsia"/>
          <w:b/>
          <w:bCs/>
          <w:color w:val="000000"/>
          <w:sz w:val="24"/>
          <w:highlight w:val="none"/>
          <w:lang w:eastAsia="zh-CN"/>
        </w:rPr>
        <w:t>及理财计划销售协议书</w:t>
      </w:r>
      <w:r>
        <w:rPr>
          <w:rFonts w:hint="eastAsia"/>
          <w:b/>
          <w:bCs/>
          <w:color w:val="000000"/>
          <w:sz w:val="24"/>
          <w:highlight w:val="none"/>
        </w:rPr>
        <w:t>共同构成完整且不可分割的理财计划合同。杭银理财有限责任公司（以下简称“杭银理财”）建议投资者在购买理财计划前认真阅读理财计划合同，投资者签署协议书（含电子渠道签署）即知晓并同意已详细阅读理财计划合同并知悉相关风险，自愿投资购买理财计划、遵守合同约定并承担相应风险。</w:t>
      </w:r>
    </w:p>
    <w:p w14:paraId="04CBFEB2">
      <w:pPr>
        <w:spacing w:line="360" w:lineRule="auto"/>
        <w:ind w:firstLine="480" w:firstLineChars="200"/>
        <w:rPr>
          <w:rFonts w:hint="eastAsia"/>
          <w:sz w:val="24"/>
          <w:highlight w:val="none"/>
        </w:rPr>
      </w:pPr>
      <w:r>
        <w:rPr>
          <w:rFonts w:hint="eastAsia"/>
          <w:color w:val="000000"/>
          <w:sz w:val="24"/>
          <w:highlight w:val="none"/>
        </w:rPr>
        <w:t>投资者与管理人（即杭银理财有限责任公司）经平等友好协商，本着自愿、诚实信用原则，就投资者购买管理人发行的理财计划有关事宜达成如下协议（以下简称“本协议”）：</w:t>
      </w:r>
    </w:p>
    <w:p w14:paraId="472EF47B">
      <w:pPr>
        <w:spacing w:line="360" w:lineRule="auto"/>
        <w:ind w:firstLine="480" w:firstLineChars="200"/>
        <w:rPr>
          <w:rFonts w:hint="eastAsia"/>
          <w:sz w:val="24"/>
          <w:highlight w:val="none"/>
        </w:rPr>
      </w:pPr>
    </w:p>
    <w:p w14:paraId="322015DB">
      <w:pPr>
        <w:numPr>
          <w:ilvl w:val="0"/>
          <w:numId w:val="72"/>
        </w:numPr>
        <w:spacing w:line="360" w:lineRule="auto"/>
        <w:ind w:firstLine="480" w:firstLineChars="200"/>
        <w:outlineLvl w:val="1"/>
        <w:rPr>
          <w:rFonts w:ascii="宋体" w:hAnsi="宋体" w:hint="eastAsia"/>
          <w:b/>
          <w:bCs/>
          <w:sz w:val="24"/>
          <w:highlight w:val="none"/>
        </w:rPr>
      </w:pPr>
      <w:r>
        <w:rPr>
          <w:rFonts w:hint="eastAsia"/>
          <w:b/>
          <w:bCs/>
          <w:color w:val="000000"/>
          <w:sz w:val="24"/>
          <w:highlight w:val="none"/>
        </w:rPr>
        <w:t>名词释义</w:t>
      </w:r>
    </w:p>
    <w:p w14:paraId="2C1C3578">
      <w:pPr>
        <w:spacing w:line="360" w:lineRule="auto"/>
        <w:ind w:firstLine="480" w:firstLineChars="200"/>
        <w:rPr>
          <w:rFonts w:hint="eastAsia"/>
          <w:bCs/>
          <w:sz w:val="24"/>
          <w:highlight w:val="none"/>
        </w:rPr>
      </w:pPr>
      <w:r>
        <w:rPr>
          <w:rFonts w:hint="eastAsia"/>
          <w:bCs/>
          <w:color w:val="000000"/>
          <w:sz w:val="24"/>
          <w:highlight w:val="none"/>
        </w:rPr>
        <w:t>详见理财计划说明书“释义”部分。</w:t>
      </w:r>
    </w:p>
    <w:p w14:paraId="68D0CBA2">
      <w:pPr>
        <w:spacing w:line="360" w:lineRule="auto"/>
        <w:ind w:firstLine="480" w:firstLineChars="200"/>
        <w:rPr>
          <w:rFonts w:hint="eastAsia"/>
          <w:bCs/>
          <w:sz w:val="24"/>
          <w:highlight w:val="none"/>
        </w:rPr>
      </w:pPr>
    </w:p>
    <w:p w14:paraId="063F9172">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投资者权利与义务</w:t>
      </w:r>
    </w:p>
    <w:p w14:paraId="21E14812">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ascii="宋体" w:hAnsi="宋体" w:cs="宋体" w:hint="eastAsia"/>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14:paraId="78D0E649">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投资者保证自身完全了解理财投资的性质，投资所涉及的风险以及自身风险承受能力，在慎重考虑后独立作出交易决定。</w:t>
      </w:r>
    </w:p>
    <w:p w14:paraId="0E137DD4">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投资者保证其有权利签署本协议和履行本协议所述的义务，并已为此采取一切所需的行为。</w:t>
      </w:r>
    </w:p>
    <w:p w14:paraId="39616E6A">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14:paraId="79DF5D27">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14:paraId="23B35696">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14:paraId="302B9016">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本协议终止前，投资者不得将授权指定账户销户。若发生因投资者注销授权指定账户造成理财计划无法正常兑付的，管理人不承担任何责任。</w:t>
      </w:r>
    </w:p>
    <w:p w14:paraId="7CD274DE">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14:paraId="50F387F3">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投资者进行投资时，应严格遵守反洗钱相关法规的规定，切实履行反洗钱及反恐怖融资义务。 </w:t>
      </w:r>
    </w:p>
    <w:p w14:paraId="117A9A27">
      <w:pPr>
        <w:spacing w:line="360" w:lineRule="auto"/>
        <w:ind w:left="482"/>
        <w:rPr>
          <w:b/>
          <w:sz w:val="24"/>
          <w:highlight w:val="none"/>
        </w:rPr>
      </w:pPr>
    </w:p>
    <w:p w14:paraId="5129B989">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管理人权利与义务</w:t>
      </w:r>
    </w:p>
    <w:p w14:paraId="61B8A610">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管理人应当诚实守信、勤勉尽责地履行受人之托、代人理财职责。 </w:t>
      </w:r>
    </w:p>
    <w:p w14:paraId="5CD54616">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管理人应当按照理财计划销售文件的约定收取管理费用、确定收益分配方案、向投资者分配收益。 </w:t>
      </w:r>
    </w:p>
    <w:p w14:paraId="0CB53286">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管理人应当按照理财计划销售文件的约定履行风险揭示及信息披露义务。 </w:t>
      </w:r>
    </w:p>
    <w:p w14:paraId="6D700779">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管理人应当确保理财业务与其他业务相分离，理财计划之间相分离，理财业务操作与其他业务操作相分离。 </w:t>
      </w:r>
    </w:p>
    <w:p w14:paraId="5A92C277">
      <w:pPr>
        <w:widowControl/>
        <w:numPr>
          <w:ilvl w:val="0"/>
          <w:numId w:val="74"/>
        </w:numPr>
        <w:spacing w:line="360" w:lineRule="auto"/>
        <w:contextualSpacing/>
        <w:outlineLvl w:val="2"/>
        <w:rPr>
          <w:rFonts w:ascii="宋体" w:hAnsi="宋体"/>
          <w:sz w:val="24"/>
          <w:highlight w:val="none"/>
        </w:rPr>
      </w:pPr>
      <w:r>
        <w:rPr>
          <w:rFonts w:ascii="宋体" w:hAnsi="宋体"/>
          <w:color w:val="000000"/>
          <w:sz w:val="24"/>
          <w:highlight w:val="none"/>
        </w:rPr>
        <w:t>管理人不得将理财</w:t>
      </w:r>
      <w:r>
        <w:rPr>
          <w:rFonts w:ascii="宋体" w:hAnsi="宋体" w:hint="eastAsia"/>
          <w:color w:val="000000"/>
          <w:sz w:val="24"/>
          <w:highlight w:val="none"/>
        </w:rPr>
        <w:t>计划</w:t>
      </w:r>
      <w:r>
        <w:rPr>
          <w:rFonts w:ascii="宋体" w:hAnsi="宋体"/>
          <w:color w:val="000000"/>
          <w:sz w:val="24"/>
          <w:highlight w:val="none"/>
        </w:rPr>
        <w:t>财产归入其自有资产</w:t>
      </w:r>
      <w:r>
        <w:rPr>
          <w:rFonts w:ascii="宋体" w:hAnsi="宋体" w:hint="eastAsia"/>
          <w:color w:val="000000"/>
          <w:sz w:val="24"/>
          <w:highlight w:val="none"/>
        </w:rPr>
        <w:t>，</w:t>
      </w:r>
      <w:r>
        <w:rPr>
          <w:rFonts w:ascii="宋体" w:hAnsi="宋体"/>
          <w:color w:val="000000"/>
          <w:sz w:val="24"/>
          <w:highlight w:val="none"/>
        </w:rPr>
        <w:t>因依法解散</w:t>
      </w:r>
      <w:r>
        <w:rPr>
          <w:rFonts w:ascii="宋体" w:hAnsi="宋体" w:hint="eastAsia"/>
          <w:color w:val="000000"/>
          <w:sz w:val="24"/>
          <w:highlight w:val="none"/>
        </w:rPr>
        <w:t>、</w:t>
      </w:r>
      <w:r>
        <w:rPr>
          <w:rFonts w:ascii="宋体" w:hAnsi="宋体"/>
          <w:color w:val="000000"/>
          <w:sz w:val="24"/>
          <w:highlight w:val="none"/>
        </w:rPr>
        <w:t>被依法撤销或者被依法宣告破产等原因进行清算的</w:t>
      </w:r>
      <w:r>
        <w:rPr>
          <w:rFonts w:ascii="宋体" w:hAnsi="宋体" w:hint="eastAsia"/>
          <w:color w:val="000000"/>
          <w:sz w:val="24"/>
          <w:highlight w:val="none"/>
        </w:rPr>
        <w:t>，</w:t>
      </w:r>
      <w:r>
        <w:rPr>
          <w:rFonts w:ascii="宋体" w:hAnsi="宋体"/>
          <w:color w:val="000000"/>
          <w:sz w:val="24"/>
          <w:highlight w:val="none"/>
        </w:rPr>
        <w:t>理财</w:t>
      </w:r>
      <w:r>
        <w:rPr>
          <w:rFonts w:ascii="宋体" w:hAnsi="宋体" w:hint="eastAsia"/>
          <w:color w:val="000000"/>
          <w:sz w:val="24"/>
          <w:highlight w:val="none"/>
        </w:rPr>
        <w:t>计划</w:t>
      </w:r>
      <w:r>
        <w:rPr>
          <w:rFonts w:ascii="宋体" w:hAnsi="宋体"/>
          <w:color w:val="000000"/>
          <w:sz w:val="24"/>
          <w:highlight w:val="none"/>
        </w:rPr>
        <w:t>财产不属于其清算财产</w:t>
      </w:r>
      <w:r>
        <w:rPr>
          <w:rFonts w:ascii="宋体" w:hAnsi="宋体" w:hint="eastAsia"/>
          <w:color w:val="000000"/>
          <w:sz w:val="24"/>
          <w:highlight w:val="none"/>
        </w:rPr>
        <w:t>。</w:t>
      </w:r>
    </w:p>
    <w:p w14:paraId="49A86406">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管理人应当选择具有证券投资基金托管业务资格的金融机构、银行业理财登记托管机构或者国务院银行业监督管理机构认可的其他机构托管理财计划。 </w:t>
      </w:r>
    </w:p>
    <w:p w14:paraId="7D376F0C">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14:paraId="6D60D125">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管理人应就理财计划销售过程中获知的投资者信息、风险承受能力评估结果、适当性匹配情况等承担保密义务。</w:t>
      </w:r>
      <w:r>
        <w:rPr>
          <w:rFonts w:ascii="宋体" w:hAnsi="宋体" w:cs="宋体" w:hint="eastAsia"/>
          <w:bCs/>
          <w:color w:val="000000"/>
          <w:sz w:val="24"/>
          <w:highlight w:val="none"/>
        </w:rPr>
        <w:t>非经投资者事先许可，不得向第三方披露，但法律法规或监管规定另有要求的除外。投资者在此同意并授权，管理人可根据监管要求，为理财计划登记等需要，向登记部门或监管机构提供投资者相关信息</w:t>
      </w:r>
      <w:r>
        <w:rPr>
          <w:rFonts w:ascii="宋体" w:hAnsi="宋体" w:cs="宋体" w:hint="eastAsia"/>
          <w:bCs/>
          <w:color w:val="000000"/>
          <w:sz w:val="24"/>
          <w:highlight w:val="none"/>
          <w:lang w:eastAsia="zh-CN"/>
        </w:rPr>
        <w:t>，</w:t>
      </w:r>
      <w:r>
        <w:rPr>
          <w:rFonts w:ascii="宋体" w:hAnsi="宋体" w:cs="宋体" w:hint="eastAsia"/>
          <w:b w:val="0"/>
          <w:bCs/>
          <w:color w:val="000000"/>
          <w:sz w:val="24"/>
          <w:highlight w:val="none"/>
          <w:lang w:val="en-US" w:eastAsia="zh-CN"/>
        </w:rPr>
        <w:t>授权使用时限与履行相关法律法规和监管要求的必要时限一致</w:t>
      </w:r>
      <w:r>
        <w:rPr>
          <w:rFonts w:ascii="宋体" w:hAnsi="宋体" w:cs="宋体" w:hint="eastAsia"/>
          <w:b w:val="0"/>
          <w:bCs/>
          <w:color w:val="000000"/>
          <w:sz w:val="24"/>
          <w:highlight w:val="none"/>
        </w:rPr>
        <w:t>。</w:t>
      </w:r>
    </w:p>
    <w:p w14:paraId="7FEBF503">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管理人在此特别披露：若理财计划管理人的关联方担任理财计划的代销机构、托管人、合作机构的，理财计划管理人将按照法律法规和监管要求履行相应程序，投资者认购或申购理财计划即知晓并同意该等安排。 </w:t>
      </w:r>
    </w:p>
    <w:p w14:paraId="072B081C">
      <w:pPr>
        <w:spacing w:line="360" w:lineRule="auto"/>
        <w:rPr>
          <w:b/>
          <w:sz w:val="24"/>
          <w:highlight w:val="none"/>
        </w:rPr>
      </w:pPr>
    </w:p>
    <w:p w14:paraId="4D1F4E08">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理财计划认（申）购、赎回及终止</w:t>
      </w:r>
    </w:p>
    <w:p w14:paraId="4D43A104">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理财计划认/申购办理流程：参照《投资者权益须知》约定。 </w:t>
      </w:r>
    </w:p>
    <w:p w14:paraId="1656EF7E">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14:paraId="589F8F0F">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14:paraId="0EA3771A">
      <w:pPr>
        <w:widowControl/>
        <w:numPr>
          <w:ilvl w:val="0"/>
          <w:numId w:val="75"/>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 xml:space="preserve">理财计划投资品种、投资起点金额、收益支付方式：参照对应期次的《理财计划产品说明书》中的条款约定。 </w:t>
      </w:r>
    </w:p>
    <w:p w14:paraId="3820BDA5">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理财计划赎回/终止兑付：在正常情况下，管理人和代销机构将按照对应期次的《理财计划产品说明书》相关约定，将兑付款项划入投资者授权杭银理财理财计划销售文件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14:paraId="2636BD4E">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14:paraId="7A0DCC60">
      <w:pPr>
        <w:spacing w:line="360" w:lineRule="auto"/>
        <w:ind w:left="482"/>
        <w:rPr>
          <w:b/>
          <w:sz w:val="24"/>
          <w:highlight w:val="none"/>
        </w:rPr>
      </w:pPr>
    </w:p>
    <w:p w14:paraId="5CBE5343">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税收处理</w:t>
      </w:r>
    </w:p>
    <w:p w14:paraId="1257C77F">
      <w:pPr>
        <w:widowControl/>
        <w:spacing w:line="360" w:lineRule="auto"/>
        <w:ind w:firstLine="480" w:firstLineChars="200"/>
        <w:contextualSpacing/>
        <w:rPr>
          <w:rFonts w:ascii="宋体" w:hAnsi="宋体" w:hint="eastAsia"/>
          <w:sz w:val="24"/>
          <w:highlight w:val="none"/>
        </w:rPr>
      </w:pPr>
      <w:r>
        <w:rPr>
          <w:rFonts w:ascii="宋体" w:hAnsi="宋体" w:hint="eastAsia"/>
          <w:color w:val="000000"/>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14:paraId="4F6760CB">
      <w:pPr>
        <w:widowControl/>
        <w:spacing w:line="360" w:lineRule="auto"/>
        <w:ind w:firstLine="480" w:firstLineChars="200"/>
        <w:contextualSpacing/>
        <w:rPr>
          <w:rFonts w:ascii="宋体" w:hAnsi="宋体"/>
          <w:sz w:val="24"/>
          <w:highlight w:val="none"/>
        </w:rPr>
      </w:pPr>
    </w:p>
    <w:p w14:paraId="2CBB175E">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违约责任及免责条款</w:t>
      </w:r>
    </w:p>
    <w:p w14:paraId="7DC03780">
      <w:pPr>
        <w:widowControl/>
        <w:numPr>
          <w:ilvl w:val="0"/>
          <w:numId w:val="76"/>
        </w:numPr>
        <w:spacing w:line="360" w:lineRule="auto"/>
        <w:contextualSpacing/>
        <w:outlineLvl w:val="2"/>
        <w:rPr>
          <w:rFonts w:ascii="宋体" w:hAnsi="宋体"/>
          <w:sz w:val="24"/>
          <w:highlight w:val="none"/>
        </w:rPr>
      </w:pPr>
      <w:r>
        <w:rPr>
          <w:rFonts w:ascii="宋体" w:hAnsi="宋体" w:hint="eastAsia"/>
          <w:color w:val="000000"/>
          <w:sz w:val="24"/>
          <w:highlight w:val="none"/>
        </w:rPr>
        <w:t>若因投资人原因导致司法或行政机构采取强制措施对其理财本金、收益进行部分或全部被扣划，均视投资者本人就全部理财本金违约进行了提前</w:t>
      </w:r>
      <w:r>
        <w:rPr>
          <w:rFonts w:ascii="宋体" w:hAnsi="宋体" w:hint="eastAsia"/>
          <w:color w:val="000000"/>
          <w:sz w:val="24"/>
          <w:highlight w:val="none"/>
          <w:lang w:eastAsia="zh-CN"/>
        </w:rPr>
        <w:t>赎回</w:t>
      </w:r>
      <w:r>
        <w:rPr>
          <w:rFonts w:ascii="宋体" w:hAnsi="宋体" w:hint="eastAsia"/>
          <w:color w:val="000000"/>
          <w:sz w:val="24"/>
          <w:highlight w:val="none"/>
        </w:rPr>
        <w:t>，本合同自动终止。因提前终止而产生的损失及相关费用由投资者承担。本合同前述情况终止的，理财本金不计付</w:t>
      </w:r>
      <w:r>
        <w:rPr>
          <w:rFonts w:ascii="宋体" w:hAnsi="宋体" w:hint="eastAsia"/>
          <w:color w:val="000000"/>
          <w:sz w:val="24"/>
          <w:highlight w:val="none"/>
          <w:lang w:eastAsia="zh-CN"/>
        </w:rPr>
        <w:t>赎回</w:t>
      </w:r>
      <w:r>
        <w:rPr>
          <w:rFonts w:ascii="宋体" w:hAnsi="宋体" w:hint="eastAsia"/>
          <w:color w:val="000000"/>
          <w:sz w:val="24"/>
          <w:highlight w:val="none"/>
        </w:rPr>
        <w:t>日前的理财收益，也不计付存款利息。</w:t>
      </w:r>
    </w:p>
    <w:p w14:paraId="2955D8E4">
      <w:pPr>
        <w:widowControl/>
        <w:numPr>
          <w:ilvl w:val="0"/>
          <w:numId w:val="76"/>
        </w:numPr>
        <w:spacing w:line="360" w:lineRule="auto"/>
        <w:contextualSpacing/>
        <w:outlineLvl w:val="2"/>
        <w:rPr>
          <w:rFonts w:ascii="宋体" w:hAnsi="宋体"/>
          <w:sz w:val="24"/>
          <w:highlight w:val="none"/>
        </w:rPr>
      </w:pPr>
      <w:r>
        <w:rPr>
          <w:rFonts w:ascii="宋体" w:hAnsi="宋体" w:hint="eastAsia"/>
          <w:color w:val="000000"/>
          <w:sz w:val="24"/>
          <w:highlight w:val="none"/>
        </w:rPr>
        <w:t>投资者违反本协议第二条内容，应承担相应违约责任。管理人对由此导致的理财业务交易延误、中断、终止及投资人损失不承担任何责任，并有权终止双方理财业务关系。因投资人违反双方约定解除本协议给管理人或全体投资者造成损失的，投资人应承担相应的赔偿责任。</w:t>
      </w:r>
    </w:p>
    <w:p w14:paraId="2145D13D">
      <w:pPr>
        <w:widowControl/>
        <w:numPr>
          <w:ilvl w:val="0"/>
          <w:numId w:val="76"/>
        </w:numPr>
        <w:spacing w:line="360" w:lineRule="auto"/>
        <w:contextualSpacing/>
        <w:outlineLvl w:val="2"/>
        <w:rPr>
          <w:rFonts w:ascii="宋体" w:hAnsi="宋体"/>
          <w:sz w:val="24"/>
          <w:highlight w:val="none"/>
        </w:rPr>
      </w:pPr>
      <w:r>
        <w:rPr>
          <w:rFonts w:ascii="宋体" w:hAnsi="宋体" w:hint="eastAsia"/>
          <w:color w:val="000000"/>
          <w:sz w:val="24"/>
          <w:highlight w:val="none"/>
        </w:rPr>
        <w:t>若由于管理人过错导致理财计划资产发生损失，管理人应按其过错承担赔偿责任，管理人赔偿的款项计入本理财计划的资产和收益，由所有投资者按理财本金比例分配。</w:t>
      </w:r>
    </w:p>
    <w:p w14:paraId="771A17DE">
      <w:pPr>
        <w:widowControl/>
        <w:numPr>
          <w:ilvl w:val="0"/>
          <w:numId w:val="76"/>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14:paraId="2B3C3501">
      <w:pPr>
        <w:widowControl/>
        <w:numPr>
          <w:ilvl w:val="0"/>
          <w:numId w:val="76"/>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因国家有关法律、法规、规章、政策的修改或新的法律、法规、规章、政策颁布以及紧急措施的出台导致的风险及损失，管理人不承担责任。</w:t>
      </w:r>
    </w:p>
    <w:p w14:paraId="20AB86B5">
      <w:pPr>
        <w:widowControl/>
        <w:numPr>
          <w:ilvl w:val="0"/>
          <w:numId w:val="76"/>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管理人若严格按照产品说明书相关规定并勤勉尽责进行投资运作，因市场波动、资产风险事件等非因管理人违反法律法规、监管规定或理财计划合同约定的原因给投资者造成损失的，管理人不承担相应赔偿责任；但管理人存在故意或者重大过失的除外。</w:t>
      </w:r>
    </w:p>
    <w:p w14:paraId="47210F08">
      <w:pPr>
        <w:widowControl/>
        <w:spacing w:line="360" w:lineRule="auto"/>
        <w:contextualSpacing/>
        <w:rPr>
          <w:rFonts w:ascii="宋体" w:hAnsi="宋体"/>
          <w:sz w:val="24"/>
          <w:highlight w:val="none"/>
        </w:rPr>
      </w:pPr>
    </w:p>
    <w:p w14:paraId="615145D7">
      <w:pPr>
        <w:numPr>
          <w:ilvl w:val="0"/>
          <w:numId w:val="72"/>
        </w:numPr>
        <w:spacing w:line="360" w:lineRule="auto"/>
        <w:ind w:firstLine="480" w:firstLineChars="200"/>
        <w:outlineLvl w:val="1"/>
        <w:rPr>
          <w:b/>
          <w:sz w:val="24"/>
          <w:highlight w:val="none"/>
        </w:rPr>
      </w:pPr>
      <w:r>
        <w:rPr>
          <w:rFonts w:hint="eastAsia"/>
          <w:b/>
          <w:color w:val="000000"/>
          <w:sz w:val="24"/>
          <w:highlight w:val="none"/>
        </w:rPr>
        <w:t>适用法律与争议解决</w:t>
      </w:r>
    </w:p>
    <w:p w14:paraId="4EBB5AE5">
      <w:pPr>
        <w:widowControl/>
        <w:spacing w:line="360" w:lineRule="auto"/>
        <w:ind w:firstLine="480" w:firstLineChars="200"/>
        <w:contextualSpacing/>
        <w:rPr>
          <w:rFonts w:ascii="宋体" w:hAnsi="宋体"/>
          <w:sz w:val="24"/>
          <w:highlight w:val="none"/>
        </w:rPr>
      </w:pPr>
      <w:r>
        <w:rPr>
          <w:rFonts w:ascii="宋体" w:hAnsi="宋体" w:hint="eastAsia"/>
          <w:color w:val="000000"/>
          <w:sz w:val="24"/>
          <w:highlight w:val="none"/>
        </w:rPr>
        <w:t>本合同适用</w:t>
      </w:r>
      <w:r>
        <w:rPr>
          <w:rFonts w:ascii="宋体" w:hAnsi="宋体" w:cs="宋体" w:hint="eastAsia"/>
          <w:bCs/>
          <w:color w:val="000000"/>
          <w:sz w:val="24"/>
          <w:highlight w:val="none"/>
        </w:rPr>
        <w:t>中华人民共和国（仅为明确本合同适用法律规则，不含香港特别行政区、澳门特别行政区及中国台湾地区）</w:t>
      </w:r>
      <w:r>
        <w:rPr>
          <w:rFonts w:ascii="宋体" w:hAnsi="宋体" w:hint="eastAsia"/>
          <w:color w:val="000000"/>
          <w:sz w:val="24"/>
          <w:highlight w:val="none"/>
        </w:rPr>
        <w:t>的法律和行政法规。本合同项下的及与之有关的一切争议，投资者与管理人双方应首先协商解决，协商不成的，任何一方均有权向被告住所地有管辖权的人民法院提起诉讼。诉讼期间，未涉及争议的条款仍需继续履行。</w:t>
      </w:r>
    </w:p>
    <w:p w14:paraId="3035B655">
      <w:pPr>
        <w:spacing w:line="360" w:lineRule="auto"/>
        <w:ind w:left="482"/>
        <w:rPr>
          <w:b/>
          <w:sz w:val="24"/>
          <w:highlight w:val="none"/>
        </w:rPr>
      </w:pPr>
    </w:p>
    <w:p w14:paraId="70D12E6D">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协议生效和终止</w:t>
      </w:r>
    </w:p>
    <w:p w14:paraId="4E3AFCDD">
      <w:pPr>
        <w:widowControl/>
        <w:numPr>
          <w:ilvl w:val="0"/>
          <w:numId w:val="77"/>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投资者和管理人双方认可本协议可以纸质或电子数据等形式提交、订立或确认。 </w:t>
      </w:r>
    </w:p>
    <w:p w14:paraId="54C10190">
      <w:pPr>
        <w:widowControl/>
        <w:numPr>
          <w:ilvl w:val="0"/>
          <w:numId w:val="77"/>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本协议书以纸质书面形式订立的，自投资者</w:t>
      </w:r>
      <w:r>
        <w:rPr>
          <w:rFonts w:ascii="宋体" w:hAnsi="宋体" w:hint="eastAsia"/>
          <w:color w:val="000000"/>
          <w:sz w:val="24"/>
          <w:highlight w:val="none"/>
          <w:lang w:val="en-US" w:eastAsia="zh-CN"/>
        </w:rPr>
        <w:t>签署（如投资者为个人，应签字；如投资者为机构，应法定代表人或授权代理人签字或盖章并加盖公章或有效授权印章）并经管理人系统确认购买理财计划份额</w:t>
      </w:r>
      <w:r>
        <w:rPr>
          <w:rFonts w:ascii="宋体" w:hAnsi="宋体" w:hint="eastAsia"/>
          <w:color w:val="000000"/>
          <w:sz w:val="24"/>
          <w:highlight w:val="none"/>
        </w:rPr>
        <w:t>之后立即生效。协议一式</w:t>
      </w:r>
      <w:r>
        <w:rPr>
          <w:rFonts w:ascii="宋体" w:hAnsi="宋体" w:hint="eastAsia"/>
          <w:color w:val="000000"/>
          <w:sz w:val="24"/>
          <w:highlight w:val="none"/>
          <w:lang w:eastAsia="zh-CN"/>
        </w:rPr>
        <w:t>贰</w:t>
      </w:r>
      <w:r>
        <w:rPr>
          <w:rFonts w:ascii="宋体" w:hAnsi="宋体" w:hint="eastAsia"/>
          <w:color w:val="000000"/>
          <w:sz w:val="24"/>
          <w:highlight w:val="none"/>
        </w:rPr>
        <w:t>份，投资者和管理人双方各执</w:t>
      </w:r>
      <w:r>
        <w:rPr>
          <w:rFonts w:ascii="宋体" w:hAnsi="宋体" w:hint="eastAsia"/>
          <w:color w:val="000000"/>
          <w:sz w:val="24"/>
          <w:highlight w:val="none"/>
          <w:lang w:eastAsia="zh-CN"/>
        </w:rPr>
        <w:t>壹</w:t>
      </w:r>
      <w:r>
        <w:rPr>
          <w:rFonts w:ascii="宋体" w:hAnsi="宋体" w:hint="eastAsia"/>
          <w:color w:val="000000"/>
          <w:sz w:val="24"/>
          <w:highlight w:val="none"/>
        </w:rPr>
        <w:t xml:space="preserve">份，具有同等法律效力。 </w:t>
      </w:r>
    </w:p>
    <w:p w14:paraId="114D9EEA">
      <w:pPr>
        <w:widowControl/>
        <w:numPr>
          <w:ilvl w:val="0"/>
          <w:numId w:val="77"/>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14:paraId="22DC2236">
      <w:pPr>
        <w:widowControl/>
        <w:numPr>
          <w:ilvl w:val="0"/>
          <w:numId w:val="77"/>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投资者和管理人双方在本协议及对应期次的《理财计划产品说明书》项下权利义务履行完毕之日，本协议自动终止。</w:t>
      </w:r>
    </w:p>
    <w:p w14:paraId="1E24A610">
      <w:pPr>
        <w:widowControl/>
        <w:spacing w:line="360" w:lineRule="auto"/>
        <w:ind w:left="6"/>
        <w:contextualSpacing/>
        <w:rPr>
          <w:rFonts w:ascii="宋体" w:hAnsi="宋体"/>
          <w:sz w:val="24"/>
          <w:highlight w:val="none"/>
        </w:rPr>
      </w:pPr>
    </w:p>
    <w:p w14:paraId="545C8922">
      <w:pPr>
        <w:numPr>
          <w:ilvl w:val="0"/>
          <w:numId w:val="72"/>
        </w:numPr>
        <w:spacing w:line="360" w:lineRule="auto"/>
        <w:ind w:firstLine="480" w:firstLineChars="200"/>
        <w:outlineLvl w:val="1"/>
        <w:rPr>
          <w:b/>
          <w:sz w:val="24"/>
          <w:highlight w:val="none"/>
        </w:rPr>
      </w:pPr>
      <w:r>
        <w:rPr>
          <w:rFonts w:hint="eastAsia"/>
          <w:b/>
          <w:color w:val="000000"/>
          <w:sz w:val="24"/>
          <w:highlight w:val="none"/>
        </w:rPr>
        <w:t>附则</w:t>
      </w:r>
    </w:p>
    <w:p w14:paraId="73512705">
      <w:pPr>
        <w:widowControl/>
        <w:numPr>
          <w:ilvl w:val="0"/>
          <w:numId w:val="78"/>
        </w:numPr>
        <w:spacing w:line="360" w:lineRule="auto"/>
        <w:contextualSpacing/>
        <w:outlineLvl w:val="2"/>
        <w:rPr>
          <w:rFonts w:ascii="宋体" w:hAnsi="宋体"/>
          <w:sz w:val="24"/>
          <w:highlight w:val="none"/>
        </w:rPr>
      </w:pPr>
      <w:r>
        <w:rPr>
          <w:rFonts w:ascii="宋体" w:hAnsi="宋体" w:hint="eastAsia"/>
          <w:color w:val="000000"/>
          <w:sz w:val="24"/>
          <w:highlight w:val="none"/>
        </w:rPr>
        <w:t>如果投资者与管理人之间存在多份理财计划协议书，则每一协议书分别与其所对应的产品说明书等销售文本单独构成一个理财计划交易合同，各个合同之间互相独立，每一合同的效力及履行情况均独立于其他合同。</w:t>
      </w:r>
    </w:p>
    <w:p w14:paraId="7D6A06E5">
      <w:pPr>
        <w:widowControl/>
        <w:numPr>
          <w:ilvl w:val="0"/>
          <w:numId w:val="78"/>
        </w:numPr>
        <w:spacing w:line="360" w:lineRule="auto"/>
        <w:contextualSpacing/>
        <w:outlineLvl w:val="2"/>
        <w:rPr>
          <w:rFonts w:ascii="宋体" w:hAnsi="宋体"/>
          <w:sz w:val="24"/>
          <w:highlight w:val="none"/>
        </w:rPr>
      </w:pPr>
      <w:r>
        <w:rPr>
          <w:rFonts w:ascii="宋体" w:hAnsi="宋体" w:hint="eastAsia"/>
          <w:color w:val="000000"/>
          <w:sz w:val="24"/>
          <w:highlight w:val="none"/>
        </w:rPr>
        <w:t>如果由于任何原因使本合同下的任何条款或内容成为无效或被依法撤销，本合同其他条款或内容的合法性、有效性和可执行性不受影响。</w:t>
      </w:r>
    </w:p>
    <w:p w14:paraId="1F2A78B0">
      <w:pPr>
        <w:widowControl/>
        <w:numPr>
          <w:ilvl w:val="0"/>
          <w:numId w:val="78"/>
        </w:numPr>
        <w:spacing w:line="360" w:lineRule="auto"/>
        <w:contextualSpacing/>
        <w:outlineLvl w:val="2"/>
        <w:rPr>
          <w:rFonts w:ascii="宋体" w:hAnsi="宋体"/>
          <w:sz w:val="24"/>
          <w:highlight w:val="none"/>
        </w:rPr>
      </w:pPr>
      <w:r>
        <w:rPr>
          <w:rFonts w:ascii="宋体" w:hAnsi="宋体" w:hint="eastAsia"/>
          <w:color w:val="000000"/>
          <w:sz w:val="24"/>
          <w:highlight w:val="none"/>
        </w:rPr>
        <w:t>在理财计划存续期内，如因监管政策或法律法规发生变化，在不损害投资者利益的前提下，管理人有权对理财计划合同进行修订。</w:t>
      </w:r>
    </w:p>
    <w:p w14:paraId="46849F46">
      <w:pPr>
        <w:spacing w:line="360" w:lineRule="auto"/>
        <w:rPr>
          <w:rFonts w:ascii="宋体" w:hAnsi="宋体" w:cs="宋体"/>
          <w:bCs/>
          <w:color w:val="000000"/>
          <w:sz w:val="24"/>
          <w:highlight w:val="none"/>
        </w:rPr>
      </w:pPr>
    </w:p>
    <w:p w14:paraId="69FFF266">
      <w:pPr>
        <w:spacing w:line="360" w:lineRule="auto"/>
        <w:rPr>
          <w:rFonts w:ascii="宋体" w:hAnsi="宋体" w:cs="宋体"/>
          <w:bCs/>
          <w:color w:val="000000"/>
          <w:sz w:val="24"/>
          <w:highlight w:val="none"/>
        </w:rPr>
      </w:pPr>
    </w:p>
    <w:p w14:paraId="15713B16">
      <w:pPr>
        <w:pStyle w:val="NormalWeb"/>
        <w:widowControl/>
        <w:spacing w:line="360" w:lineRule="auto"/>
        <w:jc w:val="right"/>
        <w:rPr>
          <w:rFonts w:ascii="宋体" w:hAnsi="宋体" w:cs="宋体"/>
          <w:bCs/>
          <w:color w:val="000000"/>
          <w:sz w:val="24"/>
          <w:highlight w:val="none"/>
        </w:rPr>
      </w:pPr>
      <w:r>
        <w:rPr>
          <w:rFonts w:ascii="宋体" w:hAnsi="宋体" w:cs="宋体" w:hint="eastAsia"/>
          <w:color w:val="000000"/>
          <w:kern w:val="0"/>
          <w:highlight w:val="none"/>
        </w:rPr>
        <w:t>杭银理财有限责任公司</w:t>
      </w:r>
    </w:p>
    <w:p w14:paraId="0DDA1253">
      <w:pPr>
        <w:pageBreakBefore/>
        <w:widowControl/>
        <w:spacing w:line="360" w:lineRule="auto"/>
        <w:rPr>
          <w:rFonts w:ascii="宋体" w:hAnsi="宋体"/>
          <w:sz w:val="24"/>
          <w:highlight w:val="none"/>
        </w:rPr>
      </w:pPr>
      <w:r>
        <w:rPr>
          <w:rFonts w:ascii="宋体" w:hAnsi="宋体" w:hint="eastAsia"/>
          <w:color w:val="000000"/>
          <w:sz w:val="24"/>
          <w:highlight w:val="none"/>
        </w:rPr>
        <w:t>本页为纸质形式（如有）</w:t>
      </w:r>
      <w:r>
        <w:rPr>
          <w:rFonts w:ascii="宋体" w:hAnsi="宋体" w:hint="eastAsia"/>
          <w:color w:val="000000"/>
          <w:sz w:val="24"/>
          <w:highlight w:val="none"/>
          <w:lang w:val="en-US" w:eastAsia="zh-CN"/>
        </w:rPr>
        <w:t>投资</w:t>
      </w:r>
      <w:r>
        <w:rPr>
          <w:rFonts w:ascii="宋体" w:hAnsi="宋体" w:hint="eastAsia"/>
          <w:color w:val="000000"/>
          <w:sz w:val="24"/>
          <w:highlight w:val="none"/>
        </w:rPr>
        <w:t>协议书签章页</w:t>
      </w:r>
    </w:p>
    <w:p w14:paraId="2C46BBA5">
      <w:pPr>
        <w:spacing w:line="360" w:lineRule="auto"/>
        <w:rPr>
          <w:sz w:val="24"/>
          <w:highlight w:val="none"/>
        </w:rPr>
      </w:pPr>
    </w:p>
    <w:p w14:paraId="6C4C21C8">
      <w:pPr>
        <w:spacing w:line="360" w:lineRule="auto"/>
        <w:rPr>
          <w:sz w:val="24"/>
          <w:highlight w:val="none"/>
        </w:rPr>
      </w:pPr>
    </w:p>
    <w:p w14:paraId="31728EA5">
      <w:pPr>
        <w:spacing w:line="360" w:lineRule="auto"/>
        <w:rPr>
          <w:sz w:val="24"/>
          <w:highlight w:val="none"/>
        </w:rPr>
      </w:pPr>
    </w:p>
    <w:p w14:paraId="5EC85EBA">
      <w:pPr>
        <w:spacing w:line="360" w:lineRule="auto"/>
        <w:rPr>
          <w:sz w:val="24"/>
          <w:highlight w:val="none"/>
        </w:rPr>
      </w:pPr>
    </w:p>
    <w:p w14:paraId="734ABAE6">
      <w:pPr>
        <w:spacing w:line="360" w:lineRule="auto"/>
        <w:rPr>
          <w:sz w:val="24"/>
          <w:highlight w:val="none"/>
        </w:rPr>
      </w:pPr>
    </w:p>
    <w:p w14:paraId="309BB628">
      <w:pPr>
        <w:spacing w:line="360" w:lineRule="auto"/>
        <w:rPr>
          <w:sz w:val="24"/>
          <w:highlight w:val="none"/>
        </w:rPr>
      </w:pPr>
    </w:p>
    <w:p w14:paraId="54A587FB">
      <w:pPr>
        <w:spacing w:line="360" w:lineRule="auto"/>
        <w:rPr>
          <w:sz w:val="24"/>
          <w:highlight w:val="none"/>
        </w:rPr>
      </w:pPr>
    </w:p>
    <w:p w14:paraId="2CD14F5A">
      <w:pPr>
        <w:spacing w:line="360" w:lineRule="auto"/>
        <w:rPr>
          <w:sz w:val="24"/>
          <w:highlight w:val="none"/>
        </w:rPr>
      </w:pPr>
    </w:p>
    <w:p w14:paraId="4384F47A">
      <w:pPr>
        <w:spacing w:line="360" w:lineRule="auto"/>
        <w:rPr>
          <w:rFonts w:ascii="宋体" w:hAnsi="宋体" w:hint="eastAsia"/>
          <w:b/>
          <w:bCs/>
          <w:sz w:val="24"/>
          <w:highlight w:val="none"/>
        </w:rPr>
      </w:pPr>
      <w:r>
        <w:rPr>
          <w:rFonts w:ascii="宋体" w:hAnsi="宋体" w:hint="eastAsia"/>
          <w:b/>
          <w:bCs/>
          <w:color w:val="000000"/>
          <w:sz w:val="24"/>
          <w:highlight w:val="none"/>
        </w:rPr>
        <w:t>投资者（签字</w:t>
      </w:r>
      <w:r>
        <w:rPr>
          <w:rFonts w:ascii="宋体" w:eastAsia="宋体" w:hAnsi="宋体" w:cs="黑体" w:hint="eastAsia"/>
          <w:b/>
          <w:bCs/>
          <w:color w:val="000000"/>
          <w:sz w:val="24"/>
          <w:highlight w:val="none"/>
          <w:lang w:eastAsia="zh-CN"/>
        </w:rPr>
        <w:t>或签章</w:t>
      </w:r>
      <w:r>
        <w:rPr>
          <w:rFonts w:ascii="宋体" w:hAnsi="宋体" w:hint="eastAsia"/>
          <w:b/>
          <w:bCs/>
          <w:color w:val="000000"/>
          <w:sz w:val="24"/>
          <w:highlight w:val="none"/>
        </w:rPr>
        <w:t>）：</w:t>
      </w:r>
    </w:p>
    <w:p w14:paraId="3424ED06">
      <w:pPr>
        <w:spacing w:line="360" w:lineRule="auto"/>
        <w:rPr>
          <w:rFonts w:ascii="宋体" w:hAnsi="宋体" w:hint="eastAsia"/>
          <w:b/>
          <w:bCs/>
          <w:sz w:val="24"/>
          <w:highlight w:val="none"/>
        </w:rPr>
      </w:pPr>
    </w:p>
    <w:p w14:paraId="2044AF75">
      <w:pPr>
        <w:spacing w:line="360" w:lineRule="auto"/>
        <w:rPr>
          <w:rFonts w:ascii="宋体" w:hAnsi="宋体" w:hint="eastAsia"/>
          <w:b/>
          <w:bCs/>
          <w:sz w:val="24"/>
          <w:highlight w:val="none"/>
        </w:rPr>
      </w:pPr>
    </w:p>
    <w:p w14:paraId="593D29AE">
      <w:pPr>
        <w:spacing w:before="156" w:beforeLines="50" w:after="156" w:afterLines="50" w:line="360" w:lineRule="auto"/>
        <w:ind w:firstLine="4800" w:firstLineChars="2000"/>
        <w:jc w:val="right"/>
        <w:rPr>
          <w:rFonts w:ascii="宋体" w:hAnsi="宋体" w:cs="宋体"/>
          <w:bCs/>
          <w:color w:val="000000"/>
          <w:sz w:val="24"/>
          <w:highlight w:val="none"/>
        </w:rPr>
      </w:pPr>
      <w:r>
        <w:rPr>
          <w:rFonts w:ascii="Arial" w:hAnsi="Arial" w:hint="eastAsia"/>
          <w:color w:val="000000"/>
          <w:sz w:val="24"/>
          <w:highlight w:val="none"/>
        </w:rPr>
        <w:t xml:space="preserve">   年   月   日</w:t>
      </w:r>
    </w:p>
    <w:sectPr>
      <w:headerReference w:type="default" r:id="rId5"/>
      <w:footerReference w:type="default" r:id="rId6"/>
      <w:pgSz w:w="11906" w:h="16838"/>
      <w:pgMar w:top="1440" w:right="1800" w:bottom="1440" w:left="1800" w:header="851" w:footer="992" w:gutter="0"/>
      <w:pgNumType w:start="1"/>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1" w:csb1="00000000"/>
  </w:font>
  <w:font w:name="Calibri">
    <w:altName w:val="Arial"/>
    <w:panose1 w:val="020F0502020204030204"/>
    <w:charset w:val="00"/>
    <w:family w:val="swiss"/>
    <w:pitch w:val="default"/>
    <w:sig w:usb0="00000000" w:usb1="00000000"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0AFC314">
    <w:pPr>
      <w:pStyle w:val="Foo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68</w:t>
                          </w:r>
                          <w:r>
                            <w:rPr>
                              <w:rFonts w:hint="eastAsia"/>
                              <w:sz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14:paraId="15A996D3">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68</w:t>
                    </w:r>
                    <w:r>
                      <w:rPr>
                        <w:rFonts w:hint="eastAsia"/>
                        <w:sz w:val="18"/>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74DA9A99">
    <w:pPr>
      <w:pStyle w:val="Header"/>
      <w:pBdr>
        <w:bottom w:val="single" w:sz="4" w:space="1" w:color="auto"/>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xmlns:r="http://schemas.openxmlformats.org/officeDocument/2006/relationships"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1879860"/>
    <w:multiLevelType w:val="singleLevel"/>
    <w:tmpl w:val="81879860"/>
    <w:lvl w:ilvl="0">
      <w:start w:val="8"/>
      <w:numFmt w:val="decimal"/>
      <w:suff w:val="nothing"/>
      <w:lvlText w:val="%1．"/>
      <w:lvlJc w:val="left"/>
      <w:pPr>
        <w:ind w:left="0" w:firstLine="403"/>
      </w:pPr>
      <w:rPr>
        <w:rFonts w:hint="default"/>
        <w:color w:val="000000"/>
      </w:rPr>
    </w:lvl>
  </w:abstractNum>
  <w:abstractNum w:abstractNumId="1">
    <w:nsid w:val="830DBA53"/>
    <w:multiLevelType w:val="singleLevel"/>
    <w:tmpl w:val="830DBA53"/>
    <w:lvl w:ilvl="0">
      <w:start w:val="1"/>
      <w:numFmt w:val="chineseCounting"/>
      <w:suff w:val="nothing"/>
      <w:lvlText w:val="（%1）"/>
      <w:lvlJc w:val="left"/>
      <w:pPr>
        <w:ind w:left="0" w:firstLine="420"/>
      </w:pPr>
      <w:rPr>
        <w:rFonts w:hint="eastAsia"/>
        <w:color w:val="000000"/>
      </w:rPr>
    </w:lvl>
  </w:abstractNum>
  <w:abstractNum w:abstractNumId="2">
    <w:nsid w:val="85460E80"/>
    <w:multiLevelType w:val="singleLevel"/>
    <w:tmpl w:val="85460E80"/>
    <w:lvl w:ilvl="0">
      <w:start w:val="1"/>
      <w:numFmt w:val="decimal"/>
      <w:suff w:val="nothing"/>
      <w:lvlText w:val="（%1）"/>
      <w:lvlJc w:val="left"/>
      <w:rPr>
        <w:rFonts w:hint="default"/>
        <w:b w:val="0"/>
        <w:bCs w:val="0"/>
        <w:color w:val="000000"/>
      </w:rPr>
    </w:lvl>
  </w:abstractNum>
  <w:abstractNum w:abstractNumId="3">
    <w:nsid w:val="8723FD40"/>
    <w:multiLevelType w:val="singleLevel"/>
    <w:tmpl w:val="8723FD40"/>
    <w:lvl w:ilvl="0">
      <w:start w:val="1"/>
      <w:numFmt w:val="decimal"/>
      <w:suff w:val="nothing"/>
      <w:lvlText w:val="%1．"/>
      <w:lvlJc w:val="left"/>
      <w:pPr>
        <w:ind w:left="0" w:firstLine="400"/>
      </w:pPr>
      <w:rPr>
        <w:rFonts w:ascii="宋体" w:eastAsia="宋体" w:hAnsi="宋体" w:cs="宋体" w:hint="default"/>
        <w:b w:val="0"/>
        <w:bCs w:val="0"/>
        <w:color w:val="000000"/>
      </w:rPr>
    </w:lvl>
  </w:abstractNum>
  <w:abstractNum w:abstractNumId="4">
    <w:nsid w:val="8906C252"/>
    <w:multiLevelType w:val="singleLevel"/>
    <w:tmpl w:val="8906C252"/>
    <w:lvl w:ilvl="0">
      <w:start w:val="1"/>
      <w:numFmt w:val="decimal"/>
      <w:suff w:val="nothing"/>
      <w:lvlText w:val="（%1）"/>
      <w:lvlJc w:val="left"/>
      <w:rPr>
        <w:rFonts w:hint="default"/>
        <w:b w:val="0"/>
        <w:bCs w:val="0"/>
        <w:color w:val="000000"/>
      </w:rPr>
    </w:lvl>
  </w:abstractNum>
  <w:abstractNum w:abstractNumId="5">
    <w:nsid w:val="8A1865EC"/>
    <w:multiLevelType w:val="singleLevel"/>
    <w:tmpl w:val="8A1865EC"/>
    <w:lvl w:ilvl="0">
      <w:start w:val="1"/>
      <w:numFmt w:val="decimal"/>
      <w:suff w:val="nothing"/>
      <w:lvlText w:val="%1．"/>
      <w:lvlJc w:val="left"/>
      <w:pPr>
        <w:ind w:left="0" w:firstLine="400"/>
      </w:pPr>
      <w:rPr>
        <w:rFonts w:ascii="宋体" w:eastAsia="宋体" w:hAnsi="宋体" w:cs="宋体" w:hint="default"/>
      </w:rPr>
    </w:lvl>
  </w:abstractNum>
  <w:abstractNum w:abstractNumId="6">
    <w:nsid w:val="8D0ECC14"/>
    <w:multiLevelType w:val="singleLevel"/>
    <w:tmpl w:val="8D0ECC14"/>
    <w:lvl w:ilvl="0">
      <w:start w:val="2"/>
      <w:numFmt w:val="chineseCounting"/>
      <w:suff w:val="nothing"/>
      <w:lvlText w:val="（%1）"/>
      <w:lvlJc w:val="left"/>
      <w:pPr>
        <w:ind w:left="0" w:firstLine="420"/>
      </w:pPr>
      <w:rPr>
        <w:rFonts w:hint="eastAsia"/>
        <w:color w:val="000000"/>
      </w:rPr>
    </w:lvl>
  </w:abstractNum>
  <w:abstractNum w:abstractNumId="7">
    <w:nsid w:val="8D2AB5FD"/>
    <w:multiLevelType w:val="singleLevel"/>
    <w:tmpl w:val="8D2AB5FD"/>
    <w:lvl w:ilvl="0">
      <w:start w:val="1"/>
      <w:numFmt w:val="chineseCounting"/>
      <w:suff w:val="nothing"/>
      <w:lvlText w:val="（%1）"/>
      <w:lvlJc w:val="left"/>
      <w:pPr>
        <w:ind w:left="0" w:firstLine="420"/>
      </w:pPr>
      <w:rPr>
        <w:rFonts w:hint="eastAsia"/>
        <w:color w:val="000000"/>
        <w:highlight w:val="none"/>
      </w:rPr>
    </w:lvl>
  </w:abstractNum>
  <w:abstractNum w:abstractNumId="8">
    <w:nsid w:val="8FC09253"/>
    <w:multiLevelType w:val="singleLevel"/>
    <w:tmpl w:val="8FC09253"/>
    <w:lvl w:ilvl="0">
      <w:start w:val="3"/>
      <w:numFmt w:val="chineseCounting"/>
      <w:suff w:val="nothing"/>
      <w:lvlText w:val="%1、"/>
      <w:lvlJc w:val="left"/>
      <w:pPr>
        <w:ind w:left="-420" w:firstLine="420"/>
      </w:pPr>
      <w:rPr>
        <w:rFonts w:hint="eastAsia"/>
        <w:color w:val="000000"/>
      </w:rPr>
    </w:lvl>
  </w:abstractNum>
  <w:abstractNum w:abstractNumId="9">
    <w:nsid w:val="93980280"/>
    <w:multiLevelType w:val="singleLevel"/>
    <w:tmpl w:val="93980280"/>
    <w:lvl w:ilvl="0">
      <w:start w:val="5"/>
      <w:numFmt w:val="chineseCounting"/>
      <w:suff w:val="nothing"/>
      <w:lvlText w:val="%1、"/>
      <w:lvlJc w:val="left"/>
      <w:pPr>
        <w:ind w:left="-420" w:firstLine="420"/>
      </w:pPr>
      <w:rPr>
        <w:rFonts w:hint="eastAsia"/>
      </w:rPr>
    </w:lvl>
  </w:abstractNum>
  <w:abstractNum w:abstractNumId="10">
    <w:nsid w:val="9E10E19D"/>
    <w:multiLevelType w:val="singleLevel"/>
    <w:tmpl w:val="9E10E19D"/>
    <w:lvl w:ilvl="0">
      <w:start w:val="1"/>
      <w:numFmt w:val="chineseCounting"/>
      <w:suff w:val="nothing"/>
      <w:lvlText w:val="（%1）"/>
      <w:lvlJc w:val="left"/>
      <w:pPr>
        <w:ind w:left="0" w:firstLine="420"/>
      </w:pPr>
      <w:rPr>
        <w:rFonts w:hint="eastAsia"/>
        <w:color w:val="000000"/>
      </w:rPr>
    </w:lvl>
  </w:abstractNum>
  <w:abstractNum w:abstractNumId="11">
    <w:nsid w:val="9E4A8FE0"/>
    <w:multiLevelType w:val="singleLevel"/>
    <w:tmpl w:val="9E4A8FE0"/>
    <w:lvl w:ilvl="0">
      <w:start w:val="1"/>
      <w:numFmt w:val="decimal"/>
      <w:suff w:val="nothing"/>
      <w:lvlText w:val="%1．"/>
      <w:lvlJc w:val="left"/>
      <w:pPr>
        <w:ind w:left="0" w:firstLine="400"/>
      </w:pPr>
      <w:rPr>
        <w:rFonts w:hint="default"/>
        <w:b/>
        <w:bCs/>
        <w:color w:val="000000"/>
      </w:rPr>
    </w:lvl>
  </w:abstractNum>
  <w:abstractNum w:abstractNumId="12">
    <w:nsid w:val="9F173FD6"/>
    <w:multiLevelType w:val="singleLevel"/>
    <w:tmpl w:val="9F173FD6"/>
    <w:lvl w:ilvl="0">
      <w:start w:val="1"/>
      <w:numFmt w:val="decimal"/>
      <w:suff w:val="nothing"/>
      <w:lvlText w:val="%1．"/>
      <w:lvlJc w:val="left"/>
      <w:pPr>
        <w:ind w:left="0" w:firstLine="400"/>
      </w:pPr>
      <w:rPr>
        <w:rFonts w:hint="default"/>
        <w:color w:val="000000"/>
      </w:rPr>
    </w:lvl>
  </w:abstractNum>
  <w:abstractNum w:abstractNumId="13">
    <w:nsid w:val="AAB48CF5"/>
    <w:multiLevelType w:val="singleLevel"/>
    <w:tmpl w:val="AAB48CF5"/>
    <w:lvl w:ilvl="0">
      <w:start w:val="1"/>
      <w:numFmt w:val="decimal"/>
      <w:suff w:val="nothing"/>
      <w:lvlText w:val="%1．"/>
      <w:lvlJc w:val="left"/>
      <w:pPr>
        <w:ind w:left="0" w:firstLine="400"/>
      </w:pPr>
      <w:rPr>
        <w:rFonts w:hint="default"/>
        <w:color w:val="000000"/>
      </w:rPr>
    </w:lvl>
  </w:abstractNum>
  <w:abstractNum w:abstractNumId="14">
    <w:nsid w:val="AC40BB97"/>
    <w:multiLevelType w:val="singleLevel"/>
    <w:tmpl w:val="AC40BB97"/>
    <w:lvl w:ilvl="0">
      <w:start w:val="1"/>
      <w:numFmt w:val="chineseCounting"/>
      <w:suff w:val="nothing"/>
      <w:lvlText w:val="%1、"/>
      <w:lvlJc w:val="left"/>
      <w:rPr>
        <w:rFonts w:hint="eastAsia"/>
        <w:color w:val="000000"/>
      </w:rPr>
    </w:lvl>
  </w:abstractNum>
  <w:abstractNum w:abstractNumId="15">
    <w:nsid w:val="AF5FAE6B"/>
    <w:multiLevelType w:val="singleLevel"/>
    <w:tmpl w:val="AF5FAE6B"/>
    <w:lvl w:ilvl="0">
      <w:start w:val="1"/>
      <w:numFmt w:val="chineseCounting"/>
      <w:suff w:val="nothing"/>
      <w:lvlText w:val="（%1）"/>
      <w:lvlJc w:val="left"/>
      <w:pPr>
        <w:ind w:left="0" w:firstLine="420"/>
      </w:pPr>
      <w:rPr>
        <w:rFonts w:hint="eastAsia"/>
        <w:color w:val="000000"/>
      </w:rPr>
    </w:lvl>
  </w:abstractNum>
  <w:abstractNum w:abstractNumId="16">
    <w:nsid w:val="B08226EF"/>
    <w:multiLevelType w:val="singleLevel"/>
    <w:tmpl w:val="B08226EF"/>
    <w:lvl w:ilvl="0">
      <w:start w:val="1"/>
      <w:numFmt w:val="chineseCounting"/>
      <w:suff w:val="space"/>
      <w:lvlText w:val="第%1条"/>
      <w:lvlJc w:val="left"/>
      <w:rPr>
        <w:rFonts w:hint="eastAsia"/>
        <w:color w:val="000000"/>
      </w:rPr>
    </w:lvl>
  </w:abstractNum>
  <w:abstractNum w:abstractNumId="17">
    <w:nsid w:val="BB4AE6C3"/>
    <w:multiLevelType w:val="singleLevel"/>
    <w:tmpl w:val="BB4AE6C3"/>
    <w:lvl w:ilvl="0">
      <w:start w:val="2"/>
      <w:numFmt w:val="decimal"/>
      <w:suff w:val="nothing"/>
      <w:lvlText w:val="%1．"/>
      <w:lvlJc w:val="left"/>
      <w:pPr>
        <w:ind w:left="0" w:firstLine="403"/>
      </w:pPr>
      <w:rPr>
        <w:rFonts w:hint="default"/>
        <w:color w:val="000000"/>
      </w:rPr>
    </w:lvl>
  </w:abstractNum>
  <w:abstractNum w:abstractNumId="18">
    <w:nsid w:val="BBE916E8"/>
    <w:multiLevelType w:val="singleLevel"/>
    <w:tmpl w:val="BBE916E8"/>
    <w:lvl w:ilvl="0">
      <w:start w:val="1"/>
      <w:numFmt w:val="decimal"/>
      <w:suff w:val="nothing"/>
      <w:lvlText w:val="%1．"/>
      <w:lvlJc w:val="left"/>
      <w:pPr>
        <w:ind w:left="0" w:firstLine="400"/>
      </w:pPr>
      <w:rPr>
        <w:rFonts w:hint="default"/>
        <w:b w:val="0"/>
        <w:bCs w:val="0"/>
        <w:color w:val="000000"/>
      </w:rPr>
    </w:lvl>
  </w:abstractNum>
  <w:abstractNum w:abstractNumId="19">
    <w:nsid w:val="BFFAB472"/>
    <w:multiLevelType w:val="multilevel"/>
    <w:tmpl w:val="BFFAB472"/>
    <w:lvl w:ilvl="0">
      <w:start w:val="1"/>
      <w:numFmt w:val="chineseCounting"/>
      <w:suff w:val="nothing"/>
      <w:lvlText w:val="（%1）"/>
      <w:lvlJc w:val="left"/>
      <w:pPr>
        <w:ind w:left="0" w:firstLine="420"/>
      </w:pPr>
      <w:rPr>
        <w:rFonts w:ascii="宋体" w:eastAsia="宋体" w:hAnsi="宋体" w:cs="宋体" w:hint="eastAsia"/>
        <w:color w:val="000000"/>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abstractNum w:abstractNumId="20">
    <w:nsid w:val="C7BD8C7E"/>
    <w:multiLevelType w:val="singleLevel"/>
    <w:tmpl w:val="C7BD8C7E"/>
    <w:lvl w:ilvl="0">
      <w:start w:val="1"/>
      <w:numFmt w:val="decimal"/>
      <w:suff w:val="nothing"/>
      <w:lvlText w:val="%1．"/>
      <w:lvlJc w:val="left"/>
      <w:pPr>
        <w:ind w:left="0" w:firstLine="400"/>
      </w:pPr>
      <w:rPr>
        <w:rFonts w:ascii="宋体" w:eastAsia="宋体" w:hAnsi="宋体" w:cs="宋体" w:hint="default"/>
        <w:color w:val="000000"/>
      </w:rPr>
    </w:lvl>
  </w:abstractNum>
  <w:abstractNum w:abstractNumId="21">
    <w:nsid w:val="D51C2339"/>
    <w:multiLevelType w:val="singleLevel"/>
    <w:tmpl w:val="D51C2339"/>
    <w:lvl w:ilvl="0">
      <w:start w:val="1"/>
      <w:numFmt w:val="decimal"/>
      <w:suff w:val="nothing"/>
      <w:lvlText w:val="%1．"/>
      <w:lvlJc w:val="left"/>
      <w:pPr>
        <w:ind w:left="0" w:firstLine="400"/>
      </w:pPr>
      <w:rPr>
        <w:rFonts w:ascii="宋体" w:eastAsia="宋体" w:hAnsi="宋体" w:cs="宋体" w:hint="default"/>
        <w:b/>
        <w:bCs/>
        <w:color w:val="000000"/>
      </w:rPr>
    </w:lvl>
  </w:abstractNum>
  <w:abstractNum w:abstractNumId="22">
    <w:nsid w:val="D86C2766"/>
    <w:multiLevelType w:val="singleLevel"/>
    <w:tmpl w:val="D86C2766"/>
    <w:lvl w:ilvl="0">
      <w:start w:val="5"/>
      <w:numFmt w:val="decimal"/>
      <w:suff w:val="nothing"/>
      <w:lvlText w:val="%1．"/>
      <w:lvlJc w:val="left"/>
      <w:pPr>
        <w:ind w:left="0" w:firstLine="403"/>
      </w:pPr>
      <w:rPr>
        <w:rFonts w:hint="default"/>
        <w:color w:val="000000"/>
      </w:rPr>
    </w:lvl>
  </w:abstractNum>
  <w:abstractNum w:abstractNumId="23">
    <w:nsid w:val="D87B2C43"/>
    <w:multiLevelType w:val="singleLevel"/>
    <w:tmpl w:val="D87B2C43"/>
    <w:lvl w:ilvl="0">
      <w:start w:val="1"/>
      <w:numFmt w:val="chineseCounting"/>
      <w:suff w:val="nothing"/>
      <w:lvlText w:val="（%1）"/>
      <w:lvlJc w:val="left"/>
      <w:pPr>
        <w:ind w:left="0" w:firstLine="420"/>
      </w:pPr>
      <w:rPr>
        <w:rFonts w:hint="eastAsia"/>
        <w:color w:val="000000"/>
      </w:rPr>
    </w:lvl>
  </w:abstractNum>
  <w:abstractNum w:abstractNumId="24">
    <w:nsid w:val="D8D75090"/>
    <w:multiLevelType w:val="singleLevel"/>
    <w:tmpl w:val="D8D75090"/>
    <w:lvl w:ilvl="0">
      <w:start w:val="1"/>
      <w:numFmt w:val="decimal"/>
      <w:suff w:val="nothing"/>
      <w:lvlText w:val="（%1）"/>
      <w:lvlJc w:val="left"/>
      <w:rPr>
        <w:rFonts w:hint="default"/>
        <w:b w:val="0"/>
        <w:bCs w:val="0"/>
        <w:color w:val="000000"/>
      </w:rPr>
    </w:lvl>
  </w:abstractNum>
  <w:abstractNum w:abstractNumId="25">
    <w:nsid w:val="DD2251DF"/>
    <w:multiLevelType w:val="singleLevel"/>
    <w:tmpl w:val="DD2251DF"/>
    <w:lvl w:ilvl="0">
      <w:start w:val="1"/>
      <w:numFmt w:val="decimal"/>
      <w:suff w:val="nothing"/>
      <w:lvlText w:val="（%1）"/>
      <w:lvlJc w:val="left"/>
      <w:rPr>
        <w:rFonts w:hint="default"/>
        <w:b w:val="0"/>
        <w:bCs w:val="0"/>
        <w:color w:val="000000"/>
      </w:rPr>
    </w:lvl>
  </w:abstractNum>
  <w:abstractNum w:abstractNumId="26">
    <w:nsid w:val="E20DF07A"/>
    <w:multiLevelType w:val="singleLevel"/>
    <w:tmpl w:val="E20DF07A"/>
    <w:lvl w:ilvl="0">
      <w:start w:val="1"/>
      <w:numFmt w:val="chineseCounting"/>
      <w:suff w:val="nothing"/>
      <w:lvlText w:val="（%1）"/>
      <w:lvlJc w:val="left"/>
      <w:pPr>
        <w:ind w:left="0" w:firstLine="420"/>
      </w:pPr>
      <w:rPr>
        <w:rFonts w:hint="eastAsia"/>
        <w:b/>
        <w:bCs/>
        <w:color w:val="000000"/>
      </w:rPr>
    </w:lvl>
  </w:abstractNum>
  <w:abstractNum w:abstractNumId="27">
    <w:nsid w:val="E70DF796"/>
    <w:multiLevelType w:val="singleLevel"/>
    <w:tmpl w:val="E70DF796"/>
    <w:lvl w:ilvl="0">
      <w:start w:val="1"/>
      <w:numFmt w:val="decimal"/>
      <w:suff w:val="nothing"/>
      <w:lvlText w:val="（%1）"/>
      <w:lvlJc w:val="left"/>
      <w:rPr>
        <w:color w:val="000000"/>
      </w:rPr>
    </w:lvl>
  </w:abstractNum>
  <w:abstractNum w:abstractNumId="28">
    <w:nsid w:val="EED9DB58"/>
    <w:multiLevelType w:val="multilevel"/>
    <w:tmpl w:val="EED9DB58"/>
    <w:lvl w:ilvl="0">
      <w:start w:val="1"/>
      <w:numFmt w:val="decimal"/>
      <w:suff w:val="nothing"/>
      <w:lvlText w:val="%1．"/>
      <w:lvlJc w:val="left"/>
      <w:pPr>
        <w:ind w:left="0" w:firstLine="400"/>
      </w:pPr>
      <w:rPr>
        <w:rFonts w:ascii="Times New Roman" w:hAnsi="Times New Roman" w:cs="Times New Roman" w:hint="default"/>
        <w:color w:val="000000"/>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abstractNum w:abstractNumId="29">
    <w:nsid w:val="EFF37F09"/>
    <w:multiLevelType w:val="singleLevel"/>
    <w:tmpl w:val="EFF37F09"/>
    <w:lvl w:ilvl="0">
      <w:start w:val="1"/>
      <w:numFmt w:val="decimal"/>
      <w:suff w:val="nothing"/>
      <w:lvlText w:val="（%1）"/>
      <w:lvlJc w:val="left"/>
      <w:rPr>
        <w:rFonts w:hint="default"/>
        <w:b w:val="0"/>
        <w:bCs w:val="0"/>
        <w:color w:val="000000"/>
      </w:rPr>
    </w:lvl>
  </w:abstractNum>
  <w:abstractNum w:abstractNumId="30">
    <w:nsid w:val="F2B939FD"/>
    <w:multiLevelType w:val="singleLevel"/>
    <w:tmpl w:val="F2B939FD"/>
    <w:lvl w:ilvl="0">
      <w:start w:val="1"/>
      <w:numFmt w:val="decimal"/>
      <w:suff w:val="nothing"/>
      <w:lvlText w:val="%1．"/>
      <w:lvlJc w:val="left"/>
      <w:pPr>
        <w:ind w:left="0" w:firstLine="400"/>
      </w:pPr>
      <w:rPr>
        <w:rFonts w:ascii="宋体" w:eastAsia="宋体" w:hAnsi="宋体" w:cs="宋体" w:hint="default"/>
        <w:color w:val="000000"/>
      </w:rPr>
    </w:lvl>
  </w:abstractNum>
  <w:abstractNum w:abstractNumId="31">
    <w:nsid w:val="F3AF4DAD"/>
    <w:multiLevelType w:val="singleLevel"/>
    <w:tmpl w:val="F3AF4DAD"/>
    <w:lvl w:ilvl="0">
      <w:start w:val="1"/>
      <w:numFmt w:val="chineseCounting"/>
      <w:suff w:val="nothing"/>
      <w:lvlText w:val="（%1）"/>
      <w:lvlJc w:val="left"/>
      <w:pPr>
        <w:ind w:left="0" w:firstLine="420"/>
      </w:pPr>
      <w:rPr>
        <w:rFonts w:hint="eastAsia"/>
        <w:color w:val="000000"/>
      </w:rPr>
    </w:lvl>
  </w:abstractNum>
  <w:abstractNum w:abstractNumId="32">
    <w:nsid w:val="F44DF26E"/>
    <w:multiLevelType w:val="singleLevel"/>
    <w:tmpl w:val="F44DF26E"/>
    <w:lvl w:ilvl="0">
      <w:start w:val="1"/>
      <w:numFmt w:val="decimal"/>
      <w:suff w:val="nothing"/>
      <w:lvlText w:val="%1．"/>
      <w:lvlJc w:val="left"/>
      <w:pPr>
        <w:ind w:left="0" w:firstLine="400"/>
      </w:pPr>
      <w:rPr>
        <w:rFonts w:hint="default"/>
        <w:color w:val="000000"/>
      </w:rPr>
    </w:lvl>
  </w:abstractNum>
  <w:abstractNum w:abstractNumId="33">
    <w:nsid w:val="F574F5B6"/>
    <w:multiLevelType w:val="singleLevel"/>
    <w:tmpl w:val="F574F5B6"/>
    <w:lvl w:ilvl="0">
      <w:start w:val="1"/>
      <w:numFmt w:val="decimal"/>
      <w:suff w:val="nothing"/>
      <w:lvlText w:val="（%1）"/>
      <w:lvlJc w:val="left"/>
      <w:rPr>
        <w:color w:val="000000"/>
      </w:rPr>
    </w:lvl>
  </w:abstractNum>
  <w:abstractNum w:abstractNumId="34">
    <w:nsid w:val="FAA9B37B"/>
    <w:multiLevelType w:val="singleLevel"/>
    <w:tmpl w:val="FAA9B37B"/>
    <w:lvl w:ilvl="0">
      <w:start w:val="2"/>
      <w:numFmt w:val="chineseCounting"/>
      <w:suff w:val="nothing"/>
      <w:lvlText w:val="%1、"/>
      <w:lvlJc w:val="left"/>
      <w:pPr>
        <w:ind w:left="-420" w:firstLine="420"/>
      </w:pPr>
      <w:rPr>
        <w:rFonts w:hint="eastAsia"/>
        <w:color w:val="000000"/>
      </w:rPr>
    </w:lvl>
  </w:abstractNum>
  <w:abstractNum w:abstractNumId="35">
    <w:nsid w:val="FBBA18C3"/>
    <w:multiLevelType w:val="singleLevel"/>
    <w:tmpl w:val="FBBA18C3"/>
    <w:lvl w:ilvl="0">
      <w:start w:val="1"/>
      <w:numFmt w:val="decimal"/>
      <w:lvlText w:val="%1."/>
      <w:lvlJc w:val="left"/>
      <w:pPr>
        <w:tabs>
          <w:tab w:val="left" w:pos="312"/>
        </w:tabs>
      </w:pPr>
      <w:rPr>
        <w:rFonts w:hint="default"/>
        <w:b w:val="0"/>
        <w:bCs w:val="0"/>
        <w:color w:val="000000"/>
        <w:highlight w:val="none"/>
      </w:rPr>
    </w:lvl>
  </w:abstractNum>
  <w:abstractNum w:abstractNumId="36">
    <w:nsid w:val="06A8803C"/>
    <w:multiLevelType w:val="singleLevel"/>
    <w:tmpl w:val="06A8803C"/>
    <w:lvl w:ilvl="0">
      <w:start w:val="1"/>
      <w:numFmt w:val="decimal"/>
      <w:suff w:val="nothing"/>
      <w:lvlText w:val="%1．"/>
      <w:lvlJc w:val="left"/>
      <w:pPr>
        <w:ind w:left="0" w:firstLine="400"/>
      </w:pPr>
      <w:rPr>
        <w:rFonts w:hint="default"/>
        <w:color w:val="000000"/>
      </w:rPr>
    </w:lvl>
  </w:abstractNum>
  <w:abstractNum w:abstractNumId="37">
    <w:nsid w:val="084A6179"/>
    <w:multiLevelType w:val="singleLevel"/>
    <w:tmpl w:val="084A6179"/>
    <w:lvl w:ilvl="0">
      <w:start w:val="1"/>
      <w:numFmt w:val="decimal"/>
      <w:suff w:val="nothing"/>
      <w:lvlText w:val="（%1）"/>
      <w:lvlJc w:val="left"/>
      <w:rPr>
        <w:rFonts w:hint="default"/>
        <w:highlight w:val="none"/>
      </w:rPr>
    </w:lvl>
  </w:abstractNum>
  <w:abstractNum w:abstractNumId="38">
    <w:nsid w:val="0A7F4507"/>
    <w:multiLevelType w:val="singleLevel"/>
    <w:tmpl w:val="0A7F4507"/>
    <w:lvl w:ilvl="0">
      <w:start w:val="1"/>
      <w:numFmt w:val="decimal"/>
      <w:suff w:val="nothing"/>
      <w:lvlText w:val="%1．"/>
      <w:lvlJc w:val="left"/>
      <w:pPr>
        <w:ind w:left="0" w:firstLine="400"/>
      </w:pPr>
      <w:rPr>
        <w:rFonts w:ascii="宋体" w:eastAsia="宋体" w:hAnsi="宋体" w:cs="宋体" w:hint="default"/>
        <w:color w:val="000000"/>
      </w:rPr>
    </w:lvl>
  </w:abstractNum>
  <w:abstractNum w:abstractNumId="39">
    <w:nsid w:val="139CA754"/>
    <w:multiLevelType w:val="singleLevel"/>
    <w:tmpl w:val="139CA754"/>
    <w:lvl w:ilvl="0">
      <w:start w:val="1"/>
      <w:numFmt w:val="decimal"/>
      <w:suff w:val="nothing"/>
      <w:lvlText w:val="%1．"/>
      <w:lvlJc w:val="left"/>
      <w:pPr>
        <w:ind w:left="0" w:firstLine="400"/>
      </w:pPr>
      <w:rPr>
        <w:rFonts w:ascii="宋体" w:eastAsia="宋体" w:hAnsi="宋体" w:cs="宋体" w:hint="default"/>
        <w:color w:val="000000"/>
      </w:rPr>
    </w:lvl>
  </w:abstractNum>
  <w:abstractNum w:abstractNumId="40">
    <w:nsid w:val="14B04552"/>
    <w:multiLevelType w:val="singleLevel"/>
    <w:tmpl w:val="14B04552"/>
    <w:lvl w:ilvl="0">
      <w:start w:val="1"/>
      <w:numFmt w:val="decimal"/>
      <w:suff w:val="nothing"/>
      <w:lvlText w:val="%1．"/>
      <w:lvlJc w:val="left"/>
      <w:pPr>
        <w:ind w:left="0" w:firstLine="400"/>
      </w:pPr>
      <w:rPr>
        <w:rFonts w:hint="default"/>
      </w:rPr>
    </w:lvl>
  </w:abstractNum>
  <w:abstractNum w:abstractNumId="41">
    <w:nsid w:val="167B0BB4"/>
    <w:multiLevelType w:val="singleLevel"/>
    <w:tmpl w:val="167B0BB4"/>
    <w:lvl w:ilvl="0">
      <w:start w:val="1"/>
      <w:numFmt w:val="decimal"/>
      <w:suff w:val="nothing"/>
      <w:lvlText w:val="（%1）"/>
      <w:lvlJc w:val="left"/>
    </w:lvl>
  </w:abstractNum>
  <w:abstractNum w:abstractNumId="42">
    <w:nsid w:val="19207562"/>
    <w:multiLevelType w:val="singleLevel"/>
    <w:tmpl w:val="19207562"/>
    <w:lvl w:ilvl="0">
      <w:start w:val="1"/>
      <w:numFmt w:val="decimal"/>
      <w:suff w:val="nothing"/>
      <w:lvlText w:val="%1．"/>
      <w:lvlJc w:val="left"/>
      <w:pPr>
        <w:ind w:left="0" w:firstLine="400"/>
      </w:pPr>
      <w:rPr>
        <w:rFonts w:ascii="宋体" w:eastAsia="宋体" w:hAnsi="宋体" w:cs="宋体" w:hint="default"/>
        <w:b w:val="0"/>
        <w:bCs w:val="0"/>
        <w:highlight w:val="none"/>
      </w:rPr>
    </w:lvl>
  </w:abstractNum>
  <w:abstractNum w:abstractNumId="43">
    <w:nsid w:val="197A43F5"/>
    <w:multiLevelType w:val="singleLevel"/>
    <w:tmpl w:val="197A43F5"/>
    <w:lvl w:ilvl="0">
      <w:start w:val="3"/>
      <w:numFmt w:val="chineseCounting"/>
      <w:suff w:val="nothing"/>
      <w:lvlText w:val="（%1）"/>
      <w:lvlJc w:val="left"/>
      <w:pPr>
        <w:ind w:left="0" w:firstLine="420"/>
      </w:pPr>
      <w:rPr>
        <w:rFonts w:hint="eastAsia"/>
        <w:color w:val="000000"/>
      </w:rPr>
    </w:lvl>
  </w:abstractNum>
  <w:abstractNum w:abstractNumId="44">
    <w:nsid w:val="1DE2936E"/>
    <w:multiLevelType w:val="singleLevel"/>
    <w:tmpl w:val="1DE2936E"/>
    <w:lvl w:ilvl="0">
      <w:start w:val="6"/>
      <w:numFmt w:val="chineseCounting"/>
      <w:suff w:val="nothing"/>
      <w:lvlText w:val="%1、"/>
      <w:lvlJc w:val="left"/>
      <w:pPr>
        <w:ind w:left="-420" w:firstLine="420"/>
      </w:pPr>
      <w:rPr>
        <w:rFonts w:hint="eastAsia"/>
        <w:color w:val="000000"/>
      </w:rPr>
    </w:lvl>
  </w:abstractNum>
  <w:abstractNum w:abstractNumId="45">
    <w:nsid w:val="2A987C4E"/>
    <w:multiLevelType w:val="singleLevel"/>
    <w:tmpl w:val="2A987C4E"/>
    <w:lvl w:ilvl="0">
      <w:start w:val="5"/>
      <w:numFmt w:val="decimal"/>
      <w:suff w:val="nothing"/>
      <w:lvlText w:val="%1．"/>
      <w:lvlJc w:val="left"/>
      <w:pPr>
        <w:ind w:left="0" w:firstLine="403"/>
      </w:pPr>
      <w:rPr>
        <w:rFonts w:hint="default"/>
        <w:color w:val="000000"/>
      </w:rPr>
    </w:lvl>
  </w:abstractNum>
  <w:abstractNum w:abstractNumId="46">
    <w:nsid w:val="2CB63BE6"/>
    <w:multiLevelType w:val="singleLevel"/>
    <w:tmpl w:val="2CB63BE6"/>
    <w:lvl w:ilvl="0">
      <w:start w:val="1"/>
      <w:numFmt w:val="decimal"/>
      <w:suff w:val="nothing"/>
      <w:lvlText w:val="（%1）"/>
      <w:lvlJc w:val="left"/>
      <w:rPr>
        <w:rFonts w:hint="default"/>
        <w:b w:val="0"/>
        <w:bCs w:val="0"/>
        <w:color w:val="000000"/>
      </w:rPr>
    </w:lvl>
  </w:abstractNum>
  <w:abstractNum w:abstractNumId="47">
    <w:nsid w:val="3775F290"/>
    <w:multiLevelType w:val="singleLevel"/>
    <w:tmpl w:val="3775F290"/>
    <w:lvl w:ilvl="0">
      <w:start w:val="7"/>
      <w:numFmt w:val="decimal"/>
      <w:suff w:val="nothing"/>
      <w:lvlText w:val="%1．"/>
      <w:lvlJc w:val="left"/>
      <w:pPr>
        <w:ind w:left="0" w:firstLine="403"/>
      </w:pPr>
      <w:rPr>
        <w:rFonts w:hint="default"/>
        <w:color w:val="000000"/>
      </w:rPr>
    </w:lvl>
  </w:abstractNum>
  <w:abstractNum w:abstractNumId="48">
    <w:nsid w:val="3C550B14"/>
    <w:multiLevelType w:val="singleLevel"/>
    <w:tmpl w:val="3C550B14"/>
    <w:lvl w:ilvl="0">
      <w:start w:val="1"/>
      <w:numFmt w:val="decimal"/>
      <w:suff w:val="nothing"/>
      <w:lvlText w:val="%1．"/>
      <w:lvlJc w:val="left"/>
      <w:pPr>
        <w:ind w:left="0" w:firstLine="400"/>
      </w:pPr>
      <w:rPr>
        <w:rFonts w:hint="default"/>
        <w:color w:val="000000"/>
      </w:rPr>
    </w:lvl>
  </w:abstractNum>
  <w:abstractNum w:abstractNumId="49">
    <w:nsid w:val="3D02F9B6"/>
    <w:multiLevelType w:val="singleLevel"/>
    <w:tmpl w:val="3D02F9B6"/>
    <w:lvl w:ilvl="0">
      <w:start w:val="1"/>
      <w:numFmt w:val="chineseCounting"/>
      <w:suff w:val="nothing"/>
      <w:lvlText w:val="（%1）"/>
      <w:lvlJc w:val="left"/>
      <w:pPr>
        <w:ind w:left="0" w:firstLine="420"/>
      </w:pPr>
      <w:rPr>
        <w:rFonts w:hint="eastAsia"/>
        <w:color w:val="000000"/>
      </w:rPr>
    </w:lvl>
  </w:abstractNum>
  <w:abstractNum w:abstractNumId="50">
    <w:nsid w:val="3E8BF7CA"/>
    <w:multiLevelType w:val="singleLevel"/>
    <w:tmpl w:val="3E8BF7CA"/>
    <w:lvl w:ilvl="0">
      <w:start w:val="3"/>
      <w:numFmt w:val="chineseCounting"/>
      <w:suff w:val="nothing"/>
      <w:lvlText w:val="（%1）"/>
      <w:lvlJc w:val="left"/>
      <w:pPr>
        <w:ind w:left="0" w:firstLine="420"/>
      </w:pPr>
      <w:rPr>
        <w:rFonts w:hint="eastAsia"/>
        <w:color w:val="000000"/>
      </w:rPr>
    </w:lvl>
  </w:abstractNum>
  <w:abstractNum w:abstractNumId="51">
    <w:nsid w:val="40727DE8"/>
    <w:multiLevelType w:val="singleLevel"/>
    <w:tmpl w:val="40727DE8"/>
    <w:lvl w:ilvl="0">
      <w:start w:val="1"/>
      <w:numFmt w:val="decimal"/>
      <w:suff w:val="nothing"/>
      <w:lvlText w:val="%1．"/>
      <w:lvlJc w:val="left"/>
      <w:pPr>
        <w:ind w:left="0" w:firstLine="400"/>
      </w:pPr>
      <w:rPr>
        <w:rFonts w:hint="default"/>
        <w:color w:val="000000"/>
      </w:rPr>
    </w:lvl>
  </w:abstractNum>
  <w:abstractNum w:abstractNumId="52">
    <w:nsid w:val="40C56BF5"/>
    <w:multiLevelType w:val="singleLevel"/>
    <w:tmpl w:val="40C56BF5"/>
    <w:lvl w:ilvl="0">
      <w:start w:val="1"/>
      <w:numFmt w:val="decimal"/>
      <w:suff w:val="nothing"/>
      <w:lvlText w:val="%1．"/>
      <w:lvlJc w:val="left"/>
      <w:pPr>
        <w:ind w:left="0" w:firstLine="400"/>
      </w:pPr>
      <w:rPr>
        <w:rFonts w:ascii="宋体" w:eastAsia="宋体" w:hAnsi="宋体" w:cs="宋体" w:hint="default"/>
        <w:color w:val="000000"/>
      </w:rPr>
    </w:lvl>
  </w:abstractNum>
  <w:abstractNum w:abstractNumId="53">
    <w:nsid w:val="440A0178"/>
    <w:multiLevelType w:val="singleLevel"/>
    <w:tmpl w:val="440A0178"/>
    <w:lvl w:ilvl="0">
      <w:start w:val="1"/>
      <w:numFmt w:val="chineseCounting"/>
      <w:suff w:val="nothing"/>
      <w:lvlText w:val="（%1）"/>
      <w:lvlJc w:val="left"/>
      <w:pPr>
        <w:ind w:left="0" w:firstLine="420"/>
      </w:pPr>
      <w:rPr>
        <w:rFonts w:hint="eastAsia"/>
        <w:color w:val="000000"/>
      </w:rPr>
    </w:lvl>
  </w:abstractNum>
  <w:abstractNum w:abstractNumId="54">
    <w:nsid w:val="4A032168"/>
    <w:multiLevelType w:val="singleLevel"/>
    <w:tmpl w:val="4A032168"/>
    <w:lvl w:ilvl="0">
      <w:start w:val="4"/>
      <w:numFmt w:val="decimal"/>
      <w:suff w:val="nothing"/>
      <w:lvlText w:val="%1．"/>
      <w:lvlJc w:val="left"/>
      <w:pPr>
        <w:ind w:left="0" w:firstLine="403"/>
      </w:pPr>
      <w:rPr>
        <w:rFonts w:hint="default"/>
        <w:color w:val="000000"/>
        <w:highlight w:val="none"/>
      </w:rPr>
    </w:lvl>
  </w:abstractNum>
  <w:abstractNum w:abstractNumId="55">
    <w:nsid w:val="4C142BB3"/>
    <w:multiLevelType w:val="singleLevel"/>
    <w:tmpl w:val="4C142BB3"/>
    <w:lvl w:ilvl="0">
      <w:start w:val="1"/>
      <w:numFmt w:val="chineseCounting"/>
      <w:suff w:val="nothing"/>
      <w:lvlText w:val="（%1）"/>
      <w:lvlJc w:val="left"/>
      <w:pPr>
        <w:ind w:left="0" w:firstLine="420"/>
      </w:pPr>
      <w:rPr>
        <w:rFonts w:hint="eastAsia"/>
        <w:color w:val="000000"/>
      </w:rPr>
    </w:lvl>
  </w:abstractNum>
  <w:abstractNum w:abstractNumId="56">
    <w:nsid w:val="4E635A5B"/>
    <w:multiLevelType w:val="singleLevel"/>
    <w:tmpl w:val="4E635A5B"/>
    <w:lvl w:ilvl="0">
      <w:start w:val="1"/>
      <w:numFmt w:val="chineseCounting"/>
      <w:suff w:val="nothing"/>
      <w:lvlText w:val="（%1）"/>
      <w:lvlJc w:val="left"/>
      <w:pPr>
        <w:ind w:left="0" w:firstLine="420"/>
      </w:pPr>
      <w:rPr>
        <w:rFonts w:hint="eastAsia"/>
        <w:b/>
        <w:bCs/>
        <w:color w:val="000000"/>
      </w:rPr>
    </w:lvl>
  </w:abstractNum>
  <w:abstractNum w:abstractNumId="57">
    <w:nsid w:val="4EA92D1A"/>
    <w:multiLevelType w:val="singleLevel"/>
    <w:tmpl w:val="4EA92D1A"/>
    <w:lvl w:ilvl="0">
      <w:start w:val="1"/>
      <w:numFmt w:val="chineseCounting"/>
      <w:suff w:val="nothing"/>
      <w:lvlText w:val="%1、"/>
      <w:lvlJc w:val="left"/>
      <w:pPr>
        <w:ind w:left="-420" w:firstLine="420"/>
      </w:pPr>
      <w:rPr>
        <w:rFonts w:hint="eastAsia"/>
        <w:color w:val="000000"/>
      </w:rPr>
    </w:lvl>
  </w:abstractNum>
  <w:abstractNum w:abstractNumId="58">
    <w:nsid w:val="57EB2BED"/>
    <w:multiLevelType w:val="singleLevel"/>
    <w:tmpl w:val="57EB2BED"/>
    <w:lvl w:ilvl="0">
      <w:start w:val="1"/>
      <w:numFmt w:val="decimal"/>
      <w:suff w:val="nothing"/>
      <w:lvlText w:val="%1．"/>
      <w:lvlJc w:val="left"/>
      <w:pPr>
        <w:ind w:left="0" w:firstLine="400"/>
      </w:pPr>
      <w:rPr>
        <w:rFonts w:hint="default"/>
        <w:color w:val="000000"/>
      </w:rPr>
    </w:lvl>
  </w:abstractNum>
  <w:abstractNum w:abstractNumId="59">
    <w:nsid w:val="5BA91325"/>
    <w:multiLevelType w:val="singleLevel"/>
    <w:tmpl w:val="5BA91325"/>
    <w:lvl w:ilvl="0">
      <w:start w:val="1"/>
      <w:numFmt w:val="decimal"/>
      <w:suff w:val="nothing"/>
      <w:lvlText w:val="（%1）"/>
      <w:lvlJc w:val="left"/>
      <w:rPr>
        <w:color w:val="000000"/>
      </w:rPr>
    </w:lvl>
  </w:abstractNum>
  <w:abstractNum w:abstractNumId="60">
    <w:nsid w:val="60C0383C"/>
    <w:multiLevelType w:val="singleLevel"/>
    <w:tmpl w:val="60C0383C"/>
    <w:lvl w:ilvl="0">
      <w:start w:val="1"/>
      <w:numFmt w:val="chineseCounting"/>
      <w:suff w:val="nothing"/>
      <w:lvlText w:val="（%1）"/>
      <w:lvlJc w:val="left"/>
      <w:pPr>
        <w:ind w:left="0" w:firstLine="420"/>
      </w:pPr>
      <w:rPr>
        <w:rFonts w:hint="eastAsia"/>
        <w:color w:val="000000"/>
      </w:rPr>
    </w:lvl>
  </w:abstractNum>
  <w:abstractNum w:abstractNumId="61">
    <w:nsid w:val="60C03881"/>
    <w:multiLevelType w:val="singleLevel"/>
    <w:tmpl w:val="60C03881"/>
    <w:lvl w:ilvl="0">
      <w:start w:val="1"/>
      <w:numFmt w:val="chineseCounting"/>
      <w:suff w:val="nothing"/>
      <w:lvlText w:val="（%1）"/>
      <w:lvlJc w:val="left"/>
      <w:pPr>
        <w:ind w:left="0" w:firstLine="420"/>
      </w:pPr>
      <w:rPr>
        <w:rFonts w:hint="eastAsia"/>
        <w:color w:val="000000"/>
      </w:rPr>
    </w:lvl>
  </w:abstractNum>
  <w:abstractNum w:abstractNumId="62">
    <w:nsid w:val="60C038C0"/>
    <w:multiLevelType w:val="singleLevel"/>
    <w:tmpl w:val="60C038C0"/>
    <w:lvl w:ilvl="0">
      <w:start w:val="1"/>
      <w:numFmt w:val="chineseCounting"/>
      <w:suff w:val="nothing"/>
      <w:lvlText w:val="（%1）"/>
      <w:lvlJc w:val="left"/>
      <w:pPr>
        <w:ind w:left="0" w:firstLine="420"/>
      </w:pPr>
      <w:rPr>
        <w:rFonts w:hint="eastAsia"/>
        <w:color w:val="000000"/>
      </w:rPr>
    </w:lvl>
  </w:abstractNum>
  <w:abstractNum w:abstractNumId="63">
    <w:nsid w:val="60C038EA"/>
    <w:multiLevelType w:val="singleLevel"/>
    <w:tmpl w:val="60C038EA"/>
    <w:lvl w:ilvl="0">
      <w:start w:val="1"/>
      <w:numFmt w:val="chineseCounting"/>
      <w:suff w:val="nothing"/>
      <w:lvlText w:val="（%1）"/>
      <w:lvlJc w:val="left"/>
      <w:pPr>
        <w:ind w:left="0" w:firstLine="420"/>
      </w:pPr>
      <w:rPr>
        <w:rFonts w:hint="eastAsia"/>
        <w:color w:val="000000"/>
      </w:rPr>
    </w:lvl>
  </w:abstractNum>
  <w:abstractNum w:abstractNumId="64">
    <w:nsid w:val="60C03912"/>
    <w:multiLevelType w:val="singleLevel"/>
    <w:tmpl w:val="60C03912"/>
    <w:lvl w:ilvl="0">
      <w:start w:val="1"/>
      <w:numFmt w:val="chineseCounting"/>
      <w:suff w:val="nothing"/>
      <w:lvlText w:val="（%1）"/>
      <w:lvlJc w:val="left"/>
      <w:pPr>
        <w:ind w:left="0" w:firstLine="420"/>
      </w:pPr>
      <w:rPr>
        <w:rFonts w:hint="eastAsia"/>
        <w:color w:val="000000"/>
      </w:rPr>
    </w:lvl>
  </w:abstractNum>
  <w:abstractNum w:abstractNumId="65">
    <w:nsid w:val="60C03933"/>
    <w:multiLevelType w:val="singleLevel"/>
    <w:tmpl w:val="60C03933"/>
    <w:lvl w:ilvl="0">
      <w:start w:val="1"/>
      <w:numFmt w:val="chineseCounting"/>
      <w:suff w:val="nothing"/>
      <w:lvlText w:val="（%1）"/>
      <w:lvlJc w:val="left"/>
      <w:pPr>
        <w:ind w:left="0" w:firstLine="420"/>
      </w:pPr>
      <w:rPr>
        <w:rFonts w:hint="eastAsia"/>
        <w:color w:val="000000"/>
      </w:rPr>
    </w:lvl>
  </w:abstractNum>
  <w:abstractNum w:abstractNumId="66">
    <w:nsid w:val="60C03E3F"/>
    <w:multiLevelType w:val="singleLevel"/>
    <w:tmpl w:val="60C03E3F"/>
    <w:lvl w:ilvl="0">
      <w:start w:val="1"/>
      <w:numFmt w:val="chineseCounting"/>
      <w:suff w:val="nothing"/>
      <w:lvlText w:val="（%1）"/>
      <w:lvlJc w:val="left"/>
      <w:pPr>
        <w:ind w:left="0" w:firstLine="420"/>
      </w:pPr>
      <w:rPr>
        <w:rFonts w:hint="eastAsia"/>
        <w:color w:val="000000"/>
      </w:rPr>
    </w:lvl>
  </w:abstractNum>
  <w:abstractNum w:abstractNumId="67">
    <w:nsid w:val="60C03E76"/>
    <w:multiLevelType w:val="singleLevel"/>
    <w:tmpl w:val="60C03E76"/>
    <w:lvl w:ilvl="0">
      <w:start w:val="1"/>
      <w:numFmt w:val="chineseCounting"/>
      <w:suff w:val="nothing"/>
      <w:lvlText w:val="%1、"/>
      <w:lvlJc w:val="left"/>
      <w:pPr>
        <w:ind w:left="0" w:firstLine="420"/>
      </w:pPr>
      <w:rPr>
        <w:rFonts w:hint="eastAsia"/>
        <w:color w:val="000000"/>
      </w:rPr>
    </w:lvl>
  </w:abstractNum>
  <w:abstractNum w:abstractNumId="68">
    <w:nsid w:val="60C03E91"/>
    <w:multiLevelType w:val="singleLevel"/>
    <w:tmpl w:val="60C03E91"/>
    <w:lvl w:ilvl="0">
      <w:start w:val="2"/>
      <w:numFmt w:val="chineseCounting"/>
      <w:suff w:val="nothing"/>
      <w:lvlText w:val="%1、"/>
      <w:lvlJc w:val="left"/>
      <w:pPr>
        <w:ind w:left="0" w:firstLine="420"/>
      </w:pPr>
      <w:rPr>
        <w:rFonts w:hint="eastAsia"/>
        <w:color w:val="000000"/>
      </w:rPr>
    </w:lvl>
  </w:abstractNum>
  <w:abstractNum w:abstractNumId="69">
    <w:nsid w:val="60C03EC3"/>
    <w:multiLevelType w:val="singleLevel"/>
    <w:tmpl w:val="60C03EC3"/>
    <w:lvl w:ilvl="0">
      <w:start w:val="3"/>
      <w:numFmt w:val="chineseCounting"/>
      <w:suff w:val="nothing"/>
      <w:lvlText w:val="%1、"/>
      <w:lvlJc w:val="left"/>
      <w:pPr>
        <w:ind w:left="0" w:firstLine="420"/>
      </w:pPr>
      <w:rPr>
        <w:rFonts w:hint="eastAsia"/>
        <w:color w:val="000000"/>
      </w:rPr>
    </w:lvl>
  </w:abstractNum>
  <w:abstractNum w:abstractNumId="70">
    <w:nsid w:val="60C03ED7"/>
    <w:multiLevelType w:val="singleLevel"/>
    <w:tmpl w:val="60C03ED7"/>
    <w:lvl w:ilvl="0">
      <w:start w:val="1"/>
      <w:numFmt w:val="chineseCounting"/>
      <w:suff w:val="nothing"/>
      <w:lvlText w:val="（%1）"/>
      <w:lvlJc w:val="left"/>
      <w:pPr>
        <w:ind w:left="0" w:firstLine="420"/>
      </w:pPr>
      <w:rPr>
        <w:rFonts w:hint="eastAsia"/>
        <w:color w:val="000000"/>
      </w:rPr>
    </w:lvl>
  </w:abstractNum>
  <w:abstractNum w:abstractNumId="71">
    <w:nsid w:val="60C03F05"/>
    <w:multiLevelType w:val="singleLevel"/>
    <w:tmpl w:val="60C03F05"/>
    <w:lvl w:ilvl="0">
      <w:start w:val="1"/>
      <w:numFmt w:val="decimal"/>
      <w:suff w:val="nothing"/>
      <w:lvlText w:val="%1．"/>
      <w:lvlJc w:val="left"/>
      <w:pPr>
        <w:ind w:left="0" w:firstLine="400"/>
      </w:pPr>
      <w:rPr>
        <w:rFonts w:hint="default"/>
        <w:color w:val="000000"/>
      </w:rPr>
    </w:lvl>
  </w:abstractNum>
  <w:abstractNum w:abstractNumId="72">
    <w:nsid w:val="60C03F2E"/>
    <w:multiLevelType w:val="singleLevel"/>
    <w:tmpl w:val="60C03F2E"/>
    <w:lvl w:ilvl="0">
      <w:start w:val="4"/>
      <w:numFmt w:val="chineseCounting"/>
      <w:suff w:val="nothing"/>
      <w:lvlText w:val="（%1）"/>
      <w:lvlJc w:val="left"/>
      <w:pPr>
        <w:ind w:left="0" w:firstLine="420"/>
      </w:pPr>
      <w:rPr>
        <w:rFonts w:hint="eastAsia"/>
        <w:color w:val="000000"/>
      </w:rPr>
    </w:lvl>
  </w:abstractNum>
  <w:abstractNum w:abstractNumId="73">
    <w:nsid w:val="60C03F4B"/>
    <w:multiLevelType w:val="singleLevel"/>
    <w:tmpl w:val="60C03F4B"/>
    <w:lvl w:ilvl="0">
      <w:start w:val="1"/>
      <w:numFmt w:val="chineseCounting"/>
      <w:suff w:val="nothing"/>
      <w:lvlText w:val="（%1）"/>
      <w:lvlJc w:val="left"/>
      <w:pPr>
        <w:ind w:left="0" w:firstLine="420"/>
      </w:pPr>
      <w:rPr>
        <w:rFonts w:hint="eastAsia"/>
        <w:color w:val="000000"/>
      </w:rPr>
    </w:lvl>
  </w:abstractNum>
  <w:abstractNum w:abstractNumId="74">
    <w:nsid w:val="61CBC088"/>
    <w:multiLevelType w:val="singleLevel"/>
    <w:tmpl w:val="61CBC088"/>
    <w:lvl w:ilvl="0">
      <w:start w:val="1"/>
      <w:numFmt w:val="chineseCounting"/>
      <w:suff w:val="nothing"/>
      <w:lvlText w:val="（%1）"/>
      <w:lvlJc w:val="left"/>
      <w:pPr>
        <w:ind w:left="0" w:firstLine="420"/>
      </w:pPr>
      <w:rPr>
        <w:rFonts w:hint="eastAsia"/>
        <w:b w:val="0"/>
        <w:bCs w:val="0"/>
        <w:color w:val="000000"/>
      </w:rPr>
    </w:lvl>
  </w:abstractNum>
  <w:abstractNum w:abstractNumId="75">
    <w:nsid w:val="61CBC11F"/>
    <w:multiLevelType w:val="singleLevel"/>
    <w:tmpl w:val="61CBC11F"/>
    <w:lvl w:ilvl="0">
      <w:start w:val="1"/>
      <w:numFmt w:val="chineseCounting"/>
      <w:suff w:val="nothing"/>
      <w:lvlText w:val="（%1）"/>
      <w:lvlJc w:val="left"/>
      <w:pPr>
        <w:ind w:left="0" w:firstLine="420"/>
      </w:pPr>
      <w:rPr>
        <w:rFonts w:hint="eastAsia"/>
        <w:color w:val="000000"/>
      </w:rPr>
    </w:lvl>
  </w:abstractNum>
  <w:abstractNum w:abstractNumId="76">
    <w:nsid w:val="61CBC1A0"/>
    <w:multiLevelType w:val="singleLevel"/>
    <w:tmpl w:val="61CBC1A0"/>
    <w:lvl w:ilvl="0">
      <w:start w:val="1"/>
      <w:numFmt w:val="chineseCounting"/>
      <w:suff w:val="nothing"/>
      <w:lvlText w:val="（%1）"/>
      <w:lvlJc w:val="left"/>
      <w:pPr>
        <w:ind w:left="0" w:firstLine="420"/>
      </w:pPr>
      <w:rPr>
        <w:rFonts w:hint="eastAsia"/>
        <w:color w:val="000000"/>
      </w:rPr>
    </w:lvl>
  </w:abstractNum>
  <w:abstractNum w:abstractNumId="77">
    <w:nsid w:val="61CBC209"/>
    <w:multiLevelType w:val="singleLevel"/>
    <w:tmpl w:val="61CBC209"/>
    <w:lvl w:ilvl="0">
      <w:start w:val="1"/>
      <w:numFmt w:val="chineseCounting"/>
      <w:suff w:val="nothing"/>
      <w:lvlText w:val="（%1）"/>
      <w:lvlJc w:val="left"/>
      <w:pPr>
        <w:ind w:left="0" w:firstLine="420"/>
      </w:pPr>
      <w:rPr>
        <w:rFonts w:hint="eastAsia"/>
        <w:color w:val="000000"/>
      </w:rPr>
    </w:lvl>
  </w:abstractNum>
  <w:abstractNum w:abstractNumId="78">
    <w:nsid w:val="61CBC248"/>
    <w:multiLevelType w:val="singleLevel"/>
    <w:tmpl w:val="61CBC248"/>
    <w:lvl w:ilvl="0">
      <w:start w:val="2"/>
      <w:numFmt w:val="chineseCounting"/>
      <w:suff w:val="nothing"/>
      <w:lvlText w:val="（%1）"/>
      <w:lvlJc w:val="left"/>
      <w:pPr>
        <w:ind w:left="0" w:firstLine="420"/>
      </w:pPr>
      <w:rPr>
        <w:rFonts w:hint="eastAsia"/>
        <w:color w:val="000000"/>
      </w:rPr>
    </w:lvl>
  </w:abstractNum>
  <w:abstractNum w:abstractNumId="79">
    <w:nsid w:val="61CBC28E"/>
    <w:multiLevelType w:val="singleLevel"/>
    <w:tmpl w:val="61CBC28E"/>
    <w:lvl w:ilvl="0">
      <w:start w:val="1"/>
      <w:numFmt w:val="chineseCounting"/>
      <w:suff w:val="nothing"/>
      <w:lvlText w:val="（%1）"/>
      <w:lvlJc w:val="left"/>
      <w:pPr>
        <w:ind w:left="0" w:firstLine="420"/>
      </w:pPr>
      <w:rPr>
        <w:rFonts w:hint="eastAsia"/>
        <w:color w:val="000000"/>
      </w:rPr>
    </w:lvl>
  </w:abstractNum>
  <w:abstractNum w:abstractNumId="80">
    <w:nsid w:val="61F30F62"/>
    <w:multiLevelType w:val="singleLevel"/>
    <w:tmpl w:val="61F30F62"/>
    <w:lvl w:ilvl="0">
      <w:start w:val="1"/>
      <w:numFmt w:val="decimal"/>
      <w:suff w:val="nothing"/>
      <w:lvlText w:val="（%1）"/>
      <w:lvlJc w:val="left"/>
      <w:rPr>
        <w:rFonts w:hint="default"/>
        <w:b w:val="0"/>
        <w:bCs w:val="0"/>
        <w:color w:val="000000"/>
      </w:rPr>
    </w:lvl>
  </w:abstractNum>
  <w:abstractNum w:abstractNumId="81">
    <w:nsid w:val="69C07A9C"/>
    <w:multiLevelType w:val="singleLevel"/>
    <w:tmpl w:val="69C07A9C"/>
    <w:lvl w:ilvl="0">
      <w:start w:val="1"/>
      <w:numFmt w:val="lowerLetter"/>
      <w:suff w:val="space"/>
      <w:lvlText w:val="%1."/>
      <w:lvlJc w:val="left"/>
      <w:rPr>
        <w:color w:val="000000"/>
      </w:rPr>
    </w:lvl>
  </w:abstractNum>
  <w:abstractNum w:abstractNumId="82">
    <w:nsid w:val="6BA7AFBC"/>
    <w:multiLevelType w:val="singleLevel"/>
    <w:tmpl w:val="6BA7AFBC"/>
    <w:lvl w:ilvl="0">
      <w:start w:val="1"/>
      <w:numFmt w:val="chineseCounting"/>
      <w:suff w:val="nothing"/>
      <w:lvlText w:val="（%1）"/>
      <w:lvlJc w:val="left"/>
      <w:pPr>
        <w:ind w:left="0" w:firstLine="420"/>
      </w:pPr>
      <w:rPr>
        <w:rFonts w:hint="eastAsia"/>
        <w:color w:val="000000"/>
      </w:rPr>
    </w:lvl>
  </w:abstractNum>
  <w:abstractNum w:abstractNumId="83">
    <w:nsid w:val="75D2544F"/>
    <w:multiLevelType w:val="singleLevel"/>
    <w:tmpl w:val="75D2544F"/>
    <w:lvl w:ilvl="0">
      <w:start w:val="1"/>
      <w:numFmt w:val="chineseCounting"/>
      <w:suff w:val="nothing"/>
      <w:lvlText w:val="（%1）"/>
      <w:lvlJc w:val="left"/>
      <w:pPr>
        <w:ind w:left="0" w:firstLine="420"/>
      </w:pPr>
      <w:rPr>
        <w:rFonts w:hint="eastAsia"/>
        <w:b/>
        <w:bCs/>
        <w:color w:val="000000"/>
      </w:rPr>
    </w:lvl>
  </w:abstractNum>
  <w:abstractNum w:abstractNumId="84">
    <w:nsid w:val="79A7505F"/>
    <w:multiLevelType w:val="singleLevel"/>
    <w:tmpl w:val="79A7505F"/>
    <w:lvl w:ilvl="0">
      <w:start w:val="2"/>
      <w:numFmt w:val="chineseCounting"/>
      <w:suff w:val="nothing"/>
      <w:lvlText w:val="（%1）"/>
      <w:lvlJc w:val="left"/>
      <w:pPr>
        <w:ind w:left="0" w:firstLine="420"/>
      </w:pPr>
      <w:rPr>
        <w:rFonts w:hint="eastAsia"/>
        <w:b/>
        <w:bCs/>
        <w:color w:val="000000"/>
      </w:rPr>
    </w:lvl>
  </w:abstractNum>
  <w:num w:numId="1">
    <w:abstractNumId w:val="14"/>
  </w:num>
  <w:num w:numId="2">
    <w:abstractNumId w:val="1"/>
  </w:num>
  <w:num w:numId="3">
    <w:abstractNumId w:val="51"/>
  </w:num>
  <w:num w:numId="4">
    <w:abstractNumId w:val="43"/>
  </w:num>
  <w:num w:numId="5">
    <w:abstractNumId w:val="19"/>
  </w:num>
  <w:num w:numId="6">
    <w:abstractNumId w:val="83"/>
  </w:num>
  <w:num w:numId="7">
    <w:abstractNumId w:val="38"/>
  </w:num>
  <w:num w:numId="8">
    <w:abstractNumId w:val="84"/>
  </w:num>
  <w:num w:numId="9">
    <w:abstractNumId w:val="57"/>
  </w:num>
  <w:num w:numId="10">
    <w:abstractNumId w:val="53"/>
  </w:num>
  <w:num w:numId="11">
    <w:abstractNumId w:val="34"/>
  </w:num>
  <w:num w:numId="12">
    <w:abstractNumId w:val="31"/>
  </w:num>
  <w:num w:numId="13">
    <w:abstractNumId w:val="39"/>
  </w:num>
  <w:num w:numId="14">
    <w:abstractNumId w:val="30"/>
  </w:num>
  <w:num w:numId="15">
    <w:abstractNumId w:val="21"/>
  </w:num>
  <w:num w:numId="16">
    <w:abstractNumId w:val="11"/>
  </w:num>
  <w:num w:numId="17">
    <w:abstractNumId w:val="17"/>
  </w:num>
  <w:num w:numId="18">
    <w:abstractNumId w:val="8"/>
  </w:num>
  <w:num w:numId="19">
    <w:abstractNumId w:val="9"/>
  </w:num>
  <w:num w:numId="20">
    <w:abstractNumId w:val="7"/>
  </w:num>
  <w:num w:numId="21">
    <w:abstractNumId w:val="35"/>
  </w:num>
  <w:num w:numId="22">
    <w:abstractNumId w:val="52"/>
  </w:num>
  <w:num w:numId="23">
    <w:abstractNumId w:val="33"/>
  </w:num>
  <w:num w:numId="24">
    <w:abstractNumId w:val="54"/>
  </w:num>
  <w:num w:numId="25">
    <w:abstractNumId w:val="59"/>
  </w:num>
  <w:num w:numId="26">
    <w:abstractNumId w:val="81"/>
  </w:num>
  <w:num w:numId="27">
    <w:abstractNumId w:val="45"/>
  </w:num>
  <w:num w:numId="28">
    <w:abstractNumId w:val="20"/>
  </w:num>
  <w:num w:numId="29">
    <w:abstractNumId w:val="44"/>
  </w:num>
  <w:num w:numId="30">
    <w:abstractNumId w:val="23"/>
  </w:num>
  <w:num w:numId="31">
    <w:abstractNumId w:val="6"/>
  </w:num>
  <w:num w:numId="32">
    <w:abstractNumId w:val="56"/>
  </w:num>
  <w:num w:numId="33">
    <w:abstractNumId w:val="5"/>
  </w:num>
  <w:num w:numId="34">
    <w:abstractNumId w:val="37"/>
  </w:num>
  <w:num w:numId="35">
    <w:abstractNumId w:val="42"/>
  </w:num>
  <w:num w:numId="36">
    <w:abstractNumId w:val="82"/>
  </w:num>
  <w:num w:numId="37">
    <w:abstractNumId w:val="36"/>
  </w:num>
  <w:num w:numId="38">
    <w:abstractNumId w:val="22"/>
  </w:num>
  <w:num w:numId="39">
    <w:abstractNumId w:val="47"/>
  </w:num>
  <w:num w:numId="40">
    <w:abstractNumId w:val="0"/>
  </w:num>
  <w:num w:numId="41">
    <w:abstractNumId w:val="25"/>
  </w:num>
  <w:num w:numId="42">
    <w:abstractNumId w:val="50"/>
  </w:num>
  <w:num w:numId="43">
    <w:abstractNumId w:val="3"/>
  </w:num>
  <w:num w:numId="44">
    <w:abstractNumId w:val="26"/>
  </w:num>
  <w:num w:numId="45">
    <w:abstractNumId w:val="28"/>
  </w:num>
  <w:num w:numId="46">
    <w:abstractNumId w:val="55"/>
  </w:num>
  <w:num w:numId="47">
    <w:abstractNumId w:val="40"/>
  </w:num>
  <w:num w:numId="48">
    <w:abstractNumId w:val="18"/>
  </w:num>
  <w:num w:numId="49">
    <w:abstractNumId w:val="32"/>
  </w:num>
  <w:num w:numId="50">
    <w:abstractNumId w:val="27"/>
  </w:num>
  <w:num w:numId="51">
    <w:abstractNumId w:val="29"/>
  </w:num>
  <w:num w:numId="52">
    <w:abstractNumId w:val="80"/>
  </w:num>
  <w:num w:numId="53">
    <w:abstractNumId w:val="46"/>
  </w:num>
  <w:num w:numId="54">
    <w:abstractNumId w:val="2"/>
  </w:num>
  <w:num w:numId="55">
    <w:abstractNumId w:val="58"/>
  </w:num>
  <w:num w:numId="56">
    <w:abstractNumId w:val="12"/>
  </w:num>
  <w:num w:numId="57">
    <w:abstractNumId w:val="10"/>
  </w:num>
  <w:num w:numId="58">
    <w:abstractNumId w:val="13"/>
  </w:num>
  <w:num w:numId="59">
    <w:abstractNumId w:val="41"/>
  </w:num>
  <w:num w:numId="60">
    <w:abstractNumId w:val="24"/>
  </w:num>
  <w:num w:numId="61">
    <w:abstractNumId w:val="4"/>
  </w:num>
  <w:num w:numId="62">
    <w:abstractNumId w:val="49"/>
  </w:num>
  <w:num w:numId="63">
    <w:abstractNumId w:val="67"/>
  </w:num>
  <w:num w:numId="64">
    <w:abstractNumId w:val="66"/>
  </w:num>
  <w:num w:numId="65">
    <w:abstractNumId w:val="68"/>
  </w:num>
  <w:num w:numId="66">
    <w:abstractNumId w:val="69"/>
  </w:num>
  <w:num w:numId="67">
    <w:abstractNumId w:val="70"/>
  </w:num>
  <w:num w:numId="68">
    <w:abstractNumId w:val="71"/>
  </w:num>
  <w:num w:numId="69">
    <w:abstractNumId w:val="72"/>
  </w:num>
  <w:num w:numId="70">
    <w:abstractNumId w:val="73"/>
  </w:num>
  <w:num w:numId="71">
    <w:abstractNumId w:val="48"/>
  </w:num>
  <w:num w:numId="72">
    <w:abstractNumId w:val="16"/>
  </w:num>
  <w:num w:numId="73">
    <w:abstractNumId w:val="60"/>
  </w:num>
  <w:num w:numId="74">
    <w:abstractNumId w:val="61"/>
  </w:num>
  <w:num w:numId="75">
    <w:abstractNumId w:val="62"/>
  </w:num>
  <w:num w:numId="76">
    <w:abstractNumId w:val="63"/>
  </w:num>
  <w:num w:numId="77">
    <w:abstractNumId w:val="64"/>
  </w:num>
  <w:num w:numId="78">
    <w:abstractNumId w:val="65"/>
  </w:num>
  <w:num w:numId="79">
    <w:abstractNumId w:val="74"/>
  </w:num>
  <w:num w:numId="80">
    <w:abstractNumId w:val="75"/>
  </w:num>
  <w:num w:numId="81">
    <w:abstractNumId w:val="15"/>
  </w:num>
  <w:num w:numId="82">
    <w:abstractNumId w:val="76"/>
  </w:num>
  <w:num w:numId="83">
    <w:abstractNumId w:val="77"/>
  </w:num>
  <w:num w:numId="84">
    <w:abstractNumId w:val="78"/>
  </w:num>
  <w:num w:numId="85">
    <w:abstractNumId w:val="7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胡海涛">
    <w15:presenceInfo w15:providerId="None" w15:userId="胡海涛"/>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9AFF068C"/>
    <w:rsid w:val="9FD01BC3"/>
    <w:rsid w:val="AF77296E"/>
    <w:rsid w:val="B3FE25BF"/>
    <w:rsid w:val="B73EB5C4"/>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4EDC7A5"/>
    <w:rsid w:val="F7FE62B6"/>
    <w:rsid w:val="FA543BA3"/>
    <w:rsid w:val="FB3B5DB3"/>
    <w:rsid w:val="FBFDB4E3"/>
    <w:rsid w:val="FBFF3395"/>
    <w:rsid w:val="FD7F9463"/>
    <w:rsid w:val="FDFC361F"/>
    <w:rsid w:val="FDFD5128"/>
    <w:rsid w:val="FE8FD80F"/>
    <w:rsid w:val="FEAED78B"/>
    <w:rsid w:val="FF4BD653"/>
    <w:rsid w:val="FF6C6882"/>
    <w:rsid w:val="FFFEC613"/>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B7EF34"/>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s>
  <w:docVars>
    <w:docVar w:name="commondata" w:val="eyJoZGlkIjoiZmM5ZjUwYzE3NDdkZDY1ZTUwZTQwZTM5ODM0MmI1ZGMifQ=="/>
    <w:docVar w:name="KSO_WPS_MARK_KEY" w:val="7d0c4fc6-43cc-4bf7-81fa-344b25226340"/>
  </w:docVars>
  <w:themeFontLang w:val="en-US" w:eastAsia="zh-CN"/>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qFormat="1"/>
    <w:lsdException w:name="annotation subject" w:semiHidden="0" w:uiPriority="0" w:unhideWhenUsed="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iPriority="0" w:unhideWhenUsed="0"/>
    <w:lsdException w:name="Table Grid" w:semiHidden="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黑体"/>
      <w:kern w:val="2"/>
      <w:sz w:val="21"/>
      <w:szCs w:val="24"/>
      <w:lang w:val="en-US" w:eastAsia="zh-CN" w:bidi="ar-SA"/>
    </w:rPr>
  </w:style>
  <w:style w:type="paragraph" w:styleId="Heading1">
    <w:name w:val="heading 1"/>
    <w:basedOn w:val="Normal"/>
    <w:next w:val="Normal"/>
    <w:link w:val="1Char"/>
    <w:qFormat/>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Heading2">
    <w:name w:val="heading 2"/>
    <w:basedOn w:val="Normal"/>
    <w:next w:val="Normal"/>
    <w:link w:val="2Char"/>
    <w:semiHidden/>
    <w:unhideWhenUsed/>
    <w:qFormat/>
    <w:pPr>
      <w:keepNext/>
      <w:keepLines/>
      <w:spacing w:before="20" w:beforeLines="0" w:beforeAutospacing="0" w:after="20" w:afterLines="0" w:afterAutospacing="0" w:line="240" w:lineRule="auto"/>
      <w:outlineLvl w:val="1"/>
    </w:pPr>
    <w:rPr>
      <w:rFonts w:ascii="Arial" w:eastAsia="宋体" w:hAnsi="Arial"/>
      <w:b/>
      <w:sz w:val="24"/>
    </w:rPr>
  </w:style>
  <w:style w:type="paragraph" w:styleId="Heading3">
    <w:name w:val="heading 3"/>
    <w:basedOn w:val="Normal"/>
    <w:next w:val="Normal"/>
    <w:link w:val="3Char"/>
    <w:semiHidden/>
    <w:unhideWhenUsed/>
    <w:qFormat/>
    <w:pPr>
      <w:keepNext/>
      <w:keepLines/>
      <w:spacing w:before="20" w:beforeLines="0" w:beforeAutospacing="0" w:after="20" w:afterLines="0" w:afterAutospacing="0" w:line="360" w:lineRule="auto"/>
      <w:outlineLvl w:val="2"/>
    </w:pPr>
    <w:rPr>
      <w:rFonts w:eastAsia="宋体" w:hAnsi="Calibri"/>
      <w:b/>
      <w:sz w:val="24"/>
    </w:rPr>
  </w:style>
  <w:style w:type="character" w:default="1" w:styleId="DefaultParagraphFont">
    <w:name w:val="Default Paragraph Font"/>
    <w:semiHidden/>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CommentText">
    <w:name w:val="annotation text"/>
    <w:basedOn w:val="Normal"/>
    <w:link w:val="Char"/>
    <w:qFormat/>
    <w:pPr>
      <w:jc w:val="left"/>
    </w:pPr>
  </w:style>
  <w:style w:type="paragraph" w:styleId="BalloonText">
    <w:name w:val="Balloon Text"/>
    <w:basedOn w:val="Normal"/>
    <w:link w:val="Char1"/>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NormalWeb">
    <w:name w:val="Normal (Web)"/>
    <w:basedOn w:val="Normal"/>
    <w:qFormat/>
    <w:rPr>
      <w:sz w:val="24"/>
    </w:rPr>
  </w:style>
  <w:style w:type="paragraph" w:styleId="CommentSubject">
    <w:name w:val="annotation subject"/>
    <w:basedOn w:val="CommentText"/>
    <w:next w:val="CommentText"/>
    <w:link w:val="Char0"/>
    <w:rPr>
      <w:b/>
      <w:bCs/>
    </w:rPr>
  </w:style>
  <w:style w:type="table" w:styleId="TableGrid">
    <w:name w:val="Table Grid"/>
    <w:basedOn w:val="TableNormal"/>
    <w:uiPriority w:val="9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qFormat/>
    <w:rPr>
      <w:color w:val="0000FF"/>
      <w:u w:val="single"/>
    </w:rPr>
  </w:style>
  <w:style w:type="character" w:styleId="CommentReference">
    <w:name w:val="annotation reference"/>
    <w:rPr>
      <w:sz w:val="21"/>
      <w:szCs w:val="21"/>
    </w:rPr>
  </w:style>
  <w:style w:type="character" w:customStyle="1" w:styleId="a">
    <w:name w:val="批注文字 字符"/>
    <w:link w:val="CommentText"/>
    <w:rPr>
      <w:rFonts w:ascii="Calibri" w:hAnsi="Calibri" w:cs="黑体"/>
      <w:kern w:val="2"/>
      <w:sz w:val="21"/>
      <w:szCs w:val="24"/>
    </w:rPr>
  </w:style>
  <w:style w:type="character" w:customStyle="1" w:styleId="a0">
    <w:name w:val="批注框文本 字符"/>
    <w:link w:val="BalloonText"/>
    <w:rPr>
      <w:rFonts w:ascii="Calibri" w:hAnsi="Calibri" w:cs="黑体"/>
      <w:kern w:val="2"/>
      <w:sz w:val="18"/>
      <w:szCs w:val="18"/>
    </w:rPr>
  </w:style>
  <w:style w:type="character" w:customStyle="1" w:styleId="a1">
    <w:name w:val="批注主题 字符"/>
    <w:link w:val="CommentSubject"/>
    <w:rPr>
      <w:rFonts w:ascii="Calibri" w:hAnsi="Calibri" w:cs="黑体"/>
      <w:b/>
      <w:bCs/>
      <w:kern w:val="2"/>
      <w:sz w:val="21"/>
      <w:szCs w:val="24"/>
    </w:rPr>
  </w:style>
  <w:style w:type="paragraph" w:customStyle="1" w:styleId="ListParagraph">
    <w:name w:val="List Paragraph"/>
    <w:basedOn w:val="Normal"/>
    <w:uiPriority w:val="99"/>
    <w:unhideWhenUsed/>
    <w:pPr>
      <w:ind w:firstLine="420" w:firstLineChars="200"/>
    </w:pPr>
  </w:style>
  <w:style w:type="paragraph" w:customStyle="1" w:styleId="Default">
    <w:name w:val="Default"/>
    <w:qFormat/>
    <w:pPr>
      <w:widowControl w:val="0"/>
      <w:autoSpaceDE w:val="0"/>
      <w:autoSpaceDN w:val="0"/>
      <w:adjustRightInd w:val="0"/>
    </w:pPr>
    <w:rPr>
      <w:rFonts w:ascii="Times New Roman" w:eastAsia="宋体" w:hAnsi="Times New Roman" w:cs="Times New Roman"/>
      <w:color w:val="000000"/>
      <w:sz w:val="24"/>
      <w:szCs w:val="24"/>
      <w:lang w:val="en-US" w:eastAsia="zh-CN" w:bidi="ar-SA"/>
    </w:rPr>
  </w:style>
  <w:style w:type="character" w:customStyle="1" w:styleId="Char">
    <w:name w:val="批注文字 Char"/>
    <w:link w:val="CommentText"/>
    <w:qFormat/>
    <w:rPr>
      <w:rFonts w:ascii="Calibri" w:hAnsi="Calibri" w:cs="黑体"/>
      <w:kern w:val="2"/>
      <w:sz w:val="21"/>
      <w:szCs w:val="24"/>
    </w:rPr>
  </w:style>
  <w:style w:type="character" w:customStyle="1" w:styleId="Char0">
    <w:name w:val="批注主题 Char"/>
    <w:link w:val="CommentSubject"/>
    <w:rPr>
      <w:rFonts w:ascii="Calibri" w:hAnsi="Calibri" w:cs="黑体"/>
      <w:b/>
      <w:bCs/>
      <w:kern w:val="2"/>
      <w:sz w:val="21"/>
      <w:szCs w:val="24"/>
    </w:rPr>
  </w:style>
  <w:style w:type="character" w:customStyle="1" w:styleId="Char1">
    <w:name w:val="批注框文本 Char"/>
    <w:link w:val="BalloonText"/>
    <w:rPr>
      <w:rFonts w:ascii="Calibri" w:hAnsi="Calibri" w:cs="黑体"/>
      <w:kern w:val="2"/>
      <w:sz w:val="18"/>
      <w:szCs w:val="18"/>
    </w:rPr>
  </w:style>
  <w:style w:type="paragraph" w:customStyle="1" w:styleId="1">
    <w:name w:val="样式1"/>
    <w:basedOn w:val="Normal"/>
    <w:next w:val="Normal"/>
    <w:pPr>
      <w:keepNext/>
      <w:keepLines/>
      <w:spacing w:before="340" w:beforeLines="0" w:after="330" w:afterLines="0" w:line="576" w:lineRule="auto"/>
      <w:outlineLvl w:val="0"/>
    </w:pPr>
    <w:rPr>
      <w:rFonts w:hint="eastAsia"/>
      <w:b/>
      <w:kern w:val="44"/>
      <w:sz w:val="44"/>
    </w:rPr>
  </w:style>
  <w:style w:type="character" w:customStyle="1" w:styleId="2Char">
    <w:name w:val="标题 2 Char"/>
    <w:link w:val="Heading2"/>
    <w:qFormat/>
    <w:rPr>
      <w:rFonts w:ascii="Arial" w:eastAsia="宋体" w:hAnsi="Arial"/>
      <w:b/>
      <w:sz w:val="24"/>
    </w:rPr>
  </w:style>
  <w:style w:type="character" w:customStyle="1" w:styleId="3Char">
    <w:name w:val="标题 3 Char"/>
    <w:link w:val="Heading3"/>
    <w:qFormat/>
    <w:rPr>
      <w:rFonts w:eastAsia="宋体" w:hAnsi="Calibri"/>
      <w:b/>
      <w:sz w:val="24"/>
    </w:rPr>
  </w:style>
  <w:style w:type="character" w:customStyle="1" w:styleId="1Char">
    <w:name w:val="标题 1 Char"/>
    <w:link w:val="Heading1"/>
    <w:qFormat/>
    <w:rPr>
      <w:rFonts w:eastAsia="宋体"/>
      <w:b/>
      <w:kern w:val="44"/>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s="http://www.wps.cn/officeDocument/2013/wpsCustomData" xmln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68</Pages>
  <Words>33877</Words>
  <Characters>34745</Characters>
  <Application>Microsoft Office Word</Application>
  <DocSecurity>0</DocSecurity>
  <Lines>1</Lines>
  <Paragraphs>1</Paragraphs>
  <ScaleCrop>false</ScaleCrop>
  <Company/>
  <LinksUpToDate>false</LinksUpToDate>
  <CharactersWithSpaces>35110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未定义</cp:lastModifiedBy>
  <cp:revision>0</cp:revision>
  <dcterms:created xsi:type="dcterms:W3CDTF">2014-11-04T12:08:00Z</dcterms:created>
  <dcterms:modified xsi:type="dcterms:W3CDTF">2026-07-09T17:38:01Z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7DFF8D4908FEDD79F96B4F6ACA32B2F2_43</vt:lpwstr>
  </property>
  <property fmtid="{D5CDD505-2E9C-101B-9397-08002B2CF9AE}" pid="3" name="KSOProductBuildVer">
    <vt:lpwstr>2052-0.0.0.0</vt:lpwstr>
  </property>
</Properties>
</file>