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color w:val="auto"/>
          <w:sz w:val="44"/>
          <w:szCs w:val="44"/>
          <w:highlight w:val="none"/>
        </w:rPr>
      </w:pPr>
      <w:r>
        <w:rPr>
          <w:rFonts w:hint="eastAsia" w:ascii="宋体" w:hAnsi="宋体" w:eastAsia="宋体" w:cs="宋体"/>
          <w:b/>
          <w:bCs/>
          <w:color w:val="auto"/>
          <w:kern w:val="2"/>
          <w:sz w:val="44"/>
          <w:szCs w:val="44"/>
          <w:highlight w:val="none"/>
          <w:lang w:val="en-US" w:eastAsia="zh-CN" w:bidi="ar-SA"/>
        </w:rPr>
        <w:t>幸福99益合·添益（年年红）1年定开型2518期理财</w:t>
      </w:r>
      <w:r>
        <w:rPr>
          <w:rFonts w:hint="eastAsia" w:ascii="宋体" w:hAnsi="宋体" w:cs="宋体"/>
          <w:b/>
          <w:bCs/>
          <w:color w:val="auto"/>
          <w:sz w:val="44"/>
          <w:szCs w:val="44"/>
          <w:highlight w:val="none"/>
        </w:rPr>
        <w:t>风险揭示书</w:t>
      </w:r>
    </w:p>
    <w:p>
      <w:pPr>
        <w:jc w:val="center"/>
        <w:outlineLvl w:val="1"/>
        <w:rPr>
          <w:rFonts w:hint="eastAsia" w:ascii="宋体" w:hAnsi="宋体" w:cs="宋体"/>
          <w:color w:val="auto"/>
          <w:sz w:val="28"/>
          <w:szCs w:val="28"/>
          <w:highlight w:val="none"/>
        </w:rPr>
      </w:pPr>
      <w:r>
        <w:rPr>
          <w:rFonts w:hint="eastAsia" w:ascii="宋体" w:hAnsi="宋体" w:cs="宋体"/>
          <w:color w:val="auto"/>
          <w:sz w:val="28"/>
          <w:szCs w:val="28"/>
          <w:highlight w:val="none"/>
        </w:rPr>
        <w:t>（</w:t>
      </w:r>
      <w:r>
        <w:rPr>
          <w:rFonts w:hint="eastAsia" w:ascii="宋体" w:hAnsi="宋体" w:cs="宋体"/>
          <w:color w:val="auto"/>
          <w:sz w:val="28"/>
          <w:szCs w:val="28"/>
          <w:highlight w:val="none"/>
          <w:lang w:eastAsia="zh-CN"/>
        </w:rPr>
        <w:t>202502</w:t>
      </w:r>
      <w:r>
        <w:rPr>
          <w:rFonts w:hint="eastAsia" w:ascii="宋体" w:hAnsi="宋体" w:cs="宋体"/>
          <w:color w:val="auto"/>
          <w:sz w:val="28"/>
          <w:szCs w:val="28"/>
          <w:highlight w:val="none"/>
        </w:rPr>
        <w:t>版）</w:t>
      </w:r>
    </w:p>
    <w:p>
      <w:pPr>
        <w:spacing w:line="360" w:lineRule="auto"/>
        <w:jc w:val="left"/>
        <w:rPr>
          <w:rFonts w:hint="eastAsia" w:ascii="宋体" w:hAnsi="宋体" w:cs="宋体"/>
          <w:color w:val="auto"/>
          <w:sz w:val="24"/>
          <w:highlight w:val="none"/>
        </w:rPr>
      </w:pPr>
      <w:r>
        <w:rPr>
          <w:rFonts w:hint="eastAsia" w:ascii="宋体" w:hAnsi="宋体" w:cs="宋体"/>
          <w:color w:val="auto"/>
          <w:sz w:val="24"/>
          <w:highlight w:val="none"/>
        </w:rPr>
        <w:t>尊敬的理财投资者：</w:t>
      </w:r>
    </w:p>
    <w:p>
      <w:pPr>
        <w:spacing w:line="360" w:lineRule="auto"/>
        <w:jc w:val="center"/>
        <w:outlineLvl w:val="2"/>
        <w:rPr>
          <w:rFonts w:hint="eastAsia" w:ascii="宋体" w:hAnsi="宋体" w:cs="宋体"/>
          <w:b/>
          <w:bCs/>
          <w:color w:val="auto"/>
          <w:sz w:val="24"/>
          <w:highlight w:val="none"/>
          <w:u w:val="single"/>
        </w:rPr>
      </w:pPr>
      <w:r>
        <w:rPr>
          <w:rFonts w:hint="eastAsia" w:ascii="宋体" w:hAnsi="宋体" w:cs="宋体"/>
          <w:b/>
          <w:bCs/>
          <w:color w:val="auto"/>
          <w:sz w:val="24"/>
          <w:highlight w:val="none"/>
          <w:u w:val="single"/>
        </w:rPr>
        <w:t>理财非存款、产品有风险、投资</w:t>
      </w:r>
      <w:r>
        <w:rPr>
          <w:rFonts w:hint="eastAsia" w:ascii="宋体" w:hAnsi="宋体" w:cs="宋体"/>
          <w:b/>
          <w:bCs/>
          <w:color w:val="auto"/>
          <w:sz w:val="24"/>
          <w:highlight w:val="none"/>
          <w:u w:val="single"/>
          <w:lang w:eastAsia="zh-CN"/>
        </w:rPr>
        <w:t>须</w:t>
      </w:r>
      <w:r>
        <w:rPr>
          <w:rFonts w:hint="eastAsia" w:ascii="宋体" w:hAnsi="宋体" w:cs="宋体"/>
          <w:b/>
          <w:bCs/>
          <w:color w:val="auto"/>
          <w:sz w:val="24"/>
          <w:highlight w:val="none"/>
          <w:u w:val="single"/>
        </w:rPr>
        <w:t>谨慎</w:t>
      </w:r>
    </w:p>
    <w:p>
      <w:pPr>
        <w:spacing w:line="360" w:lineRule="auto"/>
        <w:ind w:firstLine="480" w:firstLineChars="200"/>
        <w:jc w:val="left"/>
        <w:rPr>
          <w:rFonts w:hint="eastAsia" w:ascii="宋体" w:hAnsi="宋体" w:cs="宋体"/>
          <w:b/>
          <w:color w:val="auto"/>
          <w:sz w:val="24"/>
          <w:highlight w:val="none"/>
        </w:rPr>
      </w:pPr>
      <w:r>
        <w:rPr>
          <w:rFonts w:hint="eastAsia" w:ascii="宋体" w:hAnsi="宋体" w:cs="宋体"/>
          <w:bCs/>
          <w:color w:val="auto"/>
          <w:sz w:val="24"/>
          <w:highlight w:val="none"/>
        </w:rPr>
        <w:t>根据</w:t>
      </w:r>
      <w:r>
        <w:rPr>
          <w:rFonts w:hint="eastAsia" w:ascii="宋体" w:hAnsi="宋体" w:cs="宋体"/>
          <w:bCs/>
          <w:color w:val="auto"/>
          <w:sz w:val="24"/>
          <w:highlight w:val="none"/>
          <w:lang w:eastAsia="zh-CN"/>
        </w:rPr>
        <w:t>国家金融监督管理总局</w:t>
      </w:r>
      <w:r>
        <w:rPr>
          <w:rFonts w:hint="eastAsia" w:ascii="宋体" w:hAnsi="宋体" w:cs="宋体"/>
          <w:bCs/>
          <w:color w:val="auto"/>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color w:val="auto"/>
          <w:sz w:val="24"/>
          <w:highlight w:val="none"/>
          <w:lang w:eastAsia="zh-CN"/>
        </w:rPr>
        <w:t>理财计划</w:t>
      </w:r>
      <w:r>
        <w:rPr>
          <w:rFonts w:hint="eastAsia" w:ascii="宋体" w:hAnsi="宋体" w:cs="宋体"/>
          <w:bCs/>
          <w:color w:val="auto"/>
          <w:sz w:val="24"/>
          <w:highlight w:val="none"/>
        </w:rPr>
        <w:t>风险揭示书、理财计划说明书、投资者权益须知</w:t>
      </w:r>
      <w:r>
        <w:rPr>
          <w:rFonts w:hint="eastAsia" w:ascii="宋体" w:hAnsi="宋体" w:cs="宋体"/>
          <w:bCs/>
          <w:color w:val="auto"/>
          <w:sz w:val="24"/>
          <w:highlight w:val="none"/>
          <w:lang w:eastAsia="zh-CN"/>
        </w:rPr>
        <w:t>、</w:t>
      </w:r>
      <w:r>
        <w:rPr>
          <w:rFonts w:hint="eastAsia" w:ascii="宋体" w:hAnsi="宋体" w:cs="宋体"/>
          <w:bCs/>
          <w:color w:val="auto"/>
          <w:sz w:val="24"/>
          <w:highlight w:val="none"/>
        </w:rPr>
        <w:t>理财计划投资协议书</w:t>
      </w:r>
      <w:r>
        <w:rPr>
          <w:rFonts w:hint="eastAsia" w:ascii="宋体" w:hAnsi="宋体" w:cs="宋体"/>
          <w:bCs/>
          <w:color w:val="auto"/>
          <w:sz w:val="24"/>
          <w:highlight w:val="none"/>
          <w:lang w:eastAsia="zh-CN"/>
        </w:rPr>
        <w:t>和理财计划（</w:t>
      </w:r>
      <w:r>
        <w:rPr>
          <w:rFonts w:hint="eastAsia" w:ascii="宋体" w:hAnsi="宋体" w:cs="宋体"/>
          <w:bCs/>
          <w:color w:val="auto"/>
          <w:sz w:val="24"/>
          <w:highlight w:val="none"/>
          <w:lang w:val="en-US" w:eastAsia="zh-CN"/>
        </w:rPr>
        <w:t>代理销售</w:t>
      </w:r>
      <w:r>
        <w:rPr>
          <w:rFonts w:hint="eastAsia" w:ascii="宋体" w:hAnsi="宋体" w:cs="宋体"/>
          <w:bCs/>
          <w:color w:val="auto"/>
          <w:sz w:val="24"/>
          <w:highlight w:val="none"/>
          <w:lang w:eastAsia="zh-CN"/>
        </w:rPr>
        <w:t>）销售协议书</w:t>
      </w:r>
      <w:r>
        <w:rPr>
          <w:rFonts w:hint="eastAsia" w:ascii="宋体" w:hAnsi="宋体" w:cs="宋体"/>
          <w:bCs/>
          <w:color w:val="auto"/>
          <w:sz w:val="24"/>
          <w:highlight w:val="none"/>
        </w:rPr>
        <w:t>，</w:t>
      </w:r>
      <w:r>
        <w:rPr>
          <w:rFonts w:hint="eastAsia" w:ascii="宋体" w:hAnsi="宋体" w:cs="宋体"/>
          <w:b/>
          <w:bCs w:val="0"/>
          <w:color w:val="auto"/>
          <w:sz w:val="24"/>
          <w:highlight w:val="none"/>
        </w:rPr>
        <w:t>若通过电子渠道购买的，成功交易后视同为投资者与管理人已完成理财计划交易合同的签订</w:t>
      </w:r>
      <w:r>
        <w:rPr>
          <w:rFonts w:hint="eastAsia" w:ascii="宋体" w:hAnsi="宋体" w:cs="宋体"/>
          <w:bCs/>
          <w:color w:val="auto"/>
          <w:sz w:val="24"/>
          <w:highlight w:val="none"/>
        </w:rPr>
        <w:t>），了解理财计划相关具体情况，并确保已评估自身的风险承受能力和理财计划相关风险后，谨慎投资。</w:t>
      </w:r>
      <w:r>
        <w:rPr>
          <w:rFonts w:hint="eastAsia" w:ascii="宋体" w:hAnsi="宋体" w:cs="宋体"/>
          <w:b/>
          <w:color w:val="auto"/>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color w:val="auto"/>
          <w:sz w:val="24"/>
          <w:highlight w:val="none"/>
        </w:rPr>
      </w:pPr>
      <w:r>
        <w:rPr>
          <w:rFonts w:hint="eastAsia" w:ascii="宋体" w:hAnsi="宋体" w:cs="宋体"/>
          <w:b/>
          <w:color w:val="auto"/>
          <w:sz w:val="24"/>
          <w:highlight w:val="none"/>
        </w:rPr>
        <w:t>理财计划共性风险</w:t>
      </w:r>
    </w:p>
    <w:p>
      <w:pPr>
        <w:numPr>
          <w:ilvl w:val="0"/>
          <w:numId w:val="2"/>
        </w:numPr>
        <w:spacing w:line="360" w:lineRule="auto"/>
        <w:jc w:val="left"/>
        <w:outlineLvl w:val="9"/>
        <w:rPr>
          <w:rFonts w:ascii="宋体" w:hAnsi="宋体" w:cs="宋体"/>
          <w:b/>
          <w:color w:val="auto"/>
          <w:sz w:val="24"/>
          <w:highlight w:val="none"/>
        </w:rPr>
      </w:pPr>
      <w:r>
        <w:rPr>
          <w:rFonts w:hint="eastAsia" w:ascii="宋体" w:hAnsi="宋体" w:cs="宋体"/>
          <w:b/>
          <w:color w:val="auto"/>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color w:val="auto"/>
          <w:sz w:val="24"/>
          <w:highlight w:val="none"/>
        </w:rPr>
      </w:pPr>
      <w:r>
        <w:rPr>
          <w:rFonts w:hint="eastAsia" w:ascii="宋体" w:hAnsi="宋体" w:cs="宋体"/>
          <w:b/>
          <w:color w:val="auto"/>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color w:val="auto"/>
          <w:sz w:val="24"/>
          <w:highlight w:val="none"/>
        </w:rPr>
      </w:pPr>
      <w:r>
        <w:rPr>
          <w:rFonts w:hint="eastAsia" w:ascii="宋体" w:hAnsi="宋体" w:cs="宋体"/>
          <w:b/>
          <w:color w:val="auto"/>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color w:val="auto"/>
          <w:sz w:val="24"/>
          <w:highlight w:val="none"/>
        </w:rPr>
      </w:pPr>
      <w:r>
        <w:rPr>
          <w:rFonts w:hint="eastAsia" w:ascii="宋体" w:hAnsi="宋体" w:cs="宋体"/>
          <w:b/>
          <w:color w:val="auto"/>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color w:val="auto"/>
          <w:sz w:val="24"/>
          <w:highlight w:val="none"/>
        </w:rPr>
      </w:pPr>
      <w:r>
        <w:rPr>
          <w:rFonts w:hint="eastAsia" w:ascii="宋体" w:hAnsi="宋体" w:cs="宋体"/>
          <w:b/>
          <w:color w:val="auto"/>
          <w:sz w:val="24"/>
          <w:highlight w:val="none"/>
        </w:rPr>
        <w:t>购买力风险：如发生通货膨胀，则所投资产的收益可能会被通货膨胀抵消，从而对理财计划收益</w:t>
      </w:r>
      <w:r>
        <w:rPr>
          <w:rFonts w:hint="eastAsia" w:ascii="宋体" w:hAnsi="宋体" w:cs="宋体"/>
          <w:b/>
          <w:color w:val="auto"/>
          <w:sz w:val="24"/>
          <w:highlight w:val="none"/>
          <w:lang w:eastAsia="zh-CN"/>
        </w:rPr>
        <w:t>的实际购买力</w:t>
      </w:r>
      <w:r>
        <w:rPr>
          <w:rFonts w:hint="eastAsia" w:ascii="宋体" w:hAnsi="宋体" w:cs="宋体"/>
          <w:b/>
          <w:color w:val="auto"/>
          <w:sz w:val="24"/>
          <w:highlight w:val="none"/>
        </w:rPr>
        <w:t>产生影响。</w:t>
      </w:r>
    </w:p>
    <w:p>
      <w:pPr>
        <w:numPr>
          <w:ilvl w:val="0"/>
          <w:numId w:val="3"/>
        </w:numPr>
        <w:spacing w:line="360" w:lineRule="auto"/>
        <w:jc w:val="left"/>
        <w:rPr>
          <w:rFonts w:ascii="宋体" w:hAnsi="宋体" w:cs="宋体"/>
          <w:b/>
          <w:color w:val="auto"/>
          <w:sz w:val="24"/>
          <w:highlight w:val="none"/>
        </w:rPr>
      </w:pPr>
      <w:r>
        <w:rPr>
          <w:rFonts w:hint="eastAsia" w:ascii="宋体" w:hAnsi="宋体" w:cs="宋体"/>
          <w:b/>
          <w:color w:val="auto"/>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color w:val="auto"/>
          <w:sz w:val="24"/>
          <w:highlight w:val="none"/>
        </w:rPr>
      </w:pPr>
      <w:r>
        <w:rPr>
          <w:rFonts w:hint="eastAsia" w:ascii="宋体" w:hAnsi="宋体" w:cs="宋体"/>
          <w:b/>
          <w:color w:val="auto"/>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color w:val="auto"/>
          <w:sz w:val="24"/>
          <w:highlight w:val="none"/>
        </w:rPr>
      </w:pPr>
      <w:r>
        <w:rPr>
          <w:rFonts w:hint="eastAsia" w:ascii="宋体" w:hAnsi="宋体" w:cs="宋体"/>
          <w:b/>
          <w:color w:val="auto"/>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color w:val="auto"/>
          <w:sz w:val="24"/>
          <w:highlight w:val="none"/>
        </w:rPr>
      </w:pPr>
      <w:r>
        <w:rPr>
          <w:rFonts w:hint="eastAsia" w:ascii="宋体" w:hAnsi="宋体" w:cs="宋体"/>
          <w:b/>
          <w:color w:val="auto"/>
          <w:sz w:val="24"/>
          <w:highlight w:val="none"/>
        </w:rPr>
        <w:t>政策风险：理财计划根据当前的相关法规和政策设计，如国家宏观政策以及相关市场</w:t>
      </w:r>
      <w:r>
        <w:rPr>
          <w:rFonts w:hint="eastAsia" w:ascii="宋体" w:hAnsi="宋体" w:cs="宋体"/>
          <w:b/>
          <w:color w:val="auto"/>
          <w:sz w:val="24"/>
          <w:highlight w:val="none"/>
          <w:lang w:val="en-US" w:eastAsia="zh-CN"/>
        </w:rPr>
        <w:t>法律、</w:t>
      </w:r>
      <w:r>
        <w:rPr>
          <w:rFonts w:hint="eastAsia" w:ascii="宋体" w:hAnsi="宋体" w:cs="宋体"/>
          <w:b/>
          <w:color w:val="auto"/>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color w:val="auto"/>
          <w:sz w:val="24"/>
          <w:highlight w:val="none"/>
        </w:rPr>
      </w:pPr>
      <w:r>
        <w:rPr>
          <w:rFonts w:hint="eastAsia" w:ascii="宋体" w:hAnsi="宋体" w:cs="宋体"/>
          <w:b/>
          <w:color w:val="auto"/>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color w:val="auto"/>
          <w:sz w:val="24"/>
          <w:highlight w:val="none"/>
        </w:rPr>
      </w:pPr>
      <w:r>
        <w:rPr>
          <w:rFonts w:hint="eastAsia" w:ascii="宋体" w:hAnsi="宋体" w:cs="宋体"/>
          <w:b/>
          <w:color w:val="auto"/>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color w:val="auto"/>
          <w:sz w:val="24"/>
          <w:highlight w:val="none"/>
        </w:rPr>
      </w:pPr>
      <w:r>
        <w:rPr>
          <w:rFonts w:hint="eastAsia" w:ascii="宋体" w:hAnsi="宋体" w:cs="宋体"/>
          <w:b/>
          <w:color w:val="auto"/>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color w:val="auto"/>
          <w:sz w:val="24"/>
          <w:highlight w:val="none"/>
        </w:rPr>
      </w:pPr>
      <w:r>
        <w:rPr>
          <w:rFonts w:hint="eastAsia" w:ascii="宋体" w:hAnsi="宋体" w:cs="宋体"/>
          <w:b/>
          <w:color w:val="auto"/>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color w:val="auto"/>
          <w:sz w:val="24"/>
          <w:highlight w:val="none"/>
        </w:rPr>
      </w:pPr>
      <w:r>
        <w:rPr>
          <w:rFonts w:hint="eastAsia" w:ascii="宋体" w:hAnsi="宋体" w:cs="宋体"/>
          <w:b/>
          <w:color w:val="auto"/>
          <w:sz w:val="24"/>
          <w:highlight w:val="none"/>
        </w:rPr>
        <w:t>提前</w:t>
      </w:r>
      <w:r>
        <w:rPr>
          <w:rFonts w:hint="eastAsia" w:ascii="宋体" w:hAnsi="宋体" w:cs="宋体"/>
          <w:b/>
          <w:color w:val="auto"/>
          <w:sz w:val="24"/>
          <w:highlight w:val="none"/>
          <w:lang w:eastAsia="zh-CN"/>
        </w:rPr>
        <w:t>或延期</w:t>
      </w:r>
      <w:r>
        <w:rPr>
          <w:rFonts w:hint="eastAsia" w:ascii="宋体" w:hAnsi="宋体" w:cs="宋体"/>
          <w:b/>
          <w:color w:val="auto"/>
          <w:sz w:val="24"/>
          <w:highlight w:val="none"/>
        </w:rPr>
        <w:t>终止风险：为保护投资者利益，在理财计划存续期间，管理人可根据理财计划说明书约定的情形提前</w:t>
      </w:r>
      <w:r>
        <w:rPr>
          <w:rFonts w:hint="eastAsia" w:ascii="宋体" w:hAnsi="宋体" w:cs="宋体"/>
          <w:b/>
          <w:color w:val="auto"/>
          <w:sz w:val="24"/>
          <w:highlight w:val="none"/>
          <w:lang w:eastAsia="zh-CN"/>
        </w:rPr>
        <w:t>或延期</w:t>
      </w:r>
      <w:r>
        <w:rPr>
          <w:rFonts w:hint="eastAsia" w:ascii="宋体" w:hAnsi="宋体" w:cs="宋体"/>
          <w:b/>
          <w:color w:val="auto"/>
          <w:sz w:val="24"/>
          <w:highlight w:val="none"/>
        </w:rPr>
        <w:t>终止本理财计划。如理财计划被提前</w:t>
      </w:r>
      <w:r>
        <w:rPr>
          <w:rFonts w:hint="eastAsia" w:ascii="宋体" w:hAnsi="宋体" w:cs="宋体"/>
          <w:b/>
          <w:color w:val="auto"/>
          <w:sz w:val="24"/>
          <w:highlight w:val="none"/>
          <w:lang w:eastAsia="zh-CN"/>
        </w:rPr>
        <w:t>或延期</w:t>
      </w:r>
      <w:r>
        <w:rPr>
          <w:rFonts w:hint="eastAsia" w:ascii="宋体" w:hAnsi="宋体" w:cs="宋体"/>
          <w:b/>
          <w:color w:val="auto"/>
          <w:sz w:val="24"/>
          <w:highlight w:val="none"/>
        </w:rPr>
        <w:t>终止，则投资者将面临提前终止再投资</w:t>
      </w:r>
      <w:r>
        <w:rPr>
          <w:rFonts w:hint="eastAsia" w:ascii="宋体" w:hAnsi="宋体" w:cs="宋体"/>
          <w:b/>
          <w:color w:val="auto"/>
          <w:sz w:val="24"/>
          <w:highlight w:val="none"/>
          <w:lang w:eastAsia="zh-CN"/>
        </w:rPr>
        <w:t>或延期兑付</w:t>
      </w:r>
      <w:r>
        <w:rPr>
          <w:rFonts w:hint="eastAsia" w:ascii="宋体" w:hAnsi="宋体" w:cs="宋体"/>
          <w:b/>
          <w:color w:val="auto"/>
          <w:sz w:val="24"/>
          <w:highlight w:val="none"/>
        </w:rPr>
        <w:t>的风险。</w:t>
      </w:r>
    </w:p>
    <w:p>
      <w:pPr>
        <w:numPr>
          <w:ilvl w:val="0"/>
          <w:numId w:val="4"/>
        </w:numPr>
        <w:spacing w:line="360" w:lineRule="auto"/>
        <w:jc w:val="left"/>
        <w:outlineLvl w:val="9"/>
        <w:rPr>
          <w:rFonts w:ascii="宋体" w:hAnsi="宋体" w:cs="宋体"/>
          <w:b/>
          <w:color w:val="auto"/>
          <w:sz w:val="24"/>
          <w:highlight w:val="none"/>
        </w:rPr>
      </w:pPr>
      <w:r>
        <w:rPr>
          <w:rFonts w:hint="eastAsia" w:ascii="宋体" w:hAnsi="宋体" w:cs="宋体"/>
          <w:b/>
          <w:color w:val="auto"/>
          <w:sz w:val="24"/>
          <w:highlight w:val="none"/>
        </w:rPr>
        <w:t>信息传递风险：</w:t>
      </w:r>
      <w:r>
        <w:rPr>
          <w:rFonts w:hint="eastAsia" w:ascii="宋体" w:hAnsi="宋体" w:cs="宋体"/>
          <w:b/>
          <w:color w:val="auto"/>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color w:val="auto"/>
          <w:sz w:val="24"/>
          <w:highlight w:val="none"/>
        </w:rPr>
        <w:t>由于投资者未能及时主动了解理财计划信息</w:t>
      </w:r>
      <w:r>
        <w:rPr>
          <w:rFonts w:hint="eastAsia" w:ascii="宋体" w:hAnsi="宋体" w:cs="宋体"/>
          <w:b/>
          <w:color w:val="auto"/>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color w:val="auto"/>
          <w:sz w:val="24"/>
          <w:highlight w:val="none"/>
        </w:rPr>
        <w:t>。</w:t>
      </w:r>
      <w:r>
        <w:rPr>
          <w:rFonts w:hint="eastAsia" w:ascii="宋体" w:hAnsi="宋体" w:cs="宋体"/>
          <w:b/>
          <w:color w:val="auto"/>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color w:val="auto"/>
          <w:sz w:val="24"/>
          <w:highlight w:val="none"/>
        </w:rPr>
      </w:pPr>
      <w:r>
        <w:rPr>
          <w:rFonts w:hint="eastAsia" w:ascii="宋体" w:hAnsi="宋体" w:cs="宋体"/>
          <w:b/>
          <w:color w:val="auto"/>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color w:val="auto"/>
          <w:sz w:val="24"/>
          <w:highlight w:val="none"/>
          <w:lang w:eastAsia="zh-CN"/>
        </w:rPr>
        <w:t>理</w:t>
      </w:r>
      <w:r>
        <w:rPr>
          <w:rFonts w:hint="eastAsia" w:ascii="宋体" w:hAnsi="宋体" w:cs="宋体"/>
          <w:b/>
          <w:color w:val="auto"/>
          <w:sz w:val="24"/>
          <w:highlight w:val="none"/>
        </w:rPr>
        <w:t>财计划本金或收益蒙受部分或全部损失的风险。</w:t>
      </w:r>
    </w:p>
    <w:p>
      <w:pPr>
        <w:numPr>
          <w:ilvl w:val="0"/>
          <w:numId w:val="4"/>
        </w:numPr>
        <w:spacing w:line="360" w:lineRule="auto"/>
        <w:jc w:val="left"/>
        <w:outlineLvl w:val="9"/>
        <w:rPr>
          <w:rFonts w:ascii="宋体" w:hAnsi="宋体" w:cs="宋体"/>
          <w:b/>
          <w:color w:val="auto"/>
          <w:sz w:val="24"/>
          <w:highlight w:val="none"/>
        </w:rPr>
      </w:pPr>
      <w:r>
        <w:rPr>
          <w:rFonts w:hint="eastAsia" w:ascii="宋体" w:hAnsi="宋体" w:cs="宋体"/>
          <w:b/>
          <w:color w:val="auto"/>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color w:val="auto"/>
          <w:sz w:val="24"/>
          <w:highlight w:val="none"/>
        </w:rPr>
      </w:pPr>
      <w:r>
        <w:rPr>
          <w:rFonts w:hint="eastAsia" w:ascii="宋体" w:hAnsi="宋体" w:cs="宋体"/>
          <w:b/>
          <w:color w:val="auto"/>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color w:val="auto"/>
          <w:sz w:val="24"/>
          <w:highlight w:val="none"/>
        </w:rPr>
      </w:pPr>
      <w:r>
        <w:rPr>
          <w:rFonts w:hint="eastAsia" w:ascii="宋体" w:hAnsi="宋体" w:cs="宋体"/>
          <w:b/>
          <w:color w:val="auto"/>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color w:val="auto"/>
          <w:sz w:val="24"/>
          <w:highlight w:val="none"/>
        </w:rPr>
      </w:pPr>
      <w:r>
        <w:rPr>
          <w:rFonts w:hint="eastAsia" w:ascii="宋体" w:hAnsi="宋体" w:cs="宋体"/>
          <w:b/>
          <w:color w:val="auto"/>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color w:val="auto"/>
          <w:sz w:val="24"/>
          <w:highlight w:val="none"/>
        </w:rPr>
      </w:pPr>
      <w:r>
        <w:rPr>
          <w:rFonts w:hint="eastAsia" w:ascii="宋体" w:hAnsi="宋体" w:cs="宋体"/>
          <w:b/>
          <w:color w:val="auto"/>
          <w:sz w:val="24"/>
          <w:highlight w:val="none"/>
          <w:lang w:eastAsia="zh-CN"/>
        </w:rPr>
        <w:t>关</w:t>
      </w:r>
      <w:r>
        <w:rPr>
          <w:rFonts w:ascii="宋体" w:hAnsi="宋体" w:cs="宋体"/>
          <w:b/>
          <w:color w:val="auto"/>
          <w:sz w:val="24"/>
          <w:highlight w:val="none"/>
        </w:rPr>
        <w:t>联关系</w:t>
      </w:r>
      <w:r>
        <w:rPr>
          <w:rFonts w:hint="eastAsia" w:ascii="宋体" w:hAnsi="宋体" w:cs="宋体"/>
          <w:b/>
          <w:color w:val="auto"/>
          <w:sz w:val="24"/>
          <w:highlight w:val="none"/>
          <w:lang w:val="en-US" w:eastAsia="zh-CN"/>
        </w:rPr>
        <w:t>及关联交易</w:t>
      </w:r>
      <w:r>
        <w:rPr>
          <w:rFonts w:ascii="宋体" w:hAnsi="宋体" w:cs="宋体"/>
          <w:b/>
          <w:color w:val="auto"/>
          <w:sz w:val="24"/>
          <w:highlight w:val="none"/>
        </w:rPr>
        <w:t>风险：</w:t>
      </w:r>
      <w:r>
        <w:rPr>
          <w:rFonts w:hint="eastAsia" w:ascii="宋体" w:hAnsi="宋体" w:cs="宋体"/>
          <w:b/>
          <w:color w:val="auto"/>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color w:val="auto"/>
          <w:sz w:val="24"/>
          <w:highlight w:val="none"/>
        </w:rPr>
        <w:t>杭州银行股份有限公司</w:t>
      </w:r>
      <w:r>
        <w:rPr>
          <w:rFonts w:hint="eastAsia" w:ascii="宋体" w:hAnsi="宋体" w:cs="宋体"/>
          <w:b/>
          <w:color w:val="auto"/>
          <w:sz w:val="24"/>
          <w:highlight w:val="none"/>
          <w:lang w:eastAsia="zh-CN"/>
        </w:rPr>
        <w:t>（</w:t>
      </w:r>
      <w:r>
        <w:rPr>
          <w:rFonts w:hint="eastAsia" w:ascii="宋体" w:hAnsi="宋体" w:cs="宋体"/>
          <w:b/>
          <w:color w:val="auto"/>
          <w:sz w:val="24"/>
          <w:highlight w:val="none"/>
          <w:lang w:val="en-US" w:eastAsia="zh-CN"/>
        </w:rPr>
        <w:t>以下简称“杭州银行”</w:t>
      </w:r>
      <w:r>
        <w:rPr>
          <w:rFonts w:hint="eastAsia" w:ascii="宋体" w:hAnsi="宋体" w:cs="宋体"/>
          <w:b/>
          <w:color w:val="auto"/>
          <w:sz w:val="24"/>
          <w:highlight w:val="none"/>
          <w:lang w:eastAsia="zh-CN"/>
        </w:rPr>
        <w:t>）</w:t>
      </w:r>
      <w:r>
        <w:rPr>
          <w:rFonts w:hint="eastAsia" w:ascii="宋体" w:hAnsi="宋体" w:cs="宋体"/>
          <w:b/>
          <w:color w:val="auto"/>
          <w:sz w:val="24"/>
          <w:highlight w:val="none"/>
          <w:lang w:val="en-US" w:eastAsia="zh-CN"/>
        </w:rPr>
        <w:t>作为理财计划的销售服务机构</w:t>
      </w:r>
      <w:r>
        <w:rPr>
          <w:rFonts w:ascii="宋体" w:hAnsi="宋体" w:cs="宋体"/>
          <w:b/>
          <w:color w:val="auto"/>
          <w:sz w:val="24"/>
          <w:highlight w:val="none"/>
        </w:rPr>
        <w:t>，</w:t>
      </w:r>
      <w:r>
        <w:rPr>
          <w:rFonts w:hint="eastAsia" w:ascii="宋体" w:hAnsi="宋体" w:cs="宋体"/>
          <w:b/>
          <w:color w:val="auto"/>
          <w:sz w:val="24"/>
          <w:highlight w:val="none"/>
          <w:lang w:val="en-US" w:eastAsia="zh-CN"/>
        </w:rPr>
        <w:t>负责理财计划的代理销售工作。</w:t>
      </w:r>
      <w:r>
        <w:rPr>
          <w:rFonts w:ascii="宋体" w:hAnsi="宋体" w:cs="宋体"/>
          <w:b/>
          <w:color w:val="auto"/>
          <w:sz w:val="24"/>
          <w:highlight w:val="none"/>
        </w:rPr>
        <w:t>杭银理财系杭州银行全资子公司，双方存在关联关系。</w:t>
      </w:r>
      <w:r>
        <w:rPr>
          <w:rFonts w:hint="eastAsia" w:ascii="宋体" w:hAnsi="宋体" w:cs="宋体"/>
          <w:b/>
          <w:color w:val="auto"/>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color w:val="auto"/>
          <w:sz w:val="24"/>
          <w:highlight w:val="none"/>
        </w:rPr>
      </w:pPr>
      <w:r>
        <w:rPr>
          <w:rFonts w:hint="eastAsia" w:ascii="宋体" w:hAnsi="宋体" w:cs="宋体"/>
          <w:b/>
          <w:color w:val="auto"/>
          <w:sz w:val="24"/>
          <w:highlight w:val="none"/>
          <w:lang w:val="en-US" w:eastAsia="zh-CN"/>
        </w:rPr>
        <w:t>投资者合规风险：</w:t>
      </w:r>
      <w:r>
        <w:rPr>
          <w:rFonts w:hint="eastAsia" w:ascii="宋体" w:hAnsi="宋体" w:cs="宋体"/>
          <w:b/>
          <w:bCs w:val="0"/>
          <w:color w:val="auto"/>
          <w:sz w:val="24"/>
          <w:highlight w:val="none"/>
          <w:lang w:val="en-US" w:eastAsia="zh-CN"/>
        </w:rPr>
        <w:t>根据</w:t>
      </w:r>
      <w:r>
        <w:rPr>
          <w:rFonts w:hint="eastAsia" w:ascii="宋体" w:hAnsi="宋体" w:cs="宋体"/>
          <w:b/>
          <w:bCs w:val="0"/>
          <w:color w:val="auto"/>
          <w:sz w:val="24"/>
          <w:highlight w:val="none"/>
        </w:rPr>
        <w:t>法律、行政法规、金融监管规定及</w:t>
      </w:r>
      <w:r>
        <w:rPr>
          <w:rFonts w:hint="eastAsia" w:ascii="宋体" w:hAnsi="宋体" w:cs="宋体"/>
          <w:b/>
          <w:bCs w:val="0"/>
          <w:color w:val="auto"/>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color w:val="auto"/>
          <w:sz w:val="24"/>
          <w:highlight w:val="none"/>
        </w:rPr>
      </w:pPr>
      <w:r>
        <w:rPr>
          <w:rFonts w:hint="eastAsia" w:ascii="宋体" w:hAnsi="宋体" w:cs="宋体"/>
          <w:b/>
          <w:color w:val="auto"/>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auto"/>
          <w:kern w:val="2"/>
          <w:sz w:val="24"/>
          <w:szCs w:val="24"/>
        </w:rPr>
      </w:pPr>
      <w:r>
        <w:rPr>
          <w:rFonts w:hint="eastAsia" w:ascii="宋体" w:hAnsi="宋体" w:eastAsia="宋体" w:cs="宋体"/>
          <w:b/>
          <w:bCs/>
          <w:color w:val="auto"/>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color w:val="auto"/>
          <w:kern w:val="2"/>
          <w:sz w:val="24"/>
          <w:szCs w:val="24"/>
        </w:rPr>
      </w:pPr>
      <w:r>
        <w:rPr>
          <w:rFonts w:hint="eastAsia" w:ascii="宋体" w:hAnsi="宋体" w:eastAsia="宋体" w:cs="宋体"/>
          <w:b/>
          <w:bCs/>
          <w:color w:val="auto"/>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color w:val="auto"/>
          <w:sz w:val="24"/>
          <w:highlight w:val="none"/>
        </w:rPr>
      </w:pPr>
    </w:p>
    <w:p>
      <w:pPr>
        <w:spacing w:line="360" w:lineRule="auto"/>
        <w:jc w:val="left"/>
        <w:rPr>
          <w:rFonts w:ascii="宋体" w:hAnsi="宋体" w:cs="宋体"/>
          <w:b/>
          <w:color w:val="auto"/>
          <w:sz w:val="24"/>
          <w:highlight w:val="none"/>
        </w:rPr>
      </w:pPr>
      <w:r>
        <w:rPr>
          <w:rFonts w:hint="eastAsia" w:ascii="宋体" w:hAnsi="宋体" w:cs="宋体"/>
          <w:b/>
          <w:color w:val="auto"/>
          <w:sz w:val="24"/>
          <w:highlight w:val="none"/>
        </w:rPr>
        <w:t xml:space="preserve">    上述理财计划共性与特定风险发生时，投资者的本金及收益可能遭受损失，在最不利情形下，将损失全部本金及收益</w:t>
      </w:r>
      <w:r>
        <w:rPr>
          <w:rFonts w:hint="eastAsia" w:ascii="宋体" w:hAnsi="宋体" w:cs="宋体"/>
          <w:b/>
          <w:color w:val="auto"/>
          <w:sz w:val="24"/>
          <w:highlight w:val="none"/>
          <w:lang w:eastAsia="zh-CN"/>
        </w:rPr>
        <w:t>（</w:t>
      </w:r>
      <w:r>
        <w:rPr>
          <w:rFonts w:hint="eastAsia" w:ascii="宋体" w:hAnsi="宋体" w:cs="宋体"/>
          <w:b/>
          <w:color w:val="auto"/>
          <w:sz w:val="24"/>
          <w:highlight w:val="none"/>
          <w:lang w:val="en-US" w:eastAsia="zh-CN"/>
        </w:rPr>
        <w:t>如有</w:t>
      </w:r>
      <w:r>
        <w:rPr>
          <w:rFonts w:hint="eastAsia" w:ascii="宋体" w:hAnsi="宋体" w:cs="宋体"/>
          <w:b/>
          <w:color w:val="auto"/>
          <w:sz w:val="24"/>
          <w:highlight w:val="none"/>
          <w:lang w:eastAsia="zh-CN"/>
        </w:rPr>
        <w:t>）</w:t>
      </w:r>
      <w:r>
        <w:rPr>
          <w:rFonts w:hint="eastAsia" w:ascii="宋体" w:hAnsi="宋体" w:cs="宋体"/>
          <w:b/>
          <w:color w:val="auto"/>
          <w:sz w:val="24"/>
          <w:highlight w:val="none"/>
        </w:rPr>
        <w:t>，由此产生的风险及损失将由投资者自行承担。</w:t>
      </w:r>
    </w:p>
    <w:p>
      <w:pPr>
        <w:numPr>
          <w:ilvl w:val="0"/>
          <w:numId w:val="1"/>
        </w:numPr>
        <w:spacing w:line="360" w:lineRule="auto"/>
        <w:jc w:val="left"/>
        <w:outlineLvl w:val="2"/>
        <w:rPr>
          <w:rFonts w:ascii="宋体" w:hAnsi="宋体" w:cs="宋体"/>
          <w:b/>
          <w:color w:val="auto"/>
          <w:sz w:val="24"/>
          <w:highlight w:val="none"/>
        </w:rPr>
      </w:pPr>
      <w:r>
        <w:rPr>
          <w:rFonts w:hint="eastAsia" w:ascii="宋体" w:hAnsi="宋体" w:cs="宋体"/>
          <w:b/>
          <w:color w:val="auto"/>
          <w:sz w:val="24"/>
          <w:highlight w:val="none"/>
        </w:rPr>
        <w:t>其他信息提示</w:t>
      </w:r>
    </w:p>
    <w:p>
      <w:pPr>
        <w:spacing w:line="360" w:lineRule="auto"/>
        <w:jc w:val="left"/>
        <w:rPr>
          <w:rFonts w:ascii="宋体" w:hAnsi="宋体" w:cs="宋体"/>
          <w:b/>
          <w:color w:val="auto"/>
          <w:sz w:val="24"/>
          <w:highlight w:val="none"/>
        </w:rPr>
      </w:pPr>
      <w:r>
        <w:rPr>
          <w:rFonts w:hint="eastAsia" w:ascii="宋体" w:hAnsi="宋体" w:cs="宋体"/>
          <w:b/>
          <w:color w:val="auto"/>
          <w:sz w:val="24"/>
          <w:highlight w:val="none"/>
        </w:rPr>
        <w:t xml:space="preserve">    </w:t>
      </w:r>
      <w:r>
        <w:rPr>
          <w:rFonts w:hint="eastAsia" w:ascii="宋体" w:hAnsi="宋体" w:cs="宋体"/>
          <w:bCs/>
          <w:color w:val="auto"/>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color w:val="auto"/>
          <w:sz w:val="24"/>
          <w:highlight w:val="none"/>
        </w:rPr>
      </w:pPr>
      <w:r>
        <w:rPr>
          <w:rFonts w:hint="eastAsia" w:ascii="宋体" w:hAnsi="宋体" w:cs="宋体"/>
          <w:b/>
          <w:color w:val="auto"/>
          <w:sz w:val="24"/>
          <w:highlight w:val="none"/>
        </w:rPr>
        <w:t>根据募集方式的不同，理财产品分为公募理财产品和私募理财产品。</w:t>
      </w:r>
      <w:r>
        <w:rPr>
          <w:rFonts w:hint="eastAsia" w:ascii="宋体" w:hAnsi="宋体" w:cs="宋体"/>
          <w:bCs/>
          <w:color w:val="auto"/>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color w:val="auto"/>
          <w:sz w:val="24"/>
          <w:highlight w:val="none"/>
        </w:rPr>
      </w:pPr>
      <w:r>
        <w:rPr>
          <w:rFonts w:hint="eastAsia" w:ascii="宋体" w:hAnsi="宋体" w:cs="宋体"/>
          <w:bCs/>
          <w:color w:val="auto"/>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color w:val="auto"/>
          <w:sz w:val="24"/>
          <w:highlight w:val="none"/>
        </w:rPr>
      </w:pPr>
      <w:r>
        <w:rPr>
          <w:rFonts w:hint="eastAsia" w:ascii="宋体" w:hAnsi="宋体" w:cs="宋体"/>
          <w:bCs/>
          <w:color w:val="auto"/>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color w:val="auto"/>
          <w:sz w:val="24"/>
          <w:highlight w:val="none"/>
        </w:rPr>
      </w:pPr>
      <w:r>
        <w:rPr>
          <w:rFonts w:hint="eastAsia" w:ascii="宋体" w:hAnsi="宋体" w:cs="宋体"/>
          <w:bCs/>
          <w:color w:val="auto"/>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color w:val="auto"/>
          <w:sz w:val="24"/>
          <w:highlight w:val="none"/>
        </w:rPr>
      </w:pPr>
      <w:r>
        <w:rPr>
          <w:rFonts w:hint="eastAsia" w:ascii="宋体" w:hAnsi="宋体" w:cs="宋体"/>
          <w:b/>
          <w:color w:val="auto"/>
          <w:sz w:val="24"/>
          <w:highlight w:val="none"/>
        </w:rPr>
        <w:t>根据投资性质的不同，理财产品分为固定收益类理财产品、权益类理财产品、商品及金融衍生品类理财产品和混合类理财产品。</w:t>
      </w:r>
      <w:r>
        <w:rPr>
          <w:rFonts w:hint="eastAsia" w:ascii="宋体" w:hAnsi="宋体" w:cs="宋体"/>
          <w:bCs/>
          <w:color w:val="auto"/>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color w:val="auto"/>
          <w:sz w:val="24"/>
          <w:highlight w:val="none"/>
        </w:rPr>
      </w:pPr>
      <w:r>
        <w:rPr>
          <w:rFonts w:hint="eastAsia" w:ascii="宋体" w:hAnsi="宋体" w:cs="宋体"/>
          <w:b/>
          <w:color w:val="auto"/>
          <w:sz w:val="24"/>
          <w:highlight w:val="none"/>
        </w:rPr>
        <w:t>根据运作方式的不同，将理财产品分为封闭式理财产品和开放式理财产品。</w:t>
      </w:r>
      <w:r>
        <w:rPr>
          <w:rFonts w:hint="eastAsia" w:ascii="宋体" w:hAnsi="宋体" w:cs="宋体"/>
          <w:bCs/>
          <w:color w:val="auto"/>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color w:val="auto"/>
          <w:sz w:val="24"/>
          <w:highlight w:val="none"/>
        </w:rPr>
      </w:pPr>
      <w:r>
        <w:rPr>
          <w:rFonts w:hint="eastAsia" w:ascii="宋体" w:hAnsi="宋体" w:cs="宋体"/>
          <w:b/>
          <w:color w:val="auto"/>
          <w:sz w:val="24"/>
          <w:highlight w:val="none"/>
        </w:rPr>
        <w:t>本理财计划为</w:t>
      </w:r>
      <w:r>
        <w:rPr>
          <w:rFonts w:hint="eastAsia" w:ascii="宋体" w:hAnsi="宋体" w:eastAsia="宋体" w:cs="宋体"/>
          <w:b/>
          <w:color w:val="auto"/>
          <w:kern w:val="2"/>
          <w:sz w:val="24"/>
          <w:szCs w:val="24"/>
          <w:highlight w:val="none"/>
          <w:lang w:val="en-US" w:eastAsia="zh-CN" w:bidi="ar-SA"/>
        </w:rPr>
        <w:t>公募</w:t>
      </w:r>
      <w:r>
        <w:rPr>
          <w:rFonts w:hint="eastAsia" w:ascii="宋体" w:hAnsi="宋体" w:cs="宋体"/>
          <w:b/>
          <w:color w:val="auto"/>
          <w:sz w:val="24"/>
          <w:highlight w:val="none"/>
        </w:rPr>
        <w:t>、</w:t>
      </w:r>
      <w:r>
        <w:rPr>
          <w:rFonts w:hint="eastAsia" w:ascii="宋体" w:hAnsi="宋体" w:eastAsia="宋体" w:cs="宋体"/>
          <w:b/>
          <w:color w:val="auto"/>
          <w:kern w:val="2"/>
          <w:sz w:val="24"/>
          <w:szCs w:val="24"/>
          <w:highlight w:val="none"/>
          <w:lang w:val="en-US" w:eastAsia="zh-CN" w:bidi="ar-SA"/>
        </w:rPr>
        <w:t>开放式</w:t>
      </w:r>
      <w:r>
        <w:rPr>
          <w:rFonts w:hint="eastAsia" w:ascii="宋体" w:hAnsi="宋体" w:cs="宋体"/>
          <w:b/>
          <w:color w:val="auto"/>
          <w:sz w:val="24"/>
          <w:highlight w:val="none"/>
        </w:rPr>
        <w:t>、〖</w:t>
      </w:r>
      <w:r>
        <w:rPr>
          <w:rFonts w:hint="eastAsia" w:ascii="宋体" w:hAnsi="宋体" w:eastAsia="宋体" w:cs="宋体"/>
          <w:b/>
          <w:color w:val="auto"/>
          <w:kern w:val="2"/>
          <w:sz w:val="24"/>
          <w:szCs w:val="24"/>
          <w:highlight w:val="none"/>
          <w:lang w:val="en-US" w:eastAsia="zh-CN" w:bidi="ar-SA"/>
        </w:rPr>
        <w:t>固定收益类</w:t>
      </w:r>
      <w:r>
        <w:rPr>
          <w:rFonts w:hint="eastAsia" w:ascii="宋体" w:hAnsi="宋体" w:cs="宋体"/>
          <w:b/>
          <w:color w:val="auto"/>
          <w:sz w:val="24"/>
          <w:highlight w:val="none"/>
        </w:rPr>
        <w:t>〗净值型理财计划，〖</w:t>
      </w:r>
      <w:r>
        <w:rPr>
          <w:rFonts w:hint="eastAsia" w:ascii="宋体" w:hAnsi="宋体" w:cs="宋体"/>
          <w:b/>
          <w:color w:val="auto"/>
          <w:sz w:val="24"/>
          <w:highlight w:val="none"/>
          <w:lang w:eastAsia="zh-CN"/>
        </w:rPr>
        <w:t>无固定期限</w:t>
      </w:r>
      <w:r>
        <w:rPr>
          <w:rFonts w:hint="eastAsia" w:ascii="宋体" w:hAnsi="宋体" w:cs="宋体"/>
          <w:b/>
          <w:color w:val="auto"/>
          <w:sz w:val="24"/>
          <w:highlight w:val="none"/>
        </w:rPr>
        <w:t>〗</w:t>
      </w:r>
      <w:r>
        <w:rPr>
          <w:rFonts w:hint="eastAsia" w:ascii="宋体" w:hAnsi="宋体" w:cs="宋体"/>
          <w:bCs/>
          <w:color w:val="auto"/>
          <w:sz w:val="24"/>
          <w:highlight w:val="none"/>
          <w:lang w:eastAsia="zh-CN"/>
        </w:rPr>
        <w:t>，</w:t>
      </w:r>
      <w:r>
        <w:rPr>
          <w:rFonts w:hint="eastAsia" w:ascii="宋体" w:hAnsi="宋体" w:cs="宋体"/>
          <w:b/>
          <w:color w:val="auto"/>
          <w:sz w:val="24"/>
          <w:highlight w:val="none"/>
        </w:rPr>
        <w:t>不保证本金与收益。</w:t>
      </w:r>
      <w:r>
        <w:rPr>
          <w:rFonts w:hint="eastAsia" w:ascii="宋体" w:hAnsi="宋体" w:cs="宋体"/>
          <w:b/>
          <w:color w:val="auto"/>
          <w:sz w:val="24"/>
          <w:highlight w:val="none"/>
          <w:lang w:val="en-US" w:eastAsia="zh-CN"/>
        </w:rPr>
        <w:t>理财计划过往业绩不代表其未来表现，不等于理财计划实际收益，投资须谨慎！</w:t>
      </w:r>
      <w:r>
        <w:rPr>
          <w:rFonts w:hint="eastAsia" w:ascii="宋体" w:hAnsi="宋体" w:cs="宋体"/>
          <w:b/>
          <w:color w:val="auto"/>
          <w:sz w:val="24"/>
          <w:highlight w:val="none"/>
        </w:rPr>
        <w:t>根据本公司理财产品内部风险评级，该理财计划风险评级结果为〖</w:t>
      </w:r>
      <w:r>
        <w:rPr>
          <w:rFonts w:hint="eastAsia" w:ascii="宋体" w:hAnsi="宋体" w:eastAsia="宋体" w:cs="宋体"/>
          <w:b/>
          <w:color w:val="auto"/>
          <w:kern w:val="2"/>
          <w:sz w:val="24"/>
          <w:szCs w:val="24"/>
          <w:highlight w:val="none"/>
          <w:lang w:val="en-US" w:eastAsia="zh-CN" w:bidi="ar-SA"/>
        </w:rPr>
        <w:t>R2</w:t>
      </w:r>
      <w:r>
        <w:rPr>
          <w:rFonts w:hint="eastAsia" w:ascii="宋体" w:hAnsi="宋体" w:cs="宋体"/>
          <w:b/>
          <w:color w:val="auto"/>
          <w:sz w:val="24"/>
          <w:highlight w:val="none"/>
        </w:rPr>
        <w:t>〗,〖</w:t>
      </w:r>
      <w:r>
        <w:rPr>
          <w:rFonts w:hint="eastAsia" w:ascii="宋体" w:hAnsi="宋体" w:eastAsia="宋体" w:cs="宋体"/>
          <w:b/>
          <w:color w:val="auto"/>
          <w:kern w:val="2"/>
          <w:sz w:val="24"/>
          <w:szCs w:val="24"/>
          <w:highlight w:val="none"/>
          <w:lang w:val="en-US" w:eastAsia="zh-CN" w:bidi="ar-SA"/>
        </w:rPr>
        <w:t>中低</w:t>
      </w:r>
      <w:r>
        <w:rPr>
          <w:rFonts w:hint="eastAsia" w:ascii="宋体" w:hAnsi="宋体" w:cs="宋体"/>
          <w:b/>
          <w:color w:val="auto"/>
          <w:sz w:val="24"/>
          <w:highlight w:val="none"/>
        </w:rPr>
        <w:t>〗风险</w:t>
      </w:r>
      <w:r>
        <w:rPr>
          <w:rFonts w:hint="eastAsia" w:ascii="宋体" w:hAnsi="宋体" w:cs="宋体"/>
          <w:bCs/>
          <w:color w:val="auto"/>
          <w:sz w:val="24"/>
          <w:highlight w:val="none"/>
        </w:rPr>
        <w:t>（本风险等级为我公司内部风险评级结果，仅供参考</w:t>
      </w:r>
      <w:r>
        <w:rPr>
          <w:rFonts w:hint="eastAsia" w:ascii="宋体" w:hAnsi="宋体" w:cs="宋体"/>
          <w:bCs/>
          <w:color w:val="auto"/>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color w:val="auto"/>
          <w:sz w:val="24"/>
          <w:highlight w:val="none"/>
        </w:rPr>
        <w:t>），</w:t>
      </w:r>
      <w:r>
        <w:rPr>
          <w:rFonts w:hint="eastAsia" w:ascii="宋体" w:hAnsi="宋体" w:cs="宋体"/>
          <w:b/>
          <w:color w:val="auto"/>
          <w:sz w:val="24"/>
          <w:highlight w:val="none"/>
        </w:rPr>
        <w:t>总体风险〖</w:t>
      </w:r>
      <w:r>
        <w:rPr>
          <w:rFonts w:hint="eastAsia" w:ascii="宋体" w:hAnsi="宋体" w:eastAsia="宋体" w:cs="宋体"/>
          <w:b/>
          <w:color w:val="auto"/>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color w:val="auto"/>
          <w:sz w:val="24"/>
          <w:highlight w:val="none"/>
        </w:rPr>
        <w:t>〗。</w:t>
      </w:r>
    </w:p>
    <w:p>
      <w:pPr>
        <w:spacing w:line="360" w:lineRule="auto"/>
        <w:ind w:firstLine="482" w:firstLineChars="200"/>
        <w:jc w:val="left"/>
        <w:rPr>
          <w:rFonts w:hint="eastAsia" w:ascii="宋体" w:hAnsi="宋体" w:cs="宋体"/>
          <w:bCs/>
          <w:color w:val="auto"/>
          <w:sz w:val="24"/>
          <w:highlight w:val="none"/>
        </w:rPr>
      </w:pPr>
      <w:r>
        <w:rPr>
          <w:rFonts w:hint="eastAsia" w:ascii="宋体" w:hAnsi="宋体" w:cs="宋体"/>
          <w:b/>
          <w:color w:val="auto"/>
          <w:sz w:val="24"/>
          <w:highlight w:val="none"/>
        </w:rPr>
        <w:t>本理财计划适合</w:t>
      </w:r>
      <w:r>
        <w:rPr>
          <w:rFonts w:hint="eastAsia" w:ascii="宋体" w:hAnsi="宋体" w:eastAsia="宋体" w:cs="宋体"/>
          <w:b/>
          <w:color w:val="auto"/>
          <w:kern w:val="2"/>
          <w:sz w:val="24"/>
          <w:szCs w:val="24"/>
          <w:highlight w:val="none"/>
          <w:lang w:val="en-US" w:eastAsia="zh-CN" w:bidi="ar-SA"/>
        </w:rPr>
        <w:t>〖机构投资者〗以及〖稳健型、平衡型、成长型、进取型〗的个人投资者</w:t>
      </w:r>
      <w:r>
        <w:rPr>
          <w:rFonts w:hint="eastAsia" w:ascii="宋体" w:hAnsi="宋体" w:cs="宋体"/>
          <w:b/>
          <w:color w:val="auto"/>
          <w:sz w:val="24"/>
          <w:highlight w:val="none"/>
          <w:lang w:eastAsia="zh-CN"/>
        </w:rPr>
        <w:t>。</w:t>
      </w:r>
      <w:r>
        <w:rPr>
          <w:rFonts w:hint="eastAsia" w:ascii="宋体" w:hAnsi="宋体" w:cs="宋体"/>
          <w:b w:val="0"/>
          <w:bCs/>
          <w:color w:val="auto"/>
          <w:sz w:val="24"/>
          <w:highlight w:val="none"/>
          <w:lang w:val="en-US" w:eastAsia="zh-CN"/>
        </w:rPr>
        <w:t>本理财计划投资者适当性评估由销售机构负责，销售机构</w:t>
      </w:r>
      <w:r>
        <w:rPr>
          <w:rFonts w:hint="eastAsia" w:ascii="宋体" w:hAnsi="宋体" w:cs="宋体"/>
          <w:bCs/>
          <w:color w:val="auto"/>
          <w:sz w:val="24"/>
          <w:highlight w:val="none"/>
        </w:rPr>
        <w:t>应确保个人投资者的风险承受能力不低于本理财计划风险评级。</w:t>
      </w:r>
      <w:r>
        <w:rPr>
          <w:rFonts w:hint="eastAsia" w:ascii="宋体" w:hAnsi="宋体" w:cs="宋体"/>
          <w:bCs/>
          <w:color w:val="auto"/>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color w:val="auto"/>
          <w:sz w:val="24"/>
          <w:highlight w:val="none"/>
        </w:rPr>
      </w:pPr>
    </w:p>
    <w:p>
      <w:pPr>
        <w:spacing w:line="360" w:lineRule="auto"/>
        <w:ind w:firstLine="480" w:firstLineChars="200"/>
        <w:jc w:val="left"/>
        <w:rPr>
          <w:rFonts w:hint="eastAsia" w:ascii="宋体" w:hAnsi="宋体" w:cs="宋体"/>
          <w:bCs/>
          <w:color w:val="auto"/>
          <w:sz w:val="24"/>
          <w:highlight w:val="none"/>
        </w:rPr>
      </w:pPr>
      <w:r>
        <w:rPr>
          <w:rFonts w:hint="eastAsia" w:ascii="宋体" w:hAnsi="宋体" w:cs="宋体"/>
          <w:bCs/>
          <w:color w:val="auto"/>
          <w:sz w:val="24"/>
          <w:highlight w:val="none"/>
        </w:rPr>
        <w:t>特别提示：杭银理财有限责任公司作为本</w:t>
      </w:r>
      <w:r>
        <w:rPr>
          <w:rFonts w:hint="eastAsia" w:ascii="宋体" w:hAnsi="宋体" w:cs="宋体"/>
          <w:bCs/>
          <w:color w:val="auto"/>
          <w:sz w:val="24"/>
          <w:highlight w:val="none"/>
          <w:lang w:eastAsia="zh-CN"/>
        </w:rPr>
        <w:t>理财计划</w:t>
      </w:r>
      <w:r>
        <w:rPr>
          <w:rFonts w:hint="eastAsia" w:ascii="宋体" w:hAnsi="宋体" w:cs="宋体"/>
          <w:bCs/>
          <w:color w:val="auto"/>
          <w:sz w:val="24"/>
          <w:highlight w:val="none"/>
        </w:rPr>
        <w:t>管理人</w:t>
      </w:r>
      <w:r>
        <w:rPr>
          <w:rFonts w:hint="eastAsia" w:ascii="宋体" w:hAnsi="宋体" w:cs="宋体"/>
          <w:bCs/>
          <w:color w:val="auto"/>
          <w:sz w:val="24"/>
          <w:szCs w:val="24"/>
          <w:highlight w:val="none"/>
        </w:rPr>
        <w:t>有权按照</w:t>
      </w:r>
      <w:r>
        <w:rPr>
          <w:rFonts w:hint="eastAsia" w:ascii="宋体" w:hAnsi="宋体" w:cs="宋体"/>
          <w:bCs/>
          <w:color w:val="auto"/>
          <w:sz w:val="24"/>
          <w:highlight w:val="none"/>
        </w:rPr>
        <w:t>国内外反洗钱相关适用的</w:t>
      </w:r>
      <w:r>
        <w:rPr>
          <w:rFonts w:hint="eastAsia" w:ascii="宋体" w:hAnsi="宋体" w:cs="宋体"/>
          <w:bCs/>
          <w:color w:val="auto"/>
          <w:sz w:val="24"/>
          <w:szCs w:val="24"/>
          <w:highlight w:val="none"/>
        </w:rPr>
        <w:t>法律法规和监管要求，从</w:t>
      </w:r>
      <w:r>
        <w:rPr>
          <w:rFonts w:hint="eastAsia" w:ascii="宋体" w:hAnsi="宋体" w:cs="宋体"/>
          <w:bCs/>
          <w:color w:val="auto"/>
          <w:sz w:val="24"/>
          <w:szCs w:val="24"/>
          <w:highlight w:val="none"/>
          <w:lang w:eastAsia="zh-CN"/>
        </w:rPr>
        <w:t>销售机构</w:t>
      </w:r>
      <w:r>
        <w:rPr>
          <w:rFonts w:hint="eastAsia" w:ascii="宋体" w:hAnsi="宋体" w:cs="宋体"/>
          <w:bCs/>
          <w:color w:val="auto"/>
          <w:sz w:val="24"/>
          <w:szCs w:val="24"/>
          <w:highlight w:val="none"/>
        </w:rPr>
        <w:t>获</w:t>
      </w:r>
      <w:r>
        <w:rPr>
          <w:rFonts w:hint="eastAsia" w:ascii="宋体" w:hAnsi="宋体" w:cs="宋体"/>
          <w:bCs/>
          <w:color w:val="auto"/>
          <w:sz w:val="24"/>
          <w:highlight w:val="none"/>
        </w:rPr>
        <w:t>得相应必要的</w:t>
      </w:r>
      <w:r>
        <w:rPr>
          <w:rFonts w:hint="eastAsia" w:ascii="宋体" w:hAnsi="宋体" w:cs="宋体"/>
          <w:bCs/>
          <w:color w:val="auto"/>
          <w:sz w:val="24"/>
          <w:szCs w:val="24"/>
          <w:highlight w:val="none"/>
        </w:rPr>
        <w:t>投资者身份信息并报送投资者身份信息及其持有理财产品信息。</w:t>
      </w:r>
      <w:r>
        <w:rPr>
          <w:rFonts w:hint="eastAsia" w:ascii="宋体" w:hAnsi="宋体" w:cs="宋体"/>
          <w:bCs/>
          <w:color w:val="auto"/>
          <w:sz w:val="24"/>
          <w:szCs w:val="24"/>
          <w:highlight w:val="none"/>
          <w:lang w:eastAsia="zh-CN"/>
        </w:rPr>
        <w:t>销售机构</w:t>
      </w:r>
      <w:r>
        <w:rPr>
          <w:rFonts w:hint="eastAsia" w:ascii="宋体" w:hAnsi="宋体" w:cs="宋体"/>
          <w:bCs/>
          <w:color w:val="auto"/>
          <w:sz w:val="24"/>
          <w:highlight w:val="none"/>
        </w:rPr>
        <w:t>将</w:t>
      </w:r>
      <w:r>
        <w:rPr>
          <w:rFonts w:hint="eastAsia" w:ascii="宋体" w:hAnsi="宋体" w:cs="宋体"/>
          <w:bCs/>
          <w:color w:val="auto"/>
          <w:sz w:val="24"/>
          <w:szCs w:val="24"/>
          <w:highlight w:val="none"/>
        </w:rPr>
        <w:t>在</w:t>
      </w:r>
      <w:r>
        <w:rPr>
          <w:rFonts w:hint="eastAsia" w:ascii="宋体" w:hAnsi="宋体" w:cs="宋体"/>
          <w:bCs/>
          <w:color w:val="auto"/>
          <w:sz w:val="24"/>
          <w:highlight w:val="none"/>
        </w:rPr>
        <w:t>合法、合理且必要时向管理人</w:t>
      </w:r>
      <w:r>
        <w:rPr>
          <w:rFonts w:hint="eastAsia" w:ascii="宋体" w:hAnsi="宋体" w:cs="宋体"/>
          <w:bCs/>
          <w:color w:val="auto"/>
          <w:sz w:val="24"/>
          <w:szCs w:val="24"/>
          <w:highlight w:val="none"/>
        </w:rPr>
        <w:t>提供投资</w:t>
      </w:r>
      <w:r>
        <w:rPr>
          <w:rFonts w:hint="eastAsia" w:ascii="宋体" w:hAnsi="宋体" w:cs="宋体"/>
          <w:bCs/>
          <w:color w:val="auto"/>
          <w:sz w:val="24"/>
          <w:highlight w:val="none"/>
        </w:rPr>
        <w:t>者身份识别</w:t>
      </w:r>
      <w:r>
        <w:rPr>
          <w:rFonts w:hint="eastAsia" w:ascii="宋体" w:hAnsi="宋体" w:cs="宋体"/>
          <w:bCs/>
          <w:color w:val="auto"/>
          <w:sz w:val="24"/>
          <w:szCs w:val="24"/>
          <w:highlight w:val="none"/>
        </w:rPr>
        <w:t>信息（投资者身份</w:t>
      </w:r>
      <w:r>
        <w:rPr>
          <w:rFonts w:hint="eastAsia" w:ascii="宋体" w:hAnsi="宋体" w:cs="宋体"/>
          <w:bCs/>
          <w:color w:val="auto"/>
          <w:sz w:val="24"/>
          <w:highlight w:val="none"/>
        </w:rPr>
        <w:t>识别</w:t>
      </w:r>
      <w:r>
        <w:rPr>
          <w:rFonts w:hint="eastAsia" w:ascii="宋体" w:hAnsi="宋体" w:cs="宋体"/>
          <w:bCs/>
          <w:color w:val="auto"/>
          <w:sz w:val="24"/>
          <w:szCs w:val="24"/>
          <w:highlight w:val="none"/>
        </w:rPr>
        <w:t>信息包括</w:t>
      </w:r>
      <w:r>
        <w:rPr>
          <w:rFonts w:hint="eastAsia" w:ascii="宋体" w:hAnsi="宋体" w:cs="宋体"/>
          <w:bCs/>
          <w:color w:val="auto"/>
          <w:sz w:val="24"/>
          <w:highlight w:val="none"/>
        </w:rPr>
        <w:t>但不限于</w:t>
      </w:r>
      <w:r>
        <w:rPr>
          <w:rFonts w:hint="eastAsia" w:ascii="宋体" w:hAnsi="宋体" w:cs="宋体"/>
          <w:bCs/>
          <w:color w:val="auto"/>
          <w:sz w:val="24"/>
          <w:szCs w:val="24"/>
          <w:highlight w:val="none"/>
        </w:rPr>
        <w:t>：投资者的姓名、性别、国籍、职业、住所地或者工作单位地址、</w:t>
      </w:r>
      <w:r>
        <w:rPr>
          <w:rFonts w:hint="eastAsia" w:ascii="宋体" w:hAnsi="宋体" w:cs="宋体"/>
          <w:bCs/>
          <w:color w:val="auto"/>
          <w:sz w:val="24"/>
          <w:highlight w:val="none"/>
        </w:rPr>
        <w:t>常居地地址、</w:t>
      </w:r>
      <w:r>
        <w:rPr>
          <w:rFonts w:hint="eastAsia" w:ascii="宋体" w:hAnsi="宋体" w:cs="宋体"/>
          <w:bCs/>
          <w:color w:val="auto"/>
          <w:sz w:val="24"/>
          <w:szCs w:val="24"/>
          <w:highlight w:val="none"/>
        </w:rPr>
        <w:t>联系方式、身份证明文件的种类、号码和有效期限</w:t>
      </w:r>
      <w:r>
        <w:rPr>
          <w:rFonts w:hint="eastAsia" w:ascii="宋体" w:hAnsi="宋体" w:cs="宋体"/>
          <w:bCs/>
          <w:color w:val="auto"/>
          <w:sz w:val="24"/>
          <w:highlight w:val="none"/>
        </w:rPr>
        <w:t>、代理人信息、受益所有人信息</w:t>
      </w:r>
      <w:r>
        <w:rPr>
          <w:rFonts w:hint="eastAsia" w:ascii="宋体" w:hAnsi="宋体" w:cs="宋体"/>
          <w:bCs/>
          <w:color w:val="auto"/>
          <w:sz w:val="24"/>
          <w:szCs w:val="24"/>
          <w:highlight w:val="none"/>
        </w:rPr>
        <w:t>），以及</w:t>
      </w:r>
      <w:r>
        <w:rPr>
          <w:rFonts w:hint="eastAsia" w:ascii="宋体" w:hAnsi="宋体" w:cs="宋体"/>
          <w:bCs/>
          <w:color w:val="auto"/>
          <w:sz w:val="24"/>
          <w:highlight w:val="none"/>
        </w:rPr>
        <w:t>在合法、合理且必要时进一步提供</w:t>
      </w:r>
      <w:r>
        <w:rPr>
          <w:rFonts w:hint="eastAsia" w:ascii="宋体" w:hAnsi="宋体" w:cs="宋体"/>
          <w:bCs/>
          <w:color w:val="auto"/>
          <w:sz w:val="24"/>
          <w:szCs w:val="24"/>
          <w:highlight w:val="none"/>
        </w:rPr>
        <w:t>身份证明文件的复印件和影印件</w:t>
      </w:r>
      <w:r>
        <w:rPr>
          <w:rFonts w:hint="eastAsia" w:ascii="宋体" w:hAnsi="宋体" w:cs="宋体"/>
          <w:bCs/>
          <w:color w:val="auto"/>
          <w:sz w:val="24"/>
          <w:highlight w:val="none"/>
        </w:rPr>
        <w:t>以及其他必要信息</w:t>
      </w:r>
      <w:r>
        <w:rPr>
          <w:rFonts w:hint="eastAsia" w:ascii="宋体" w:hAnsi="宋体" w:cs="宋体"/>
          <w:bCs/>
          <w:color w:val="auto"/>
          <w:sz w:val="24"/>
          <w:szCs w:val="24"/>
          <w:highlight w:val="none"/>
        </w:rPr>
        <w:t>。投资者签署</w:t>
      </w:r>
      <w:r>
        <w:rPr>
          <w:rFonts w:hint="eastAsia" w:ascii="宋体" w:hAnsi="宋体" w:cs="宋体"/>
          <w:bCs/>
          <w:color w:val="auto"/>
          <w:sz w:val="24"/>
          <w:highlight w:val="none"/>
        </w:rPr>
        <w:t>后</w:t>
      </w:r>
      <w:r>
        <w:rPr>
          <w:rFonts w:hint="eastAsia" w:ascii="宋体" w:hAnsi="宋体" w:cs="宋体"/>
          <w:bCs/>
          <w:color w:val="auto"/>
          <w:sz w:val="24"/>
          <w:szCs w:val="24"/>
          <w:highlight w:val="none"/>
        </w:rPr>
        <w:t>即表示同意并配合提供前述信</w:t>
      </w:r>
      <w:r>
        <w:rPr>
          <w:rFonts w:hint="eastAsia" w:ascii="宋体" w:hAnsi="宋体" w:cs="宋体"/>
          <w:bCs/>
          <w:color w:val="auto"/>
          <w:sz w:val="24"/>
          <w:highlight w:val="none"/>
        </w:rPr>
        <w:t>息。</w:t>
      </w:r>
    </w:p>
    <w:p>
      <w:pPr>
        <w:spacing w:line="360" w:lineRule="auto"/>
        <w:ind w:firstLine="480" w:firstLineChars="200"/>
        <w:jc w:val="left"/>
        <w:rPr>
          <w:rFonts w:hint="eastAsia" w:ascii="宋体" w:hAnsi="宋体" w:cs="宋体"/>
          <w:bCs/>
          <w:color w:val="auto"/>
          <w:sz w:val="24"/>
          <w:highlight w:val="none"/>
        </w:rPr>
      </w:pPr>
    </w:p>
    <w:p>
      <w:pPr>
        <w:spacing w:line="360" w:lineRule="auto"/>
        <w:ind w:firstLine="480" w:firstLineChars="200"/>
        <w:jc w:val="left"/>
        <w:rPr>
          <w:rFonts w:hint="eastAsia" w:ascii="宋体" w:hAnsi="宋体" w:cs="宋体"/>
          <w:bCs/>
          <w:color w:val="auto"/>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color w:val="auto"/>
          <w:sz w:val="24"/>
          <w:highlight w:val="none"/>
        </w:rPr>
        <w:t>风险提示方：杭银理财有限责任公司</w:t>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color w:val="auto"/>
          <w:kern w:val="0"/>
          <w:sz w:val="24"/>
          <w:highlight w:val="none"/>
        </w:rPr>
      </w:pPr>
    </w:p>
    <w:p>
      <w:pPr>
        <w:spacing w:line="360" w:lineRule="auto"/>
        <w:rPr>
          <w:rFonts w:hint="eastAsia" w:ascii="宋体" w:hAnsi="宋体" w:cs="宋体"/>
          <w:color w:val="auto"/>
          <w:kern w:val="0"/>
          <w:sz w:val="24"/>
          <w:highlight w:val="none"/>
        </w:rPr>
      </w:pPr>
      <w:r>
        <w:rPr>
          <w:rFonts w:hint="eastAsia" w:ascii="宋体" w:hAnsi="宋体" w:cs="宋体"/>
          <w:color w:val="auto"/>
          <w:kern w:val="0"/>
          <w:sz w:val="24"/>
          <w:highlight w:val="none"/>
        </w:rPr>
        <w:t>确认人（签字）：</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 xml:space="preserve">           日期：</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年</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月</w:t>
      </w:r>
      <w:r>
        <w:rPr>
          <w:rFonts w:hint="eastAsia" w:ascii="宋体" w:hAnsi="宋体" w:cs="宋体"/>
          <w:color w:val="auto"/>
          <w:kern w:val="0"/>
          <w:sz w:val="24"/>
          <w:highlight w:val="none"/>
          <w:u w:val="single"/>
        </w:rPr>
        <w:t xml:space="preserve">    </w:t>
      </w:r>
      <w:r>
        <w:rPr>
          <w:rFonts w:hint="eastAsia" w:ascii="宋体" w:hAnsi="宋体" w:cs="宋体"/>
          <w:color w:val="auto"/>
          <w:kern w:val="0"/>
          <w:sz w:val="24"/>
          <w:highlight w:val="none"/>
        </w:rPr>
        <w:t>日</w:t>
      </w:r>
    </w:p>
    <w:p>
      <w:pPr>
        <w:snapToGrid w:val="0"/>
        <w:rPr>
          <w:rFonts w:hint="eastAsia" w:ascii="宋体" w:hAnsi="宋体"/>
          <w:color w:val="auto"/>
          <w:kern w:val="0"/>
          <w:szCs w:val="21"/>
          <w:highlight w:val="none"/>
          <w:u w:val="single"/>
        </w:rPr>
      </w:pPr>
    </w:p>
    <w:p>
      <w:pPr>
        <w:autoSpaceDE w:val="0"/>
        <w:autoSpaceDN w:val="0"/>
        <w:adjustRightInd w:val="0"/>
        <w:spacing w:line="420" w:lineRule="exact"/>
        <w:jc w:val="center"/>
        <w:rPr>
          <w:rFonts w:hint="eastAsia" w:ascii="宋体" w:hAnsi="宋体"/>
          <w:b/>
          <w:color w:val="auto"/>
          <w:kern w:val="0"/>
          <w:szCs w:val="21"/>
          <w:highlight w:val="none"/>
        </w:rPr>
      </w:pPr>
    </w:p>
    <w:p>
      <w:pPr>
        <w:autoSpaceDE w:val="0"/>
        <w:autoSpaceDN w:val="0"/>
        <w:adjustRightInd w:val="0"/>
        <w:spacing w:line="360" w:lineRule="auto"/>
        <w:jc w:val="center"/>
        <w:rPr>
          <w:rFonts w:hint="eastAsia" w:ascii="宋体" w:hAnsi="宋体"/>
          <w:b/>
          <w:color w:val="auto"/>
          <w:kern w:val="0"/>
          <w:szCs w:val="21"/>
          <w:highlight w:val="none"/>
        </w:rPr>
      </w:pPr>
    </w:p>
    <w:p>
      <w:pPr>
        <w:autoSpaceDE w:val="0"/>
        <w:autoSpaceDN w:val="0"/>
        <w:adjustRightInd w:val="0"/>
        <w:spacing w:line="360" w:lineRule="auto"/>
        <w:jc w:val="center"/>
        <w:rPr>
          <w:rFonts w:hint="eastAsia" w:ascii="宋体" w:hAnsi="宋体"/>
          <w:b/>
          <w:color w:val="auto"/>
          <w:kern w:val="0"/>
          <w:szCs w:val="21"/>
          <w:highlight w:val="none"/>
        </w:rPr>
      </w:pPr>
    </w:p>
    <w:p>
      <w:pPr>
        <w:autoSpaceDE w:val="0"/>
        <w:autoSpaceDN w:val="0"/>
        <w:adjustRightInd w:val="0"/>
        <w:spacing w:line="360" w:lineRule="auto"/>
        <w:jc w:val="center"/>
        <w:rPr>
          <w:rFonts w:hint="eastAsia" w:ascii="宋体" w:hAnsi="宋体"/>
          <w:b/>
          <w:color w:val="auto"/>
          <w:kern w:val="0"/>
          <w:szCs w:val="21"/>
          <w:highlight w:val="none"/>
        </w:rPr>
      </w:pP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auto"/>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color w:val="auto"/>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color w:val="auto"/>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color w:val="auto"/>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auto"/>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M6pebnPAAAABQEAAA8AAAAAAAAAAQAg&#10;AAAAIgAAAGRycy9kb3ducmV2LnhtbFBLAQIUABQAAAAIAIdO4kDgdDgMpQEAAD8DAAAOAAAAAAAA&#10;AAEAIAAAAB4BAABkcnMvZTJvRG9jLnhtbFBLBQYAAAAABgAGAFkBAAA1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FEDAA435"/>
    <w:multiLevelType w:val="multilevel"/>
    <w:tmpl w:val="FEDAA435"/>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drawingGridHorizontalSpacing w:val="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12C3821"/>
    <w:rsid w:val="0159200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D0817CE"/>
    <w:rsid w:val="1E635082"/>
    <w:rsid w:val="1F0F7AA5"/>
    <w:rsid w:val="1F962D64"/>
    <w:rsid w:val="1FED382C"/>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77FA01"/>
    <w:rsid w:val="29E223F6"/>
    <w:rsid w:val="2A7A79DE"/>
    <w:rsid w:val="2B5C1F0C"/>
    <w:rsid w:val="2BD054E2"/>
    <w:rsid w:val="2D3FA85E"/>
    <w:rsid w:val="2E16D822"/>
    <w:rsid w:val="2EAD6691"/>
    <w:rsid w:val="2F0D25D9"/>
    <w:rsid w:val="3086176D"/>
    <w:rsid w:val="31124CF4"/>
    <w:rsid w:val="31A3269E"/>
    <w:rsid w:val="322D08A3"/>
    <w:rsid w:val="32626F15"/>
    <w:rsid w:val="329E36D6"/>
    <w:rsid w:val="34105616"/>
    <w:rsid w:val="3486580A"/>
    <w:rsid w:val="34A35A92"/>
    <w:rsid w:val="34A453A9"/>
    <w:rsid w:val="34EC3C25"/>
    <w:rsid w:val="351A5D92"/>
    <w:rsid w:val="35AA025C"/>
    <w:rsid w:val="35CA7D73"/>
    <w:rsid w:val="377307FA"/>
    <w:rsid w:val="37F449A0"/>
    <w:rsid w:val="3885007C"/>
    <w:rsid w:val="3B1C12F3"/>
    <w:rsid w:val="3BD53B5C"/>
    <w:rsid w:val="3CC57F13"/>
    <w:rsid w:val="3D4C282D"/>
    <w:rsid w:val="3D970F4E"/>
    <w:rsid w:val="3DE106C6"/>
    <w:rsid w:val="3E540971"/>
    <w:rsid w:val="3E786275"/>
    <w:rsid w:val="3E931F0D"/>
    <w:rsid w:val="3EEF0E4F"/>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3D3AEA"/>
    <w:rsid w:val="4745701D"/>
    <w:rsid w:val="47AC6180"/>
    <w:rsid w:val="48BF1281"/>
    <w:rsid w:val="4B2F6DF6"/>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BFA8688"/>
    <w:rsid w:val="5C664A4B"/>
    <w:rsid w:val="5CE67D31"/>
    <w:rsid w:val="5E5F4050"/>
    <w:rsid w:val="5F04726A"/>
    <w:rsid w:val="5F6D37D2"/>
    <w:rsid w:val="5F9C081D"/>
    <w:rsid w:val="5FAE36BE"/>
    <w:rsid w:val="606677EA"/>
    <w:rsid w:val="60F34C3C"/>
    <w:rsid w:val="617668BD"/>
    <w:rsid w:val="61D01645"/>
    <w:rsid w:val="63723353"/>
    <w:rsid w:val="64164D78"/>
    <w:rsid w:val="64993141"/>
    <w:rsid w:val="659F27EB"/>
    <w:rsid w:val="659F600E"/>
    <w:rsid w:val="65ED28A3"/>
    <w:rsid w:val="66E459E8"/>
    <w:rsid w:val="67CE6661"/>
    <w:rsid w:val="680A5A06"/>
    <w:rsid w:val="68B9403E"/>
    <w:rsid w:val="68D511B9"/>
    <w:rsid w:val="68FA6041"/>
    <w:rsid w:val="69827CEE"/>
    <w:rsid w:val="699E5049"/>
    <w:rsid w:val="6BDE71F2"/>
    <w:rsid w:val="6C9577EB"/>
    <w:rsid w:val="6CBA3A99"/>
    <w:rsid w:val="6D3A1203"/>
    <w:rsid w:val="6D7F6733"/>
    <w:rsid w:val="6E9C369D"/>
    <w:rsid w:val="6EF41B11"/>
    <w:rsid w:val="6FAB028B"/>
    <w:rsid w:val="6FB17196"/>
    <w:rsid w:val="702573F3"/>
    <w:rsid w:val="706E8E93"/>
    <w:rsid w:val="70B57531"/>
    <w:rsid w:val="70FA499F"/>
    <w:rsid w:val="730C182D"/>
    <w:rsid w:val="73FC9A3F"/>
    <w:rsid w:val="751974A1"/>
    <w:rsid w:val="758B30E4"/>
    <w:rsid w:val="75F42331"/>
    <w:rsid w:val="761F7C3C"/>
    <w:rsid w:val="76683D2A"/>
    <w:rsid w:val="76C62D9E"/>
    <w:rsid w:val="779F8057"/>
    <w:rsid w:val="77BF7507"/>
    <w:rsid w:val="78244617"/>
    <w:rsid w:val="7A0BDE84"/>
    <w:rsid w:val="7A923507"/>
    <w:rsid w:val="7ACB640D"/>
    <w:rsid w:val="7BFF1A29"/>
    <w:rsid w:val="7C044D89"/>
    <w:rsid w:val="7C63442B"/>
    <w:rsid w:val="7C704D3F"/>
    <w:rsid w:val="7C7C3745"/>
    <w:rsid w:val="7D3AA22F"/>
    <w:rsid w:val="7D56646C"/>
    <w:rsid w:val="7D9B44EF"/>
    <w:rsid w:val="7DBB84CA"/>
    <w:rsid w:val="7DE35ECA"/>
    <w:rsid w:val="7DEFCC9B"/>
    <w:rsid w:val="7E1A0C5A"/>
    <w:rsid w:val="7E3212D3"/>
    <w:rsid w:val="7E3B83F0"/>
    <w:rsid w:val="7EEF5777"/>
    <w:rsid w:val="7F365A97"/>
    <w:rsid w:val="7F5F887D"/>
    <w:rsid w:val="7FA95972"/>
    <w:rsid w:val="7FAF35E2"/>
    <w:rsid w:val="7FAF3BBC"/>
    <w:rsid w:val="7FCC7D05"/>
    <w:rsid w:val="7FEF42B8"/>
    <w:rsid w:val="7FFF0B3B"/>
    <w:rsid w:val="8FDF62B9"/>
    <w:rsid w:val="96BDDFD1"/>
    <w:rsid w:val="9FD01BC3"/>
    <w:rsid w:val="AF77296E"/>
    <w:rsid w:val="AFDF70B9"/>
    <w:rsid w:val="B3FE25BF"/>
    <w:rsid w:val="B7BFE81B"/>
    <w:rsid w:val="BDF8743E"/>
    <w:rsid w:val="BE6E0F8F"/>
    <w:rsid w:val="BED5C19F"/>
    <w:rsid w:val="BFD7DA14"/>
    <w:rsid w:val="C38B20D8"/>
    <w:rsid w:val="C679D4D5"/>
    <w:rsid w:val="CA7F3105"/>
    <w:rsid w:val="D3FFF2E3"/>
    <w:rsid w:val="D4B948F0"/>
    <w:rsid w:val="D4F43AA8"/>
    <w:rsid w:val="D7BE90C3"/>
    <w:rsid w:val="D8BF47B9"/>
    <w:rsid w:val="DB7AB19E"/>
    <w:rsid w:val="DDFE51CF"/>
    <w:rsid w:val="DF7FBDD5"/>
    <w:rsid w:val="DFBFEE2A"/>
    <w:rsid w:val="E36AC743"/>
    <w:rsid w:val="E97E32AA"/>
    <w:rsid w:val="EADF5A3D"/>
    <w:rsid w:val="EFFE02DC"/>
    <w:rsid w:val="F3AFB096"/>
    <w:rsid w:val="F3C7F184"/>
    <w:rsid w:val="F3F331A4"/>
    <w:rsid w:val="F3FE7E0E"/>
    <w:rsid w:val="F3FF81F7"/>
    <w:rsid w:val="F7FE62B6"/>
    <w:rsid w:val="FA543BA3"/>
    <w:rsid w:val="FB3B5DB3"/>
    <w:rsid w:val="FCFD0BD5"/>
    <w:rsid w:val="FD7F9463"/>
    <w:rsid w:val="FD9DAB08"/>
    <w:rsid w:val="FDFC361F"/>
    <w:rsid w:val="FDFD5128"/>
    <w:rsid w:val="FE8FD80F"/>
    <w:rsid w:val="FEAED78B"/>
    <w:rsid w:val="FF4BD653"/>
    <w:rsid w:val="FF6C6882"/>
    <w:rsid w:val="FFAB45F8"/>
    <w:rsid w:val="FFFEC613"/>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qFormat/>
    <w:uiPriority w:val="99"/>
    <w:tblPr>
      <w:tblLayout w:type="fixed"/>
      <w:tblCellMar>
        <w:top w:w="0" w:type="dxa"/>
        <w:left w:w="108" w:type="dxa"/>
        <w:bottom w:w="0" w:type="dxa"/>
        <w:right w:w="108" w:type="dxa"/>
      </w:tblCellMar>
    </w:tblPr>
  </w:style>
  <w:style w:type="paragraph" w:styleId="5">
    <w:name w:val="annotation text"/>
    <w:basedOn w:val="1"/>
    <w:link w:val="21"/>
    <w:qFormat/>
    <w:uiPriority w:val="0"/>
    <w:pPr>
      <w:jc w:val="left"/>
    </w:pPr>
  </w:style>
  <w:style w:type="paragraph" w:styleId="6">
    <w:name w:val="Balloon Text"/>
    <w:basedOn w:val="1"/>
    <w:link w:val="23"/>
    <w:qFormat/>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61</Pages>
  <Words>39493</Words>
  <Characters>42309</Characters>
  <Lines>1</Lines>
  <Paragraphs>1</Paragraphs>
  <TotalTime>0</TotalTime>
  <ScaleCrop>false</ScaleCrop>
  <LinksUpToDate>false</LinksUpToDate>
  <CharactersWithSpaces>42698</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2014-11-07T12:08:00Z</dcterms:created>
  <dc:creator>Administrator</dc:creator>
  <cp:lastModifiedBy>hccb</cp:lastModifiedBy>
  <dcterms:modified xsi:type="dcterms:W3CDTF">2026-05-28T08:26:54Z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4AAD87F27A22209FE4AAFE6951E7BCFE_43</vt:lpwstr>
  </property>
  <property fmtid="{D5CDD505-2E9C-101B-9397-08002B2CF9AE}" pid="3" name="KSOProductBuildVer">
    <vt:lpwstr>2052-11.8.2.8411</vt:lpwstr>
  </property>
</Properties>
</file>