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color w:val="auto"/>
          <w:sz w:val="44"/>
          <w:szCs w:val="44"/>
          <w:highlight w:val="none"/>
        </w:rPr>
      </w:pPr>
      <w:bookmarkStart w:id="0" w:name="_GoBack"/>
      <w:bookmarkEnd w:id="0"/>
      <w:r>
        <w:rPr>
          <w:rFonts w:hint="eastAsia" w:ascii="宋体" w:hAnsi="宋体" w:eastAsia="宋体" w:cs="宋体"/>
          <w:b/>
          <w:bCs/>
          <w:color w:val="auto"/>
          <w:kern w:val="2"/>
          <w:sz w:val="44"/>
          <w:szCs w:val="44"/>
          <w:highlight w:val="none"/>
          <w:lang w:val="en-US" w:eastAsia="zh-CN" w:bidi="ar-SA"/>
        </w:rPr>
        <w:t>幸福99益合·添益（年年红）1年定开型2518期理财</w:t>
      </w:r>
      <w:r>
        <w:rPr>
          <w:rFonts w:hint="eastAsia" w:ascii="宋体" w:hAnsi="宋体" w:cs="宋体"/>
          <w:b/>
          <w:bCs/>
          <w:color w:val="auto"/>
          <w:sz w:val="44"/>
          <w:szCs w:val="44"/>
          <w:highlight w:val="none"/>
        </w:rPr>
        <w:t>产品说明书</w:t>
      </w:r>
    </w:p>
    <w:p>
      <w:pPr>
        <w:jc w:val="center"/>
        <w:outlineLvl w:val="1"/>
        <w:rPr>
          <w:rFonts w:hint="eastAsia" w:ascii="宋体" w:hAnsi="宋体" w:cs="宋体"/>
          <w:b/>
          <w:bCs/>
          <w:color w:val="auto"/>
          <w:sz w:val="44"/>
          <w:szCs w:val="44"/>
          <w:highlight w:val="none"/>
        </w:rPr>
      </w:pPr>
      <w:r>
        <w:rPr>
          <w:rFonts w:hint="eastAsia" w:ascii="宋体" w:hAnsi="宋体" w:cs="宋体"/>
          <w:color w:val="auto"/>
          <w:sz w:val="28"/>
          <w:szCs w:val="28"/>
          <w:highlight w:val="none"/>
        </w:rPr>
        <w:t>（</w:t>
      </w:r>
      <w:r>
        <w:rPr>
          <w:rFonts w:hint="eastAsia" w:ascii="宋体" w:hAnsi="宋体" w:cs="宋体"/>
          <w:color w:val="auto"/>
          <w:sz w:val="28"/>
          <w:szCs w:val="28"/>
          <w:highlight w:val="none"/>
          <w:lang w:eastAsia="zh-CN"/>
        </w:rPr>
        <w:t>202502</w:t>
      </w:r>
      <w:r>
        <w:rPr>
          <w:rFonts w:hint="eastAsia" w:ascii="宋体" w:hAnsi="宋体" w:cs="宋体"/>
          <w:color w:val="auto"/>
          <w:sz w:val="28"/>
          <w:szCs w:val="28"/>
          <w:highlight w:val="none"/>
        </w:rPr>
        <w:t>版）</w:t>
      </w:r>
    </w:p>
    <w:p>
      <w:pPr>
        <w:spacing w:line="360" w:lineRule="auto"/>
        <w:jc w:val="right"/>
        <w:rPr>
          <w:rFonts w:hint="eastAsia" w:ascii="宋体" w:hAnsi="宋体" w:cs="宋体"/>
          <w:bCs/>
          <w:color w:val="auto"/>
          <w:sz w:val="24"/>
          <w:highlight w:val="none"/>
        </w:rPr>
      </w:pPr>
      <w:r>
        <w:rPr>
          <w:rFonts w:hint="eastAsia" w:ascii="宋体" w:hAnsi="宋体" w:cs="宋体"/>
          <w:color w:val="auto"/>
          <w:sz w:val="24"/>
          <w:highlight w:val="none"/>
        </w:rPr>
        <w:t>备案编号:</w:t>
      </w:r>
      <w:r>
        <w:rPr>
          <w:rFonts w:hint="eastAsia" w:ascii="宋体" w:hAnsi="宋体" w:cs="宋体"/>
          <w:bCs/>
          <w:color w:val="auto"/>
          <w:sz w:val="24"/>
          <w:highlight w:val="none"/>
        </w:rPr>
        <w:t>〖</w:t>
      </w:r>
      <w:r>
        <w:rPr>
          <w:rFonts w:hint="eastAsia" w:ascii="宋体" w:hAnsi="宋体" w:eastAsia="宋体" w:cs="宋体"/>
          <w:bCs/>
          <w:color w:val="auto"/>
          <w:kern w:val="2"/>
          <w:sz w:val="24"/>
          <w:szCs w:val="24"/>
          <w:highlight w:val="none"/>
          <w:lang w:val="en-US" w:eastAsia="zh-CN" w:bidi="ar-SA"/>
        </w:rPr>
        <w:t>Z7002225000147</w:t>
      </w:r>
      <w:r>
        <w:rPr>
          <w:rFonts w:hint="eastAsia" w:ascii="宋体" w:hAnsi="宋体" w:cs="宋体"/>
          <w:bCs/>
          <w:color w:val="auto"/>
          <w:sz w:val="24"/>
          <w:highlight w:val="none"/>
        </w:rPr>
        <w:t>〗</w:t>
      </w:r>
    </w:p>
    <w:p>
      <w:pPr>
        <w:spacing w:line="360" w:lineRule="auto"/>
        <w:jc w:val="center"/>
        <w:rPr>
          <w:rFonts w:hint="eastAsia" w:ascii="宋体" w:hAnsi="宋体" w:cs="宋体"/>
          <w:bCs/>
          <w:color w:val="auto"/>
          <w:sz w:val="24"/>
          <w:highlight w:val="none"/>
        </w:rPr>
      </w:pPr>
    </w:p>
    <w:p>
      <w:pPr>
        <w:numPr>
          <w:ilvl w:val="0"/>
          <w:numId w:val="1"/>
        </w:numPr>
        <w:spacing w:line="360" w:lineRule="auto"/>
        <w:ind w:firstLine="482" w:firstLineChars="200"/>
        <w:jc w:val="left"/>
        <w:outlineLvl w:val="1"/>
        <w:rPr>
          <w:rFonts w:ascii="宋体" w:hAnsi="宋体" w:cs="宋体"/>
          <w:b/>
          <w:color w:val="auto"/>
          <w:sz w:val="24"/>
          <w:highlight w:val="none"/>
        </w:rPr>
      </w:pPr>
      <w:r>
        <w:rPr>
          <w:rFonts w:hint="eastAsia" w:ascii="宋体" w:hAnsi="宋体" w:cs="宋体"/>
          <w:b/>
          <w:color w:val="auto"/>
          <w:sz w:val="24"/>
          <w:highlight w:val="none"/>
        </w:rPr>
        <w:t>重要须知</w:t>
      </w:r>
    </w:p>
    <w:p>
      <w:pPr>
        <w:numPr>
          <w:ilvl w:val="0"/>
          <w:numId w:val="2"/>
        </w:numPr>
        <w:spacing w:line="360" w:lineRule="auto"/>
        <w:ind w:firstLine="480" w:firstLineChars="200"/>
        <w:jc w:val="left"/>
        <w:outlineLvl w:val="9"/>
        <w:rPr>
          <w:rFonts w:hint="eastAsia" w:ascii="宋体" w:hAnsi="宋体" w:cs="宋体"/>
          <w:bCs/>
          <w:color w:val="auto"/>
          <w:sz w:val="24"/>
          <w:highlight w:val="none"/>
        </w:rPr>
      </w:pPr>
      <w:r>
        <w:rPr>
          <w:rFonts w:hint="eastAsia" w:ascii="宋体" w:hAnsi="宋体" w:cs="宋体"/>
          <w:bCs/>
          <w:color w:val="auto"/>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color w:val="auto"/>
          <w:sz w:val="24"/>
          <w:highlight w:val="none"/>
        </w:rPr>
      </w:pPr>
      <w:r>
        <w:rPr>
          <w:rFonts w:hint="eastAsia" w:ascii="宋体" w:hAnsi="宋体" w:cs="宋体"/>
          <w:bCs/>
          <w:color w:val="auto"/>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color w:val="auto"/>
          <w:sz w:val="24"/>
          <w:highlight w:val="none"/>
        </w:rPr>
      </w:pPr>
      <w:r>
        <w:rPr>
          <w:rFonts w:hint="eastAsia" w:ascii="宋体" w:hAnsi="宋体" w:cs="宋体"/>
          <w:bCs/>
          <w:color w:val="auto"/>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color w:val="auto"/>
          <w:sz w:val="24"/>
          <w:highlight w:val="none"/>
        </w:rPr>
      </w:pPr>
      <w:r>
        <w:rPr>
          <w:rFonts w:hint="eastAsia" w:ascii="宋体" w:hAnsi="宋体" w:cs="宋体"/>
          <w:b/>
          <w:color w:val="auto"/>
          <w:sz w:val="24"/>
          <w:highlight w:val="none"/>
        </w:rPr>
        <w:t>本理财计划是非保本净值型产品。管理人对本理财计划的本金和收益不提供保证承诺。</w:t>
      </w:r>
      <w:r>
        <w:rPr>
          <w:rFonts w:hint="eastAsia" w:ascii="宋体" w:hAnsi="宋体" w:cs="宋体"/>
          <w:bCs/>
          <w:color w:val="auto"/>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color w:val="auto"/>
          <w:sz w:val="24"/>
          <w:highlight w:val="none"/>
        </w:rPr>
      </w:pPr>
      <w:r>
        <w:rPr>
          <w:rFonts w:hint="eastAsia" w:ascii="宋体" w:hAnsi="宋体" w:cs="宋体"/>
          <w:bCs/>
          <w:color w:val="auto"/>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color w:val="auto"/>
          <w:sz w:val="24"/>
          <w:highlight w:val="none"/>
          <w:lang w:eastAsia="zh-CN"/>
        </w:rPr>
        <w:t>理财计划</w:t>
      </w:r>
      <w:r>
        <w:rPr>
          <w:rFonts w:hint="eastAsia" w:ascii="宋体" w:hAnsi="宋体" w:cs="宋体"/>
          <w:bCs/>
          <w:color w:val="auto"/>
          <w:sz w:val="24"/>
          <w:highlight w:val="none"/>
        </w:rPr>
        <w:t>风险揭示书》《投资者权益须知》《理财计划投资协议书》</w:t>
      </w:r>
      <w:r>
        <w:rPr>
          <w:rFonts w:hint="eastAsia" w:ascii="宋体" w:hAnsi="宋体" w:cs="宋体"/>
          <w:bCs/>
          <w:color w:val="auto"/>
          <w:sz w:val="24"/>
          <w:highlight w:val="none"/>
          <w:lang w:eastAsia="zh-CN"/>
        </w:rPr>
        <w:t>《理财计划销售协议书》</w:t>
      </w:r>
      <w:r>
        <w:rPr>
          <w:rFonts w:hint="eastAsia" w:ascii="宋体" w:hAnsi="宋体" w:cs="宋体"/>
          <w:bCs/>
          <w:color w:val="auto"/>
          <w:sz w:val="24"/>
          <w:highlight w:val="none"/>
        </w:rPr>
        <w:t>，将共同构成投资者与管理人之间的理财计划</w:t>
      </w:r>
      <w:r>
        <w:rPr>
          <w:rFonts w:hint="eastAsia" w:ascii="宋体" w:hAnsi="宋体" w:cs="宋体"/>
          <w:bCs/>
          <w:color w:val="auto"/>
          <w:sz w:val="24"/>
          <w:highlight w:val="none"/>
          <w:lang w:val="en-US" w:eastAsia="zh-CN"/>
        </w:rPr>
        <w:t>销售文件</w:t>
      </w:r>
      <w:r>
        <w:rPr>
          <w:rFonts w:hint="eastAsia" w:ascii="宋体" w:hAnsi="宋体" w:cs="宋体"/>
          <w:bCs/>
          <w:color w:val="auto"/>
          <w:sz w:val="24"/>
          <w:highlight w:val="none"/>
        </w:rPr>
        <w:t>。</w:t>
      </w:r>
    </w:p>
    <w:p>
      <w:pPr>
        <w:numPr>
          <w:ilvl w:val="0"/>
          <w:numId w:val="2"/>
        </w:numPr>
        <w:spacing w:line="360" w:lineRule="auto"/>
        <w:ind w:firstLine="480" w:firstLineChars="200"/>
        <w:jc w:val="left"/>
        <w:outlineLvl w:val="9"/>
        <w:rPr>
          <w:rFonts w:hint="eastAsia" w:ascii="宋体" w:hAnsi="宋体" w:cs="宋体"/>
          <w:bCs/>
          <w:color w:val="auto"/>
          <w:sz w:val="24"/>
          <w:highlight w:val="none"/>
        </w:rPr>
      </w:pPr>
      <w:r>
        <w:rPr>
          <w:rFonts w:hint="eastAsia" w:ascii="宋体" w:hAnsi="宋体" w:cs="宋体"/>
          <w:bCs/>
          <w:color w:val="auto"/>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color w:val="auto"/>
          <w:sz w:val="24"/>
          <w:highlight w:val="none"/>
        </w:rPr>
      </w:pPr>
      <w:r>
        <w:rPr>
          <w:rFonts w:hint="eastAsia" w:ascii="宋体" w:hAnsi="宋体" w:cs="宋体"/>
          <w:bCs/>
          <w:color w:val="auto"/>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color w:val="auto"/>
          <w:sz w:val="24"/>
          <w:highlight w:val="none"/>
        </w:rPr>
      </w:pPr>
      <w:r>
        <w:rPr>
          <w:rFonts w:hint="eastAsia" w:ascii="宋体" w:hAnsi="宋体" w:cs="宋体"/>
          <w:bCs/>
          <w:color w:val="auto"/>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color w:val="auto"/>
          <w:sz w:val="24"/>
          <w:highlight w:val="none"/>
        </w:rPr>
      </w:pPr>
      <w:r>
        <w:rPr>
          <w:rFonts w:hint="eastAsia" w:ascii="宋体" w:hAnsi="宋体" w:cs="宋体"/>
          <w:bCs/>
          <w:color w:val="auto"/>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color w:val="auto"/>
          <w:sz w:val="24"/>
          <w:highlight w:val="none"/>
        </w:rPr>
      </w:pPr>
      <w:r>
        <w:rPr>
          <w:rFonts w:hint="eastAsia" w:ascii="宋体" w:hAnsi="宋体" w:cs="宋体"/>
          <w:bCs/>
          <w:color w:val="auto"/>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color w:val="auto"/>
          <w:sz w:val="24"/>
          <w:highlight w:val="none"/>
        </w:rPr>
      </w:pPr>
      <w:r>
        <w:rPr>
          <w:rFonts w:hint="eastAsia" w:ascii="宋体" w:hAnsi="宋体" w:cs="宋体"/>
          <w:bCs/>
          <w:color w:val="auto"/>
          <w:sz w:val="24"/>
          <w:highlight w:val="none"/>
        </w:rPr>
        <w:t>在本理财计划存续期内，如因监管政策或法律法规发生变化，在不损害投资者利益的前提下，管理人有权对</w:t>
      </w:r>
      <w:r>
        <w:rPr>
          <w:rFonts w:hint="eastAsia" w:ascii="宋体" w:hAnsi="宋体" w:cs="宋体"/>
          <w:bCs/>
          <w:color w:val="auto"/>
          <w:sz w:val="24"/>
          <w:highlight w:val="none"/>
          <w:lang w:val="en-US" w:eastAsia="zh-CN"/>
        </w:rPr>
        <w:t>因上述变化导致的</w:t>
      </w:r>
      <w:r>
        <w:rPr>
          <w:rFonts w:hint="eastAsia" w:ascii="宋体" w:hAnsi="宋体" w:cs="宋体"/>
          <w:bCs/>
          <w:color w:val="auto"/>
          <w:sz w:val="24"/>
          <w:highlight w:val="none"/>
        </w:rPr>
        <w:t>本理财计划说明书条款</w:t>
      </w:r>
      <w:r>
        <w:rPr>
          <w:rFonts w:hint="eastAsia" w:ascii="宋体" w:hAnsi="宋体" w:cs="宋体"/>
          <w:bCs/>
          <w:color w:val="auto"/>
          <w:sz w:val="24"/>
          <w:highlight w:val="none"/>
          <w:lang w:val="en-US" w:eastAsia="zh-CN"/>
        </w:rPr>
        <w:t>变化</w:t>
      </w:r>
      <w:r>
        <w:rPr>
          <w:rFonts w:hint="eastAsia" w:ascii="宋体" w:hAnsi="宋体" w:cs="宋体"/>
          <w:bCs/>
          <w:color w:val="auto"/>
          <w:sz w:val="24"/>
          <w:highlight w:val="none"/>
        </w:rPr>
        <w:t>进行修订。</w:t>
      </w:r>
    </w:p>
    <w:p>
      <w:pPr>
        <w:numPr>
          <w:ilvl w:val="0"/>
          <w:numId w:val="2"/>
        </w:numPr>
        <w:spacing w:line="360" w:lineRule="auto"/>
        <w:ind w:firstLine="480" w:firstLineChars="200"/>
        <w:jc w:val="left"/>
        <w:outlineLvl w:val="9"/>
        <w:rPr>
          <w:rFonts w:hint="eastAsia" w:ascii="宋体" w:hAnsi="宋体" w:cs="宋体"/>
          <w:bCs/>
          <w:color w:val="auto"/>
          <w:sz w:val="24"/>
          <w:highlight w:val="none"/>
        </w:rPr>
      </w:pPr>
      <w:r>
        <w:rPr>
          <w:rFonts w:hint="eastAsia" w:ascii="宋体" w:hAnsi="宋体" w:cs="宋体"/>
          <w:bCs/>
          <w:color w:val="auto"/>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color w:val="auto"/>
          <w:sz w:val="24"/>
          <w:highlight w:val="none"/>
        </w:rPr>
      </w:pPr>
      <w:r>
        <w:rPr>
          <w:rFonts w:hint="eastAsia" w:ascii="宋体" w:hAnsi="宋体" w:cs="宋体"/>
          <w:bCs/>
          <w:color w:val="auto"/>
          <w:sz w:val="24"/>
          <w:highlight w:val="none"/>
        </w:rPr>
        <w:t>管理人有权依法对本理财计划产品说明书进行解释。</w:t>
      </w:r>
    </w:p>
    <w:p>
      <w:pPr>
        <w:numPr>
          <w:ilvl w:val="0"/>
          <w:numId w:val="0"/>
        </w:numPr>
        <w:spacing w:line="360" w:lineRule="auto"/>
        <w:jc w:val="left"/>
        <w:rPr>
          <w:rFonts w:hint="eastAsia" w:ascii="宋体" w:hAnsi="宋体" w:cs="宋体"/>
          <w:bCs/>
          <w:color w:val="auto"/>
          <w:sz w:val="24"/>
          <w:highlight w:val="none"/>
        </w:rPr>
      </w:pPr>
    </w:p>
    <w:p>
      <w:pPr>
        <w:numPr>
          <w:ilvl w:val="0"/>
          <w:numId w:val="3"/>
        </w:numPr>
        <w:spacing w:line="360" w:lineRule="auto"/>
        <w:ind w:firstLine="482" w:firstLineChars="200"/>
        <w:jc w:val="left"/>
        <w:outlineLvl w:val="1"/>
        <w:rPr>
          <w:rFonts w:ascii="宋体" w:hAnsi="宋体" w:cs="宋体"/>
          <w:b/>
          <w:color w:val="auto"/>
          <w:sz w:val="24"/>
          <w:highlight w:val="none"/>
        </w:rPr>
      </w:pPr>
      <w:r>
        <w:rPr>
          <w:rFonts w:hint="eastAsia" w:ascii="宋体" w:hAnsi="宋体" w:cs="宋体"/>
          <w:b/>
          <w:color w:val="auto"/>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color w:val="auto"/>
        </w:rPr>
        <w:fldChar w:fldCharType="begin"/>
      </w:r>
      <w:r>
        <w:rPr>
          <w:color w:val="auto"/>
        </w:rPr>
        <w:instrText xml:space="preserve"> HYPERLINK "http://www.hzbank.com.cn" </w:instrText>
      </w:r>
      <w:r>
        <w:rPr>
          <w:color w:val="auto"/>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auto"/>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color w:val="auto"/>
        </w:rPr>
        <w:fldChar w:fldCharType="begin"/>
      </w:r>
      <w:r>
        <w:rPr>
          <w:color w:val="auto"/>
        </w:rPr>
        <w:instrText xml:space="preserve"> HYPERLINK "http://www.hzbank.com.cn" </w:instrText>
      </w:r>
      <w:r>
        <w:rPr>
          <w:color w:val="auto"/>
        </w:rPr>
        <w:fldChar w:fldCharType="separate"/>
      </w:r>
      <w:r>
        <w:rPr>
          <w:rFonts w:hint="eastAsia" w:ascii="宋体" w:hAnsi="宋体" w:cs="宋体"/>
          <w:bCs/>
          <w:color w:val="auto"/>
          <w:kern w:val="2"/>
          <w:highlight w:val="none"/>
          <w:u w:val="none"/>
        </w:rPr>
        <w:t>www.hzbank.com.cn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lang w:val="en-US" w:eastAsia="zh-CN" w:bidi="ar-SA"/>
        </w:rPr>
        <w:t>杭州银行股份有限公司</w:t>
      </w:r>
      <w:r>
        <w:rPr>
          <w:rFonts w:hint="eastAsia" w:ascii="宋体" w:hAnsi="宋体" w:cs="宋体"/>
          <w:color w:val="auto"/>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幸福99益合·添益（年年红）1年定开型2518期理财</w:t>
      </w:r>
      <w:r>
        <w:rPr>
          <w:rFonts w:hint="eastAsia" w:ascii="宋体" w:hAnsi="宋体" w:cs="宋体"/>
          <w:bCs/>
          <w:color w:val="auto"/>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幸福99益合·添益（年年红）1年定开型2518期理财</w:t>
      </w:r>
      <w:r>
        <w:rPr>
          <w:rFonts w:hint="eastAsia" w:ascii="宋体" w:hAnsi="宋体" w:cs="宋体"/>
          <w:bCs/>
          <w:color w:val="auto"/>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幸福99益合·添益（年年红）1年定开型2518期理财</w:t>
      </w:r>
      <w:r>
        <w:rPr>
          <w:rFonts w:hint="eastAsia" w:ascii="宋体" w:hAnsi="宋体" w:cs="宋体"/>
          <w:bCs/>
          <w:color w:val="auto"/>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幸福99益合·添益（年年红）1年定开型2518期理财</w:t>
      </w:r>
      <w:r>
        <w:rPr>
          <w:rFonts w:hint="eastAsia" w:ascii="宋体" w:hAnsi="宋体" w:cs="宋体"/>
          <w:bCs/>
          <w:color w:val="auto"/>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幸福99益合·添益（年年红）1年定开型2518期理财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幸福99益合·添益（年年红）1年定开型2518期理财</w:t>
      </w:r>
      <w:r>
        <w:rPr>
          <w:rFonts w:hint="eastAsia" w:ascii="宋体" w:hAnsi="宋体" w:cs="宋体"/>
          <w:bCs/>
          <w:color w:val="auto"/>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highlight w:val="none"/>
        </w:rPr>
        <w:t>理财计划份额/产品份额：</w:t>
      </w:r>
      <w:r>
        <w:rPr>
          <w:rFonts w:hint="eastAsia" w:ascii="宋体" w:hAnsi="宋体" w:cs="宋体"/>
          <w:bCs/>
          <w:color w:val="auto"/>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highlight w:val="none"/>
        </w:rPr>
        <w:t>理财计划份额净值/产品份额净值：</w:t>
      </w:r>
      <w:r>
        <w:rPr>
          <w:rFonts w:hint="eastAsia" w:ascii="宋体" w:hAnsi="宋体" w:cs="宋体"/>
          <w:bCs/>
          <w:color w:val="auto"/>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highlight w:val="none"/>
        </w:rPr>
        <w:t>理财计划份额累计净值/产品份额累计净值：</w:t>
      </w:r>
      <w:r>
        <w:rPr>
          <w:rFonts w:hint="eastAsia" w:ascii="宋体" w:hAnsi="宋体" w:cs="宋体"/>
          <w:bCs/>
          <w:color w:val="auto"/>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color w:val="auto"/>
          <w:highlight w:val="none"/>
        </w:rPr>
      </w:pPr>
      <w:r>
        <w:rPr>
          <w:rFonts w:hint="eastAsia" w:ascii="宋体" w:hAnsi="宋体" w:cs="宋体"/>
          <w:b/>
          <w:color w:val="auto"/>
          <w:highlight w:val="none"/>
        </w:rPr>
        <w:t>工作日：</w:t>
      </w:r>
      <w:r>
        <w:rPr>
          <w:rFonts w:hint="eastAsia" w:ascii="宋体" w:hAnsi="宋体" w:cs="宋体"/>
          <w:bCs/>
          <w:color w:val="auto"/>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color w:val="auto"/>
          <w:highlight w:val="none"/>
        </w:rPr>
      </w:pPr>
      <w:r>
        <w:rPr>
          <w:rFonts w:hint="eastAsia" w:ascii="宋体" w:hAnsi="宋体" w:cs="宋体"/>
          <w:b/>
          <w:color w:val="auto"/>
          <w:highlight w:val="none"/>
        </w:rPr>
        <w:t>交易日：</w:t>
      </w:r>
      <w:r>
        <w:rPr>
          <w:rFonts w:hint="eastAsia" w:ascii="宋体" w:hAnsi="宋体" w:cs="宋体"/>
          <w:bCs/>
          <w:color w:val="auto"/>
          <w:highlight w:val="none"/>
        </w:rPr>
        <w:t>指</w:t>
      </w:r>
      <w:r>
        <w:rPr>
          <w:rFonts w:hint="eastAsia" w:ascii="宋体" w:hAnsi="宋体" w:cs="宋体"/>
          <w:color w:val="auto"/>
          <w:szCs w:val="21"/>
          <w:highlight w:val="none"/>
        </w:rPr>
        <w:t>〖</w:t>
      </w:r>
      <w:r>
        <w:rPr>
          <w:rFonts w:hint="eastAsia" w:ascii="宋体" w:hAnsi="宋体" w:cs="宋体"/>
          <w:bCs/>
          <w:color w:val="auto"/>
          <w:highlight w:val="none"/>
        </w:rPr>
        <w:t>上海证券交易所、深圳证券交易所</w:t>
      </w:r>
      <w:r>
        <w:rPr>
          <w:rFonts w:hint="eastAsia" w:ascii="宋体" w:hAnsi="宋体" w:cs="宋体"/>
          <w:color w:val="auto"/>
          <w:szCs w:val="21"/>
          <w:highlight w:val="none"/>
        </w:rPr>
        <w:t>〗</w:t>
      </w:r>
      <w:r>
        <w:rPr>
          <w:rFonts w:hint="eastAsia" w:ascii="宋体" w:hAnsi="宋体" w:cs="宋体"/>
          <w:bCs/>
          <w:color w:val="auto"/>
          <w:highlight w:val="none"/>
        </w:rPr>
        <w:t>的正常交易日。</w:t>
      </w:r>
      <w:r>
        <w:rPr>
          <w:rFonts w:hint="eastAsia" w:ascii="宋体" w:hAnsi="宋体" w:cs="宋体"/>
          <w:bCs/>
          <w:color w:val="auto"/>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highlight w:val="none"/>
        </w:rPr>
        <w:t>成立日：</w:t>
      </w:r>
      <w:r>
        <w:rPr>
          <w:rFonts w:hint="eastAsia" w:ascii="宋体" w:hAnsi="宋体" w:cs="宋体"/>
          <w:bCs/>
          <w:color w:val="auto"/>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color w:val="auto"/>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color w:val="auto"/>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color w:val="auto"/>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highlight w:val="none"/>
        </w:rPr>
        <w:t>开放期：</w:t>
      </w:r>
      <w:r>
        <w:rPr>
          <w:rFonts w:hint="eastAsia" w:ascii="宋体" w:hAnsi="宋体" w:cs="宋体"/>
          <w:bCs/>
          <w:color w:val="auto"/>
          <w:highlight w:val="none"/>
        </w:rPr>
        <w:t>指管理人向投资者提供申购</w:t>
      </w:r>
      <w:r>
        <w:rPr>
          <w:rFonts w:hint="eastAsia" w:ascii="宋体" w:hAnsi="宋体" w:cs="宋体"/>
          <w:bCs/>
          <w:color w:val="auto"/>
          <w:highlight w:val="none"/>
          <w:lang w:eastAsia="zh-CN"/>
        </w:rPr>
        <w:t>、</w:t>
      </w:r>
      <w:r>
        <w:rPr>
          <w:rFonts w:hint="eastAsia" w:ascii="宋体" w:hAnsi="宋体" w:cs="宋体"/>
          <w:bCs/>
          <w:color w:val="auto"/>
          <w:highlight w:val="none"/>
          <w:lang w:val="en-US" w:eastAsia="zh-CN"/>
        </w:rPr>
        <w:t>赎回</w:t>
      </w:r>
      <w:r>
        <w:rPr>
          <w:rFonts w:hint="eastAsia" w:ascii="宋体" w:hAnsi="宋体" w:cs="宋体"/>
          <w:bCs/>
          <w:color w:val="auto"/>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highlight w:val="none"/>
        </w:rPr>
        <w:t>理财计划费用/产品费用：</w:t>
      </w:r>
      <w:r>
        <w:rPr>
          <w:rFonts w:hint="eastAsia" w:ascii="宋体" w:hAnsi="宋体" w:cs="宋体"/>
          <w:bCs/>
          <w:color w:val="auto"/>
          <w:highlight w:val="none"/>
        </w:rPr>
        <w:t>指管理人为成立理财计划及处理理财计划事务而支出的所有费用，包括但不限于管理人收取的固定管理费、浮动管理费、</w:t>
      </w:r>
      <w:r>
        <w:rPr>
          <w:rFonts w:hint="eastAsia" w:ascii="宋体" w:hAnsi="宋体" w:cs="宋体"/>
          <w:bCs/>
          <w:color w:val="auto"/>
          <w:highlight w:val="none"/>
          <w:lang w:eastAsia="zh-CN"/>
        </w:rPr>
        <w:t>销售服务费</w:t>
      </w:r>
      <w:r>
        <w:rPr>
          <w:rFonts w:hint="eastAsia" w:ascii="宋体" w:hAnsi="宋体" w:cs="宋体"/>
          <w:bCs/>
          <w:color w:val="auto"/>
          <w:highlight w:val="none"/>
        </w:rPr>
        <w:t>、托管人收取的托管费、交易费用、执行费用等相关费用，具体以</w:t>
      </w:r>
      <w:r>
        <w:rPr>
          <w:rFonts w:hint="eastAsia" w:ascii="宋体" w:hAnsi="宋体" w:cs="宋体"/>
          <w:bCs/>
          <w:color w:val="auto"/>
          <w:highlight w:val="none"/>
          <w:lang w:eastAsia="zh-CN"/>
        </w:rPr>
        <w:t>实际发生</w:t>
      </w:r>
      <w:r>
        <w:rPr>
          <w:rFonts w:hint="eastAsia" w:ascii="宋体" w:hAnsi="宋体" w:cs="宋体"/>
          <w:bCs/>
          <w:color w:val="auto"/>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highlight w:val="none"/>
          <w:lang w:eastAsia="zh-CN"/>
        </w:rPr>
        <w:t>其他费用：</w:t>
      </w:r>
      <w:r>
        <w:rPr>
          <w:rFonts w:hint="eastAsia" w:ascii="宋体" w:hAnsi="宋体" w:cs="宋体"/>
          <w:b w:val="0"/>
          <w:bCs/>
          <w:color w:val="auto"/>
          <w:highlight w:val="none"/>
          <w:lang w:eastAsia="zh-CN"/>
        </w:rPr>
        <w:t>指除理财计划费用以外，理财计划涉及的其他相关费用，包括但不限于认购费、申购费、赎回费、投顾费等，具体以</w:t>
      </w:r>
      <w:r>
        <w:rPr>
          <w:rFonts w:hint="eastAsia" w:ascii="宋体" w:hAnsi="宋体" w:cs="宋体"/>
          <w:bCs/>
          <w:color w:val="auto"/>
          <w:highlight w:val="none"/>
        </w:rPr>
        <w:t>本说明书第八条约定</w:t>
      </w:r>
      <w:r>
        <w:rPr>
          <w:rFonts w:hint="eastAsia" w:ascii="宋体" w:hAnsi="宋体" w:cs="宋体"/>
          <w:b w:val="0"/>
          <w:bCs/>
          <w:color w:val="auto"/>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highlight w:val="none"/>
        </w:rPr>
        <w:t>理财计划估值：</w:t>
      </w:r>
      <w:r>
        <w:rPr>
          <w:rFonts w:hint="eastAsia" w:ascii="宋体" w:hAnsi="宋体" w:cs="宋体"/>
          <w:bCs/>
          <w:color w:val="auto"/>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color w:val="auto"/>
          <w:highlight w:val="none"/>
          <w:lang w:val="en-US" w:eastAsia="zh-CN"/>
        </w:rPr>
        <w:t>动性受限资产：</w:t>
      </w:r>
      <w:r>
        <w:rPr>
          <w:rFonts w:hint="eastAsia"/>
          <w:color w:val="auto"/>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color w:val="auto"/>
          <w:highlight w:val="none"/>
          <w:lang w:val="en-US" w:eastAsia="zh-CN"/>
        </w:rPr>
        <w:t>7个工作日可变现资产：</w:t>
      </w:r>
      <w:r>
        <w:rPr>
          <w:rFonts w:hint="eastAsia"/>
          <w:color w:val="auto"/>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color w:val="auto"/>
          <w:highlight w:val="none"/>
          <w:lang w:val="en-US" w:eastAsia="zh-CN"/>
        </w:rPr>
        <w:t>投资退出期：</w:t>
      </w:r>
      <w:r>
        <w:rPr>
          <w:rFonts w:hint="eastAsia" w:ascii="Times New Roman" w:hAnsi="Times New Roman" w:eastAsia="宋体" w:cs="Times New Roman"/>
          <w:color w:val="auto"/>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color w:val="auto"/>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幸福99益合·添益（年年红）1年定开型2518期理财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添益（年年红）1年定开型2518期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TYG12M2518</w:t>
            </w:r>
            <w:r>
              <w:rPr>
                <w:rFonts w:hint="eastAsia" w:ascii="宋体" w:hAnsi="宋体" w:cs="宋体"/>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本理财计划在全国银行业理财信息登记系统的登记编码是〖</w:t>
            </w:r>
            <w:r>
              <w:rPr>
                <w:rFonts w:hint="eastAsia" w:ascii="宋体" w:hAnsi="宋体" w:eastAsia="宋体" w:cs="宋体"/>
                <w:color w:val="auto"/>
                <w:kern w:val="2"/>
                <w:sz w:val="21"/>
                <w:szCs w:val="21"/>
                <w:highlight w:val="none"/>
                <w:lang w:val="en-US" w:eastAsia="zh-CN" w:bidi="ar-SA"/>
              </w:rPr>
              <w:t>Z7002225000147</w:t>
            </w:r>
            <w:r>
              <w:rPr>
                <w:rFonts w:hint="eastAsia" w:ascii="宋体" w:hAnsi="宋体" w:cs="宋体"/>
                <w:color w:val="auto"/>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auto"/>
                <w:sz w:val="21"/>
                <w:szCs w:val="21"/>
                <w:highlight w:val="none"/>
              </w:rPr>
            </w:pPr>
            <w:r>
              <w:rPr>
                <w:rFonts w:hint="eastAsia" w:ascii="宋体" w:hAnsi="宋体" w:cs="宋体"/>
                <w:color w:val="auto"/>
                <w:sz w:val="21"/>
                <w:szCs w:val="21"/>
                <w:highlight w:val="none"/>
              </w:rPr>
              <w:t>本理财计划适合</w:t>
            </w:r>
            <w:r>
              <w:rPr>
                <w:rFonts w:hint="eastAsia" w:ascii="宋体" w:hAnsi="宋体" w:eastAsia="宋体" w:cs="宋体"/>
                <w:color w:val="auto"/>
                <w:kern w:val="2"/>
                <w:sz w:val="21"/>
                <w:szCs w:val="21"/>
                <w:highlight w:val="none"/>
                <w:lang w:val="en-US" w:eastAsia="zh-CN" w:bidi="ar-SA"/>
              </w:rPr>
              <w:t>〖机构投资者〗以及〖稳健型、平衡型、成长型、进取型〗的个人投资者</w:t>
            </w:r>
            <w:r>
              <w:rPr>
                <w:rFonts w:hint="eastAsia" w:ascii="宋体" w:hAnsi="宋体" w:cs="宋体"/>
                <w:b/>
                <w:color w:val="auto"/>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pageBreakBefore w:val="0"/>
              <w:spacing w:before="0" w:after="0" w:line="360" w:lineRule="auto"/>
              <w:ind w:left="0" w:right="0" w:hanging="1"/>
              <w:jc w:val="left"/>
              <w:textAlignment w:val="auto"/>
              <w:rPr>
                <w:color w:val="auto"/>
              </w:rPr>
            </w:pPr>
            <w:r>
              <w:rPr>
                <w:rFonts w:ascii="宋体" w:hAnsi="宋体" w:eastAsia="宋体" w:cs="宋体"/>
                <w:b w:val="0"/>
                <w:i w:val="0"/>
                <w:caps w:val="0"/>
                <w:strike w:val="0"/>
                <w:dstrike w:val="0"/>
                <w:shadow w:val="0"/>
                <w:emboss w:val="0"/>
                <w:imprint w:val="0"/>
                <w:color w:val="auto"/>
                <w:kern w:val="2"/>
                <w:position w:val="-1"/>
                <w:sz w:val="21"/>
                <w:u w:val="none"/>
                <w:vertAlign w:val="baseline"/>
              </w:rPr>
              <w:t>其中：</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A份额（销售代码〖TYG12M2518A〗）：面向〖普通个人投资者和机构投资者〗发售。</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B份额（销售代码〖TYG12M2518B〗）：面向〖普通个人投资者和机构投资者〗发售。</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H份额（销售代码〖TYG12M2518H〗）：普通个人投资者和机构客户。</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L份额（销售代码〖TYG12M2518L〗）：兰州银行专属，面向〖普通个人投资者和机构投资者〗发售。</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ZA份额（自动赎回）（销售代码〖TYG12M2518ZA〗）：普通个人投资者和机构客户。</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ZB份额（自动赎回）（销售代码〖TYG12M2518ZB〗）：普通个人投资者和机构客户。</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ZC份额（自动赎回）（销售代码〖TYG12M2518ZC〗）：普通个人投资者和机构客户。</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ZD份额（自动赎回）（销售代码〖TYG12M2518ZD〗）：普通个人投资者和机构客户。</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ZE份额（自动赎回）（销售代码〖TYG12M2518ZE〗）：普通个人投资者和机构客户。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固定收益类</w:t>
            </w:r>
            <w:r>
              <w:rPr>
                <w:rFonts w:hint="eastAsia" w:ascii="宋体" w:hAnsi="宋体" w:cs="宋体"/>
                <w:color w:val="auto"/>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auto"/>
                <w:sz w:val="21"/>
                <w:szCs w:val="21"/>
                <w:highlight w:val="none"/>
              </w:rPr>
            </w:pPr>
            <w:r>
              <w:rPr>
                <w:rFonts w:hint="eastAsia" w:ascii="宋体" w:hAnsi="宋体" w:cs="宋体"/>
                <w:color w:val="auto"/>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否</w:t>
            </w:r>
            <w:r>
              <w:rPr>
                <w:rFonts w:hint="eastAsia" w:ascii="宋体" w:hAnsi="宋体" w:cs="宋体"/>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可通过</w:t>
            </w:r>
            <w:r>
              <w:rPr>
                <w:rFonts w:hint="eastAsia" w:ascii="宋体" w:hAnsi="宋体" w:cs="宋体"/>
                <w:color w:val="auto"/>
                <w:sz w:val="21"/>
                <w:szCs w:val="21"/>
                <w:highlight w:val="none"/>
                <w:lang w:eastAsia="zh-CN"/>
              </w:rPr>
              <w:t>杭银理财直销渠道和代理</w:t>
            </w:r>
            <w:r>
              <w:rPr>
                <w:rFonts w:hint="eastAsia" w:ascii="宋体" w:hAnsi="宋体" w:cs="宋体"/>
                <w:color w:val="auto"/>
                <w:sz w:val="21"/>
                <w:szCs w:val="21"/>
                <w:highlight w:val="none"/>
              </w:rPr>
              <w:t>销售机构的〖营业网点、网上银行、手机银行〗等渠道购买</w:t>
            </w:r>
            <w:r>
              <w:rPr>
                <w:rFonts w:hint="eastAsia" w:ascii="宋体" w:hAnsi="宋体" w:cs="宋体"/>
                <w:color w:val="auto"/>
                <w:sz w:val="21"/>
                <w:szCs w:val="21"/>
                <w:highlight w:val="none"/>
                <w:lang w:eastAsia="zh-CN"/>
              </w:rPr>
              <w:t>，通过</w:t>
            </w:r>
            <w:r>
              <w:rPr>
                <w:rFonts w:hint="eastAsia" w:ascii="宋体" w:hAnsi="宋体" w:cs="宋体"/>
                <w:color w:val="auto"/>
                <w:sz w:val="21"/>
                <w:szCs w:val="21"/>
                <w:highlight w:val="none"/>
                <w:lang w:val="en-US" w:eastAsia="zh-CN"/>
              </w:rPr>
              <w:t>代理销售机构购买的，具体销售渠道以代理销售机构披露为准</w:t>
            </w:r>
            <w:r>
              <w:rPr>
                <w:rFonts w:hint="eastAsia" w:ascii="宋体" w:hAnsi="宋体" w:cs="宋体"/>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人民币</w:t>
            </w:r>
            <w:r>
              <w:rPr>
                <w:rFonts w:hint="eastAsia" w:ascii="宋体" w:hAnsi="宋体" w:cs="宋体"/>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2025</w:t>
            </w:r>
            <w:r>
              <w:rPr>
                <w:rFonts w:hint="eastAsia" w:ascii="宋体" w:hAnsi="宋体" w:cs="宋体"/>
                <w:color w:val="auto"/>
                <w:sz w:val="21"/>
                <w:szCs w:val="21"/>
                <w:highlight w:val="none"/>
              </w:rPr>
              <w:t>〗年〖</w:t>
            </w:r>
            <w:r>
              <w:rPr>
                <w:rFonts w:hint="eastAsia" w:ascii="宋体" w:hAnsi="宋体" w:eastAsia="宋体" w:cs="宋体"/>
                <w:color w:val="auto"/>
                <w:kern w:val="2"/>
                <w:sz w:val="21"/>
                <w:szCs w:val="21"/>
                <w:highlight w:val="none"/>
                <w:lang w:val="en-US" w:eastAsia="zh-CN" w:bidi="ar-SA"/>
              </w:rPr>
              <w:t>5</w:t>
            </w:r>
            <w:r>
              <w:rPr>
                <w:rFonts w:hint="eastAsia" w:ascii="宋体" w:hAnsi="宋体" w:cs="宋体"/>
                <w:color w:val="auto"/>
                <w:sz w:val="21"/>
                <w:szCs w:val="21"/>
                <w:highlight w:val="none"/>
              </w:rPr>
              <w:t>〗月〖</w:t>
            </w:r>
            <w:r>
              <w:rPr>
                <w:rFonts w:hint="eastAsia" w:ascii="宋体" w:hAnsi="宋体" w:eastAsia="宋体" w:cs="宋体"/>
                <w:color w:val="auto"/>
                <w:kern w:val="2"/>
                <w:sz w:val="21"/>
                <w:szCs w:val="21"/>
                <w:highlight w:val="none"/>
                <w:lang w:val="en-US" w:eastAsia="zh-CN" w:bidi="ar-SA"/>
              </w:rPr>
              <w:t>16</w:t>
            </w:r>
            <w:r>
              <w:rPr>
                <w:rFonts w:hint="eastAsia" w:ascii="宋体" w:hAnsi="宋体" w:cs="宋体"/>
                <w:color w:val="auto"/>
                <w:sz w:val="21"/>
                <w:szCs w:val="21"/>
                <w:highlight w:val="none"/>
              </w:rPr>
              <w:t>〗日-〖</w:t>
            </w:r>
            <w:r>
              <w:rPr>
                <w:rFonts w:hint="eastAsia" w:ascii="宋体" w:hAnsi="宋体" w:eastAsia="宋体" w:cs="宋体"/>
                <w:color w:val="auto"/>
                <w:kern w:val="2"/>
                <w:sz w:val="21"/>
                <w:szCs w:val="21"/>
                <w:highlight w:val="none"/>
                <w:lang w:val="en-US" w:eastAsia="zh-CN" w:bidi="ar-SA"/>
              </w:rPr>
              <w:t>2025</w:t>
            </w:r>
            <w:r>
              <w:rPr>
                <w:rFonts w:hint="eastAsia" w:ascii="宋体" w:hAnsi="宋体" w:cs="宋体"/>
                <w:color w:val="auto"/>
                <w:sz w:val="21"/>
                <w:szCs w:val="21"/>
                <w:highlight w:val="none"/>
              </w:rPr>
              <w:t>〗年〖</w:t>
            </w:r>
            <w:r>
              <w:rPr>
                <w:rFonts w:hint="eastAsia" w:ascii="宋体" w:hAnsi="宋体" w:eastAsia="宋体" w:cs="宋体"/>
                <w:color w:val="auto"/>
                <w:kern w:val="2"/>
                <w:sz w:val="21"/>
                <w:szCs w:val="21"/>
                <w:highlight w:val="none"/>
                <w:lang w:val="en-US" w:eastAsia="zh-CN" w:bidi="ar-SA"/>
              </w:rPr>
              <w:t>5</w:t>
            </w:r>
            <w:r>
              <w:rPr>
                <w:rFonts w:hint="eastAsia" w:ascii="宋体" w:hAnsi="宋体" w:cs="宋体"/>
                <w:color w:val="auto"/>
                <w:sz w:val="21"/>
                <w:szCs w:val="21"/>
                <w:highlight w:val="none"/>
              </w:rPr>
              <w:t>〗月〖</w:t>
            </w:r>
            <w:r>
              <w:rPr>
                <w:rFonts w:hint="eastAsia" w:ascii="宋体" w:hAnsi="宋体" w:eastAsia="宋体" w:cs="宋体"/>
                <w:color w:val="auto"/>
                <w:kern w:val="2"/>
                <w:sz w:val="21"/>
                <w:szCs w:val="21"/>
                <w:highlight w:val="none"/>
                <w:lang w:val="en-US" w:eastAsia="zh-CN" w:bidi="ar-SA"/>
              </w:rPr>
              <w:t>22</w:t>
            </w:r>
            <w:r>
              <w:rPr>
                <w:rFonts w:hint="eastAsia" w:ascii="宋体" w:hAnsi="宋体" w:cs="宋体"/>
                <w:color w:val="auto"/>
                <w:sz w:val="21"/>
                <w:szCs w:val="21"/>
                <w:highlight w:val="none"/>
              </w:rPr>
              <w:t>〗日</w:t>
            </w:r>
            <w:r>
              <w:rPr>
                <w:rFonts w:hint="eastAsia" w:ascii="宋体" w:hAnsi="宋体" w:cs="宋体"/>
                <w:color w:val="auto"/>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认购期首日〖9：00〗至认购结束日〖17：00〗</w:t>
            </w:r>
            <w:r>
              <w:rPr>
                <w:rFonts w:hint="eastAsia" w:ascii="宋体" w:hAnsi="宋体" w:cs="宋体"/>
                <w:color w:val="auto"/>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2025</w:t>
            </w:r>
            <w:r>
              <w:rPr>
                <w:rFonts w:hint="eastAsia" w:ascii="宋体" w:hAnsi="宋体" w:cs="宋体"/>
                <w:color w:val="auto"/>
                <w:sz w:val="21"/>
                <w:szCs w:val="21"/>
                <w:highlight w:val="none"/>
              </w:rPr>
              <w:t>〗年〖</w:t>
            </w:r>
            <w:r>
              <w:rPr>
                <w:rFonts w:hint="eastAsia" w:ascii="宋体" w:hAnsi="宋体" w:eastAsia="宋体" w:cs="宋体"/>
                <w:color w:val="auto"/>
                <w:kern w:val="2"/>
                <w:sz w:val="21"/>
                <w:szCs w:val="21"/>
                <w:highlight w:val="none"/>
                <w:lang w:val="en-US" w:eastAsia="zh-CN" w:bidi="ar-SA"/>
              </w:rPr>
              <w:t>5</w:t>
            </w:r>
            <w:r>
              <w:rPr>
                <w:rFonts w:hint="eastAsia" w:ascii="宋体" w:hAnsi="宋体" w:cs="宋体"/>
                <w:color w:val="auto"/>
                <w:sz w:val="21"/>
                <w:szCs w:val="21"/>
                <w:highlight w:val="none"/>
              </w:rPr>
              <w:t>〗月〖</w:t>
            </w:r>
            <w:r>
              <w:rPr>
                <w:rFonts w:hint="eastAsia" w:ascii="宋体" w:hAnsi="宋体" w:eastAsia="宋体" w:cs="宋体"/>
                <w:color w:val="auto"/>
                <w:kern w:val="2"/>
                <w:sz w:val="21"/>
                <w:szCs w:val="21"/>
                <w:highlight w:val="none"/>
                <w:lang w:val="en-US" w:eastAsia="zh-CN" w:bidi="ar-SA"/>
              </w:rPr>
              <w:t>23</w:t>
            </w:r>
            <w:r>
              <w:rPr>
                <w:rFonts w:hint="eastAsia" w:ascii="宋体" w:hAnsi="宋体" w:cs="宋体"/>
                <w:color w:val="auto"/>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无固定期限</w:t>
            </w:r>
            <w:r>
              <w:rPr>
                <w:rFonts w:hint="eastAsia" w:ascii="宋体" w:hAnsi="宋体" w:cs="宋体"/>
                <w:color w:val="auto"/>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起点金额</w:t>
            </w:r>
          </w:p>
        </w:tc>
        <w:tc>
          <w:tcPr>
            <w:tcW w:w="7185" w:type="dxa"/>
            <w:noWrap w:val="0"/>
            <w:vAlign w:val="center"/>
          </w:tcPr>
          <w:p>
            <w:pPr>
              <w:pageBreakBefore w:val="0"/>
              <w:spacing w:before="0" w:after="0" w:line="360" w:lineRule="auto"/>
              <w:ind w:left="0" w:right="0" w:hanging="1"/>
              <w:jc w:val="left"/>
              <w:textAlignment w:val="auto"/>
              <w:rPr>
                <w:color w:val="auto"/>
              </w:rPr>
            </w:pPr>
            <w:r>
              <w:rPr>
                <w:rFonts w:ascii="宋体" w:hAnsi="宋体" w:eastAsia="宋体" w:cs="宋体"/>
                <w:b w:val="0"/>
                <w:i w:val="0"/>
                <w:caps w:val="0"/>
                <w:strike w:val="0"/>
                <w:dstrike w:val="0"/>
                <w:shadow w:val="0"/>
                <w:emboss w:val="0"/>
                <w:imprint w:val="0"/>
                <w:color w:val="auto"/>
                <w:kern w:val="2"/>
                <w:position w:val="-1"/>
                <w:sz w:val="21"/>
                <w:u w:val="none"/>
                <w:vertAlign w:val="baseline"/>
              </w:rPr>
              <w:t>〖A份额〗起点〖0.01〗元整，超过认购/申购起点部分，应为〖0.01〗元的整数倍。</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〖B份额〗起点〖0.01〗元整，超过认购/申购起点部分，应为〖0.01〗元的整数倍。</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〖H份额〗起点〖0.01〗元整，超过认购/申购起点部分，应为〖0.01〗元的整数倍。</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〖L份额〗起点〖0.01〗元整，超过认购/申购起点部分，应为〖0.01〗元的整数倍。</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〖ZA份额〗起点〖0.01〗元整，超过认购/申购起点部分，应为〖0.01〗元的整数倍。</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〖ZB份额〗起点〖0.01〗元整，超过认购/申购起点部分，应为〖0.01〗元的整数倍。</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〖ZC份额〗起点〖0.01〗元整，超过认购/申购起点部分，应为〖0.01〗元的整数倍。</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〖ZD份额〗起点〖0.01〗元整，超过认购/申购起点部分，应为〖0.01〗元的整数倍。</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〖ZE份额〗起点〖0.01〗元整，超过认购/申购起点部分，应为〖0.01〗元的整数倍。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auto"/>
                <w:sz w:val="21"/>
                <w:szCs w:val="21"/>
                <w:highlight w:val="none"/>
              </w:rPr>
            </w:pPr>
            <w:r>
              <w:rPr>
                <w:rFonts w:hint="eastAsia" w:ascii="宋体" w:hAnsi="宋体" w:cs="宋体"/>
                <w:color w:val="auto"/>
                <w:sz w:val="21"/>
                <w:szCs w:val="21"/>
                <w:highlight w:val="none"/>
              </w:rPr>
              <w:t>认购份额=认购金额</w:t>
            </w:r>
            <w:r>
              <w:rPr>
                <w:rFonts w:hint="eastAsia" w:ascii="宋体" w:hAnsi="宋体" w:cs="宋体"/>
                <w:bCs/>
                <w:color w:val="auto"/>
                <w:sz w:val="21"/>
                <w:szCs w:val="21"/>
                <w:highlight w:val="none"/>
              </w:rPr>
              <w:t>÷</w:t>
            </w:r>
            <w:r>
              <w:rPr>
                <w:rFonts w:hint="eastAsia" w:ascii="宋体" w:hAnsi="宋体" w:cs="宋体"/>
                <w:color w:val="auto"/>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auto"/>
                <w:kern w:val="2"/>
                <w:sz w:val="21"/>
                <w:szCs w:val="21"/>
                <w:highlight w:val="none"/>
                <w:lang w:val="en-US" w:eastAsia="zh-CN" w:bidi="ar-SA"/>
              </w:rPr>
              <w:t>〖2〗千万元</w:t>
            </w:r>
            <w:r>
              <w:rPr>
                <w:rFonts w:hint="eastAsia" w:ascii="宋体" w:hAnsi="宋体" w:cs="宋体"/>
                <w:color w:val="auto"/>
                <w:sz w:val="21"/>
                <w:szCs w:val="21"/>
                <w:highlight w:val="none"/>
              </w:rPr>
              <w:t>，则管理人可宣布本理财计划不成立并在原定理财计划成立日后〖2〗个工作日内通过管理人或销售机构发布不成立信息，投资者购买的理财资金将在原定成立日后2个工作日内划转至投资者指定理财账户，</w:t>
            </w:r>
            <w:r>
              <w:rPr>
                <w:rFonts w:hint="eastAsia" w:ascii="宋体" w:hAnsi="宋体" w:cs="宋体"/>
                <w:b/>
                <w:color w:val="auto"/>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理财计划〖</w:t>
            </w:r>
            <w:r>
              <w:rPr>
                <w:rFonts w:hint="eastAsia" w:ascii="宋体" w:hAnsi="宋体" w:eastAsia="宋体" w:cs="宋体"/>
                <w:color w:val="auto"/>
                <w:kern w:val="2"/>
                <w:sz w:val="21"/>
                <w:szCs w:val="21"/>
                <w:highlight w:val="none"/>
                <w:lang w:val="en-US" w:eastAsia="zh-CN" w:bidi="ar-SA"/>
              </w:rPr>
              <w:t>每年</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开放一次，</w:t>
            </w:r>
            <w:r>
              <w:rPr>
                <w:rFonts w:hint="eastAsia" w:ascii="宋体" w:hAnsi="宋体" w:cs="宋体"/>
                <w:color w:val="auto"/>
                <w:sz w:val="21"/>
                <w:szCs w:val="21"/>
                <w:highlight w:val="none"/>
              </w:rPr>
              <w:t>具体开放期将以管理人公告为准。</w:t>
            </w:r>
            <w:r>
              <w:rPr>
                <w:rFonts w:hint="eastAsia" w:ascii="宋体" w:hAnsi="宋体" w:cs="宋体"/>
                <w:color w:val="auto"/>
                <w:sz w:val="21"/>
                <w:szCs w:val="21"/>
                <w:highlight w:val="none"/>
                <w:lang w:val="en-US" w:eastAsia="zh-CN"/>
              </w:rPr>
              <w:t>首个开放期为</w:t>
            </w:r>
            <w:r>
              <w:rPr>
                <w:rFonts w:hint="eastAsia" w:ascii="宋体" w:hAnsi="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2026</w:t>
            </w:r>
            <w:r>
              <w:rPr>
                <w:rFonts w:hint="eastAsia" w:ascii="宋体" w:hAnsi="宋体" w:cs="宋体"/>
                <w:color w:val="auto"/>
                <w:sz w:val="21"/>
                <w:szCs w:val="21"/>
                <w:highlight w:val="none"/>
              </w:rPr>
              <w:t>〗年〖</w:t>
            </w:r>
            <w:r>
              <w:rPr>
                <w:rFonts w:hint="eastAsia" w:ascii="宋体" w:hAnsi="宋体" w:eastAsia="宋体" w:cs="宋体"/>
                <w:color w:val="auto"/>
                <w:kern w:val="2"/>
                <w:sz w:val="21"/>
                <w:szCs w:val="21"/>
                <w:highlight w:val="none"/>
                <w:lang w:val="en-US" w:eastAsia="zh-CN" w:bidi="ar-SA"/>
              </w:rPr>
              <w:t>6</w:t>
            </w:r>
            <w:r>
              <w:rPr>
                <w:rFonts w:hint="eastAsia" w:ascii="宋体" w:hAnsi="宋体" w:cs="宋体"/>
                <w:color w:val="auto"/>
                <w:sz w:val="21"/>
                <w:szCs w:val="21"/>
                <w:highlight w:val="none"/>
              </w:rPr>
              <w:t>〗月〖</w:t>
            </w:r>
            <w:r>
              <w:rPr>
                <w:rFonts w:hint="eastAsia" w:ascii="宋体" w:hAnsi="宋体" w:eastAsia="宋体" w:cs="宋体"/>
                <w:color w:val="auto"/>
                <w:kern w:val="2"/>
                <w:sz w:val="21"/>
                <w:szCs w:val="21"/>
                <w:highlight w:val="none"/>
                <w:lang w:val="en-US" w:eastAsia="zh-CN" w:bidi="ar-SA"/>
              </w:rPr>
              <w:t>3</w:t>
            </w:r>
            <w:r>
              <w:rPr>
                <w:rFonts w:hint="eastAsia" w:ascii="宋体" w:hAnsi="宋体" w:cs="宋体"/>
                <w:color w:val="auto"/>
                <w:sz w:val="21"/>
                <w:szCs w:val="21"/>
                <w:highlight w:val="none"/>
              </w:rPr>
              <w:t>〗日</w:t>
            </w:r>
            <w:r>
              <w:rPr>
                <w:rFonts w:hint="eastAsia" w:ascii="宋体" w:hAnsi="宋体" w:cs="宋体"/>
                <w:color w:val="auto"/>
                <w:sz w:val="21"/>
                <w:szCs w:val="21"/>
                <w:highlight w:val="none"/>
                <w:lang w:val="en-US" w:eastAsia="zh-CN"/>
              </w:rPr>
              <w:t>至</w:t>
            </w:r>
            <w:r>
              <w:rPr>
                <w:rFonts w:hint="eastAsia" w:ascii="宋体" w:hAnsi="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2026</w:t>
            </w:r>
            <w:r>
              <w:rPr>
                <w:rFonts w:hint="eastAsia" w:ascii="宋体" w:hAnsi="宋体" w:cs="宋体"/>
                <w:color w:val="auto"/>
                <w:sz w:val="21"/>
                <w:szCs w:val="21"/>
                <w:highlight w:val="none"/>
              </w:rPr>
              <w:t>〗年〖</w:t>
            </w:r>
            <w:r>
              <w:rPr>
                <w:rFonts w:hint="eastAsia" w:ascii="宋体" w:hAnsi="宋体" w:eastAsia="宋体" w:cs="宋体"/>
                <w:color w:val="auto"/>
                <w:kern w:val="2"/>
                <w:sz w:val="21"/>
                <w:szCs w:val="21"/>
                <w:highlight w:val="none"/>
                <w:lang w:val="en-US" w:eastAsia="zh-CN" w:bidi="ar-SA"/>
              </w:rPr>
              <w:t>6</w:t>
            </w:r>
            <w:r>
              <w:rPr>
                <w:rFonts w:hint="eastAsia" w:ascii="宋体" w:hAnsi="宋体" w:cs="宋体"/>
                <w:color w:val="auto"/>
                <w:sz w:val="21"/>
                <w:szCs w:val="21"/>
                <w:highlight w:val="none"/>
              </w:rPr>
              <w:t>〗月〖</w:t>
            </w:r>
            <w:r>
              <w:rPr>
                <w:rFonts w:hint="eastAsia" w:ascii="宋体" w:hAnsi="宋体" w:eastAsia="宋体" w:cs="宋体"/>
                <w:color w:val="auto"/>
                <w:kern w:val="2"/>
                <w:sz w:val="21"/>
                <w:szCs w:val="21"/>
                <w:highlight w:val="none"/>
                <w:lang w:val="en-US" w:eastAsia="zh-CN" w:bidi="ar-SA"/>
              </w:rPr>
              <w:t>9</w:t>
            </w:r>
            <w:r>
              <w:rPr>
                <w:rFonts w:hint="eastAsia" w:ascii="宋体" w:hAnsi="宋体" w:cs="宋体"/>
                <w:color w:val="auto"/>
                <w:sz w:val="21"/>
                <w:szCs w:val="21"/>
                <w:highlight w:val="none"/>
              </w:rPr>
              <w:t>〗日</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首个开放确认日为</w:t>
            </w:r>
            <w:r>
              <w:rPr>
                <w:rFonts w:hint="eastAsia" w:ascii="宋体" w:hAnsi="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2026</w:t>
            </w:r>
            <w:r>
              <w:rPr>
                <w:rFonts w:hint="eastAsia" w:ascii="宋体" w:hAnsi="宋体" w:cs="宋体"/>
                <w:color w:val="auto"/>
                <w:sz w:val="21"/>
                <w:szCs w:val="21"/>
                <w:highlight w:val="none"/>
              </w:rPr>
              <w:t>〗年〖</w:t>
            </w:r>
            <w:r>
              <w:rPr>
                <w:rFonts w:hint="eastAsia" w:ascii="宋体" w:hAnsi="宋体" w:eastAsia="宋体" w:cs="宋体"/>
                <w:color w:val="auto"/>
                <w:kern w:val="2"/>
                <w:sz w:val="21"/>
                <w:szCs w:val="21"/>
                <w:highlight w:val="none"/>
                <w:lang w:val="en-US" w:eastAsia="zh-CN" w:bidi="ar-SA"/>
              </w:rPr>
              <w:t>6</w:t>
            </w:r>
            <w:r>
              <w:rPr>
                <w:rFonts w:hint="eastAsia" w:ascii="宋体" w:hAnsi="宋体" w:cs="宋体"/>
                <w:color w:val="auto"/>
                <w:sz w:val="21"/>
                <w:szCs w:val="21"/>
                <w:highlight w:val="none"/>
              </w:rPr>
              <w:t>〗月〖</w:t>
            </w:r>
            <w:r>
              <w:rPr>
                <w:rFonts w:hint="eastAsia" w:ascii="宋体" w:hAnsi="宋体" w:eastAsia="宋体" w:cs="宋体"/>
                <w:color w:val="auto"/>
                <w:kern w:val="2"/>
                <w:sz w:val="21"/>
                <w:szCs w:val="21"/>
                <w:highlight w:val="none"/>
                <w:lang w:val="en-US" w:eastAsia="zh-CN" w:bidi="ar-SA"/>
              </w:rPr>
              <w:t>10</w:t>
            </w:r>
            <w:r>
              <w:rPr>
                <w:rFonts w:hint="eastAsia" w:ascii="宋体" w:hAnsi="宋体" w:cs="宋体"/>
                <w:color w:val="auto"/>
                <w:sz w:val="21"/>
                <w:szCs w:val="21"/>
                <w:highlight w:val="none"/>
              </w:rPr>
              <w:t>〗日</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如遇开放确认日为非工作日，则顺延至</w:t>
            </w:r>
            <w:r>
              <w:rPr>
                <w:rFonts w:hint="eastAsia" w:ascii="宋体" w:hAnsi="宋体" w:cs="宋体"/>
                <w:color w:val="auto"/>
                <w:sz w:val="21"/>
                <w:szCs w:val="21"/>
                <w:highlight w:val="none"/>
              </w:rPr>
              <w:t>〖下一</w:t>
            </w:r>
            <w:r>
              <w:rPr>
                <w:rFonts w:hint="eastAsia" w:ascii="宋体" w:hAnsi="宋体" w:eastAsia="宋体" w:cs="宋体"/>
                <w:color w:val="auto"/>
                <w:kern w:val="2"/>
                <w:sz w:val="21"/>
                <w:szCs w:val="21"/>
                <w:highlight w:val="none"/>
                <w:lang w:val="en-US" w:eastAsia="zh-CN" w:bidi="ar-SA"/>
              </w:rPr>
              <w:t>工作日</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auto"/>
                <w:sz w:val="21"/>
                <w:szCs w:val="21"/>
                <w:highlight w:val="none"/>
              </w:rPr>
            </w:pPr>
            <w:r>
              <w:rPr>
                <w:rFonts w:hint="eastAsia" w:ascii="宋体" w:hAnsi="宋体" w:cs="宋体"/>
                <w:color w:val="auto"/>
                <w:sz w:val="21"/>
                <w:szCs w:val="21"/>
                <w:highlight w:val="none"/>
              </w:rPr>
              <w:t>1.本理财计划在每个开放期的开放日工作时间均可进行申购</w:t>
            </w:r>
            <w:r>
              <w:rPr>
                <w:rFonts w:hint="eastAsia" w:ascii="宋体" w:hAnsi="宋体" w:cs="宋体"/>
                <w:color w:val="auto"/>
                <w:sz w:val="21"/>
                <w:szCs w:val="21"/>
                <w:highlight w:val="none"/>
                <w:lang w:val="en-US" w:eastAsia="zh-CN"/>
              </w:rPr>
              <w:t>和赎回</w:t>
            </w:r>
            <w:r>
              <w:rPr>
                <w:rFonts w:hint="eastAsia" w:ascii="宋体" w:hAnsi="宋体" w:cs="宋体"/>
                <w:color w:val="auto"/>
                <w:sz w:val="21"/>
                <w:szCs w:val="21"/>
                <w:highlight w:val="none"/>
              </w:rPr>
              <w:t>，申购</w:t>
            </w:r>
            <w:r>
              <w:rPr>
                <w:rFonts w:hint="eastAsia" w:ascii="宋体" w:hAnsi="宋体" w:cs="宋体"/>
                <w:color w:val="auto"/>
                <w:sz w:val="21"/>
                <w:szCs w:val="21"/>
                <w:highlight w:val="none"/>
                <w:lang w:val="en-US" w:eastAsia="zh-CN"/>
              </w:rPr>
              <w:t>和赎回</w:t>
            </w:r>
            <w:r>
              <w:rPr>
                <w:rFonts w:hint="eastAsia" w:ascii="宋体" w:hAnsi="宋体" w:cs="宋体"/>
                <w:color w:val="auto"/>
                <w:sz w:val="21"/>
                <w:szCs w:val="21"/>
                <w:highlight w:val="none"/>
              </w:rPr>
              <w:t>申请将在确认日，即开放期后的第〖1〗个〖</w:t>
            </w:r>
            <w:r>
              <w:rPr>
                <w:rFonts w:hint="eastAsia" w:ascii="宋体" w:hAnsi="宋体" w:eastAsia="宋体" w:cs="宋体"/>
                <w:color w:val="auto"/>
                <w:kern w:val="2"/>
                <w:sz w:val="21"/>
                <w:szCs w:val="21"/>
                <w:highlight w:val="none"/>
                <w:lang w:val="en-US" w:eastAsia="zh-CN" w:bidi="ar-SA"/>
              </w:rPr>
              <w:t>工作日</w:t>
            </w:r>
            <w:r>
              <w:rPr>
                <w:rFonts w:hint="eastAsia" w:ascii="宋体" w:hAnsi="宋体" w:cs="宋体"/>
                <w:color w:val="auto"/>
                <w:sz w:val="21"/>
                <w:szCs w:val="21"/>
                <w:highlight w:val="none"/>
              </w:rPr>
              <w:t>〗</w:t>
            </w:r>
            <w:r>
              <w:rPr>
                <w:rFonts w:hint="eastAsia" w:ascii="宋体" w:hAnsi="宋体" w:cs="宋体"/>
                <w:bCs/>
                <w:color w:val="auto"/>
                <w:sz w:val="21"/>
                <w:szCs w:val="21"/>
                <w:highlight w:val="none"/>
              </w:rPr>
              <w:t>进行确认。</w:t>
            </w:r>
            <w:r>
              <w:rPr>
                <w:rFonts w:hint="eastAsia" w:ascii="宋体" w:hAnsi="宋体" w:eastAsia="宋体" w:cs="宋体"/>
                <w:color w:val="auto"/>
                <w:kern w:val="2"/>
                <w:sz w:val="21"/>
                <w:szCs w:val="21"/>
                <w:highlight w:val="none"/>
                <w:lang w:val="en-US" w:eastAsia="zh-CN" w:bidi="ar"/>
              </w:rPr>
              <w:t>（</w:t>
            </w:r>
            <w:r>
              <w:rPr>
                <w:rFonts w:hint="eastAsia" w:ascii="宋体" w:hAnsi="宋体" w:cs="宋体"/>
                <w:color w:val="auto"/>
                <w:sz w:val="21"/>
                <w:szCs w:val="21"/>
                <w:highlight w:val="none"/>
              </w:rPr>
              <w:t>〖</w:t>
            </w:r>
            <w:r>
              <w:rPr>
                <w:rFonts w:hint="eastAsia" w:ascii="宋体" w:hAnsi="宋体" w:cs="宋体"/>
                <w:color w:val="auto"/>
                <w:kern w:val="2"/>
                <w:sz w:val="21"/>
                <w:szCs w:val="21"/>
                <w:highlight w:val="none"/>
                <w:lang w:val="en-US" w:eastAsia="zh-CN" w:bidi="ar"/>
              </w:rPr>
              <w:t>ZA份额</w:t>
            </w:r>
            <w:r>
              <w:rPr>
                <w:rFonts w:hint="eastAsia" w:ascii="宋体" w:hAnsi="宋体" w:cs="宋体"/>
                <w:color w:val="auto"/>
                <w:sz w:val="21"/>
                <w:szCs w:val="21"/>
                <w:highlight w:val="none"/>
              </w:rPr>
              <w:t>〗</w:t>
            </w:r>
            <w:r>
              <w:rPr>
                <w:rFonts w:hint="eastAsia" w:ascii="宋体" w:hAnsi="宋体" w:cs="宋体"/>
                <w:b w:val="0"/>
                <w:bCs w:val="0"/>
                <w:color w:val="auto"/>
                <w:kern w:val="0"/>
                <w:sz w:val="21"/>
                <w:szCs w:val="21"/>
                <w:highlight w:val="none"/>
                <w:lang w:val="en-US" w:eastAsia="zh-CN" w:bidi="ar"/>
              </w:rPr>
              <w:t>、</w:t>
            </w:r>
            <w:r>
              <w:rPr>
                <w:rFonts w:hint="eastAsia" w:ascii="宋体" w:hAnsi="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
              </w:rPr>
              <w:t>ZB</w:t>
            </w:r>
            <w:r>
              <w:rPr>
                <w:rFonts w:hint="eastAsia" w:ascii="宋体" w:hAnsi="宋体" w:eastAsia="宋体" w:cs="宋体"/>
                <w:b w:val="0"/>
                <w:bCs w:val="0"/>
                <w:color w:val="auto"/>
                <w:kern w:val="0"/>
                <w:sz w:val="21"/>
                <w:szCs w:val="21"/>
                <w:highlight w:val="none"/>
                <w:lang w:val="en-US" w:eastAsia="zh-CN" w:bidi="ar"/>
              </w:rPr>
              <w:t>份额</w:t>
            </w:r>
            <w:r>
              <w:rPr>
                <w:rFonts w:hint="eastAsia" w:ascii="宋体" w:hAnsi="宋体" w:cs="宋体"/>
                <w:color w:val="auto"/>
                <w:sz w:val="21"/>
                <w:szCs w:val="21"/>
                <w:highlight w:val="none"/>
              </w:rPr>
              <w:t>〗</w:t>
            </w:r>
            <w:r>
              <w:rPr>
                <w:rFonts w:hint="eastAsia" w:ascii="宋体" w:hAnsi="宋体" w:cs="宋体"/>
                <w:b w:val="0"/>
                <w:bCs w:val="0"/>
                <w:color w:val="auto"/>
                <w:kern w:val="0"/>
                <w:sz w:val="21"/>
                <w:szCs w:val="21"/>
                <w:highlight w:val="none"/>
                <w:lang w:val="en-US" w:eastAsia="zh-CN" w:bidi="ar"/>
              </w:rPr>
              <w:t>、</w:t>
            </w:r>
            <w:r>
              <w:rPr>
                <w:rFonts w:hint="eastAsia" w:ascii="宋体" w:hAnsi="宋体" w:cs="宋体"/>
                <w:color w:val="auto"/>
                <w:sz w:val="21"/>
                <w:szCs w:val="21"/>
                <w:highlight w:val="none"/>
              </w:rPr>
              <w:t>〖</w:t>
            </w:r>
            <w:r>
              <w:rPr>
                <w:rFonts w:hint="eastAsia" w:ascii="宋体" w:hAnsi="宋体" w:cs="宋体"/>
                <w:b w:val="0"/>
                <w:bCs w:val="0"/>
                <w:color w:val="auto"/>
                <w:kern w:val="0"/>
                <w:sz w:val="21"/>
                <w:szCs w:val="21"/>
                <w:highlight w:val="none"/>
                <w:lang w:val="en-US" w:eastAsia="zh-CN" w:bidi="ar"/>
              </w:rPr>
              <w:t>ZC份额</w:t>
            </w:r>
            <w:r>
              <w:rPr>
                <w:rFonts w:hint="eastAsia" w:ascii="宋体" w:hAnsi="宋体" w:cs="宋体"/>
                <w:color w:val="auto"/>
                <w:sz w:val="21"/>
                <w:szCs w:val="21"/>
                <w:highlight w:val="none"/>
              </w:rPr>
              <w:t>〗</w:t>
            </w:r>
            <w:r>
              <w:rPr>
                <w:rFonts w:hint="eastAsia" w:ascii="宋体" w:hAnsi="宋体" w:cs="宋体"/>
                <w:b w:val="0"/>
                <w:bCs w:val="0"/>
                <w:color w:val="auto"/>
                <w:kern w:val="0"/>
                <w:sz w:val="21"/>
                <w:szCs w:val="21"/>
                <w:highlight w:val="none"/>
                <w:lang w:val="en-US" w:eastAsia="zh-CN" w:bidi="ar"/>
              </w:rPr>
              <w:t>、</w:t>
            </w:r>
            <w:r>
              <w:rPr>
                <w:rFonts w:hint="eastAsia" w:ascii="宋体" w:hAnsi="宋体" w:cs="宋体"/>
                <w:color w:val="auto"/>
                <w:sz w:val="21"/>
                <w:szCs w:val="21"/>
                <w:highlight w:val="none"/>
              </w:rPr>
              <w:t>〖</w:t>
            </w:r>
            <w:r>
              <w:rPr>
                <w:rFonts w:hint="eastAsia" w:ascii="宋体" w:hAnsi="宋体" w:cs="宋体"/>
                <w:b w:val="0"/>
                <w:bCs w:val="0"/>
                <w:color w:val="auto"/>
                <w:kern w:val="0"/>
                <w:sz w:val="21"/>
                <w:szCs w:val="21"/>
                <w:highlight w:val="none"/>
                <w:lang w:val="en-US" w:eastAsia="zh-CN" w:bidi="ar"/>
              </w:rPr>
              <w:t>ZD份额</w:t>
            </w:r>
            <w:r>
              <w:rPr>
                <w:rFonts w:hint="eastAsia" w:ascii="宋体" w:hAnsi="宋体" w:cs="宋体"/>
                <w:color w:val="auto"/>
                <w:sz w:val="21"/>
                <w:szCs w:val="21"/>
                <w:highlight w:val="none"/>
              </w:rPr>
              <w:t>〗</w:t>
            </w:r>
            <w:r>
              <w:rPr>
                <w:rFonts w:hint="eastAsia" w:ascii="宋体" w:hAnsi="宋体" w:cs="宋体"/>
                <w:b w:val="0"/>
                <w:bCs w:val="0"/>
                <w:color w:val="auto"/>
                <w:kern w:val="0"/>
                <w:sz w:val="21"/>
                <w:szCs w:val="21"/>
                <w:highlight w:val="none"/>
                <w:lang w:val="en-US" w:eastAsia="zh-CN" w:bidi="ar"/>
              </w:rPr>
              <w:t>、</w:t>
            </w:r>
            <w:r>
              <w:rPr>
                <w:rFonts w:hint="eastAsia" w:ascii="宋体" w:hAnsi="宋体" w:cs="宋体"/>
                <w:color w:val="auto"/>
                <w:sz w:val="21"/>
                <w:szCs w:val="21"/>
                <w:highlight w:val="none"/>
              </w:rPr>
              <w:t>〖</w:t>
            </w:r>
            <w:r>
              <w:rPr>
                <w:rFonts w:hint="eastAsia" w:ascii="宋体" w:hAnsi="宋体" w:cs="宋体"/>
                <w:b w:val="0"/>
                <w:bCs w:val="0"/>
                <w:color w:val="auto"/>
                <w:kern w:val="0"/>
                <w:sz w:val="21"/>
                <w:szCs w:val="21"/>
                <w:highlight w:val="none"/>
                <w:lang w:val="en-US" w:eastAsia="zh-CN" w:bidi="ar"/>
              </w:rPr>
              <w:t>ZE份额</w:t>
            </w:r>
            <w:r>
              <w:rPr>
                <w:rFonts w:hint="eastAsia" w:ascii="宋体" w:hAnsi="宋体" w:cs="宋体"/>
                <w:color w:val="auto"/>
                <w:sz w:val="21"/>
                <w:szCs w:val="21"/>
                <w:highlight w:val="none"/>
              </w:rPr>
              <w:t>〗</w:t>
            </w:r>
            <w:r>
              <w:rPr>
                <w:rFonts w:hint="eastAsia" w:ascii="宋体" w:hAnsi="宋体" w:eastAsia="宋体" w:cs="宋体"/>
                <w:b w:val="0"/>
                <w:bCs w:val="0"/>
                <w:color w:val="auto"/>
                <w:kern w:val="0"/>
                <w:sz w:val="21"/>
                <w:szCs w:val="21"/>
                <w:highlight w:val="none"/>
                <w:lang w:val="en-US" w:eastAsia="zh-CN" w:bidi="ar"/>
              </w:rPr>
              <w:t>无需进行赎回申请，在每个投资周期结束日由系统自动为所有持仓投资者发起全部持有份额赎回申请，上一投资周期投资者的所有持仓份额不会进入下一个投资周期</w:t>
            </w:r>
            <w:r>
              <w:rPr>
                <w:rFonts w:hint="eastAsia" w:ascii="宋体" w:hAnsi="宋体" w:eastAsia="宋体" w:cs="宋体"/>
                <w:color w:val="auto"/>
                <w:kern w:val="2"/>
                <w:sz w:val="21"/>
                <w:szCs w:val="21"/>
                <w:highlight w:val="none"/>
                <w:lang w:val="en-US" w:eastAsia="zh-CN" w:bidi="ar"/>
              </w:rPr>
              <w:t>）。</w:t>
            </w:r>
            <w:r>
              <w:rPr>
                <w:rFonts w:hint="eastAsia" w:ascii="宋体" w:hAnsi="宋体" w:cs="宋体"/>
                <w:color w:val="auto"/>
                <w:sz w:val="21"/>
                <w:szCs w:val="21"/>
                <w:highlight w:val="none"/>
              </w:rPr>
              <w:t>确认日如遇非〖</w:t>
            </w:r>
            <w:r>
              <w:rPr>
                <w:rFonts w:hint="eastAsia" w:ascii="宋体" w:hAnsi="宋体" w:eastAsia="宋体" w:cs="宋体"/>
                <w:color w:val="auto"/>
                <w:kern w:val="2"/>
                <w:sz w:val="21"/>
                <w:szCs w:val="21"/>
                <w:highlight w:val="none"/>
                <w:lang w:val="en-US" w:eastAsia="zh-CN" w:bidi="ar-SA"/>
              </w:rPr>
              <w:t>工作日</w:t>
            </w:r>
            <w:r>
              <w:rPr>
                <w:rFonts w:hint="eastAsia" w:ascii="宋体" w:hAnsi="宋体" w:cs="宋体"/>
                <w:color w:val="auto"/>
                <w:sz w:val="21"/>
                <w:szCs w:val="21"/>
                <w:highlight w:val="none"/>
              </w:rPr>
              <w:t>〗，则顺延至〖下一</w:t>
            </w:r>
            <w:r>
              <w:rPr>
                <w:rFonts w:hint="eastAsia" w:ascii="宋体" w:hAnsi="宋体" w:eastAsia="宋体" w:cs="宋体"/>
                <w:color w:val="auto"/>
                <w:kern w:val="2"/>
                <w:sz w:val="21"/>
                <w:szCs w:val="21"/>
                <w:highlight w:val="none"/>
                <w:lang w:val="en-US" w:eastAsia="zh-CN" w:bidi="ar-SA"/>
              </w:rPr>
              <w:t>工作日</w:t>
            </w:r>
            <w:r>
              <w:rPr>
                <w:rFonts w:hint="eastAsia" w:ascii="宋体" w:hAnsi="宋体" w:cs="宋体"/>
                <w:color w:val="auto"/>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auto"/>
                <w:kern w:val="0"/>
                <w:sz w:val="21"/>
                <w:szCs w:val="21"/>
                <w:highlight w:val="none"/>
              </w:rPr>
            </w:pP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.工作时间为每个〖</w:t>
            </w:r>
            <w:r>
              <w:rPr>
                <w:rFonts w:hint="eastAsia" w:ascii="宋体" w:hAnsi="宋体" w:eastAsia="宋体" w:cs="宋体"/>
                <w:color w:val="auto"/>
                <w:kern w:val="2"/>
                <w:sz w:val="21"/>
                <w:szCs w:val="21"/>
                <w:highlight w:val="none"/>
                <w:lang w:val="en-US" w:eastAsia="zh-CN" w:bidi="ar-SA"/>
              </w:rPr>
              <w:t>工作日</w:t>
            </w:r>
            <w:r>
              <w:rPr>
                <w:rFonts w:hint="eastAsia" w:ascii="宋体" w:hAnsi="宋体" w:cs="宋体"/>
                <w:color w:val="auto"/>
                <w:sz w:val="21"/>
                <w:szCs w:val="21"/>
                <w:highlight w:val="none"/>
              </w:rPr>
              <w:t>〗上午〖9:00〗至下午〖17:00〗。确认日如遇非〖</w:t>
            </w:r>
            <w:r>
              <w:rPr>
                <w:rFonts w:hint="eastAsia" w:ascii="宋体" w:hAnsi="宋体" w:eastAsia="宋体" w:cs="宋体"/>
                <w:color w:val="auto"/>
                <w:kern w:val="2"/>
                <w:sz w:val="21"/>
                <w:szCs w:val="21"/>
                <w:highlight w:val="none"/>
                <w:lang w:val="en-US" w:eastAsia="zh-CN" w:bidi="ar-SA"/>
              </w:rPr>
              <w:t>工作日</w:t>
            </w:r>
            <w:r>
              <w:rPr>
                <w:rFonts w:hint="eastAsia" w:ascii="宋体" w:hAnsi="宋体" w:cs="宋体"/>
                <w:color w:val="auto"/>
                <w:sz w:val="21"/>
                <w:szCs w:val="21"/>
                <w:highlight w:val="none"/>
              </w:rPr>
              <w:t>〗，则顺延至〖下一</w:t>
            </w:r>
            <w:r>
              <w:rPr>
                <w:rFonts w:hint="eastAsia" w:ascii="宋体" w:hAnsi="宋体" w:eastAsia="宋体" w:cs="宋体"/>
                <w:color w:val="auto"/>
                <w:kern w:val="2"/>
                <w:sz w:val="21"/>
                <w:szCs w:val="21"/>
                <w:highlight w:val="none"/>
                <w:lang w:val="en-US" w:eastAsia="zh-CN" w:bidi="ar-SA"/>
              </w:rPr>
              <w:t>工作日</w:t>
            </w:r>
            <w:r>
              <w:rPr>
                <w:rFonts w:hint="eastAsia" w:ascii="宋体" w:hAnsi="宋体" w:cs="宋体"/>
                <w:color w:val="auto"/>
                <w:sz w:val="21"/>
                <w:szCs w:val="21"/>
                <w:highlight w:val="none"/>
              </w:rPr>
              <w:t>〗。</w:t>
            </w:r>
            <w:r>
              <w:rPr>
                <w:rFonts w:hint="eastAsia" w:ascii="宋体" w:hAnsi="宋体" w:cs="宋体"/>
                <w:color w:val="auto"/>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3.认购/开放期内提交的交易申请，在理财计划成立日/确认日前一日下午</w:t>
            </w:r>
            <w:r>
              <w:rPr>
                <w:rFonts w:hint="eastAsia" w:ascii="宋体" w:hAnsi="宋体" w:cs="宋体"/>
                <w:color w:val="auto"/>
                <w:sz w:val="21"/>
                <w:szCs w:val="21"/>
                <w:highlight w:val="none"/>
              </w:rPr>
              <w:t>〖17:00〗</w:t>
            </w:r>
            <w:r>
              <w:rPr>
                <w:rFonts w:hint="eastAsia" w:ascii="宋体" w:hAnsi="宋体" w:cs="宋体"/>
                <w:color w:val="auto"/>
                <w:kern w:val="0"/>
                <w:sz w:val="21"/>
                <w:szCs w:val="21"/>
                <w:highlight w:val="none"/>
                <w:lang w:val="en-US" w:eastAsia="zh-CN"/>
              </w:rPr>
              <w:t>之前可以撤单。</w:t>
            </w:r>
            <w:r>
              <w:rPr>
                <w:rFonts w:hint="eastAsia" w:ascii="宋体" w:hAnsi="宋体" w:cs="宋体"/>
                <w:color w:val="auto"/>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理财计划存续期内，若理财计划开放日净赎回申请份额超过上一日日终理财计划总份额〖</w:t>
            </w:r>
            <w:r>
              <w:rPr>
                <w:rFonts w:hint="eastAsia" w:ascii="宋体" w:hAnsi="宋体" w:eastAsia="宋体" w:cs="宋体"/>
                <w:color w:val="auto"/>
                <w:kern w:val="2"/>
                <w:sz w:val="21"/>
                <w:szCs w:val="21"/>
                <w:highlight w:val="none"/>
                <w:lang w:val="en-US" w:eastAsia="zh-CN" w:bidi="ar-SA"/>
              </w:rPr>
              <w:t>10%</w:t>
            </w:r>
            <w:r>
              <w:rPr>
                <w:rFonts w:hint="eastAsia" w:ascii="宋体" w:hAnsi="宋体" w:cs="宋体"/>
                <w:color w:val="auto"/>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rPr>
            </w:pPr>
            <w:r>
              <w:rPr>
                <w:rFonts w:hint="eastAsia" w:ascii="宋体" w:hAnsi="宋体" w:cs="宋体"/>
                <w:color w:val="auto"/>
                <w:sz w:val="21"/>
                <w:szCs w:val="21"/>
                <w:highlight w:val="none"/>
                <w:lang w:val="en-US" w:eastAsia="zh-CN"/>
              </w:rPr>
              <w:t>1.单户持有份额</w:t>
            </w:r>
            <w:r>
              <w:rPr>
                <w:rFonts w:hint="eastAsia" w:ascii="宋体" w:hAnsi="宋体" w:cs="宋体"/>
                <w:color w:val="auto"/>
                <w:sz w:val="21"/>
                <w:szCs w:val="21"/>
                <w:highlight w:val="none"/>
              </w:rPr>
              <w:t>〖</w:t>
            </w:r>
            <w:r>
              <w:rPr>
                <w:rFonts w:hint="eastAsia"/>
                <w:color w:val="auto"/>
                <w:lang w:eastAsia="zh-CN"/>
              </w:rPr>
              <w:t>b</w:t>
            </w:r>
            <w:r>
              <w:rPr>
                <w:rFonts w:hint="eastAsia" w:ascii="宋体" w:hAnsi="宋体" w:cs="宋体"/>
                <w:color w:val="auto"/>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2.</w:t>
            </w:r>
            <w:r>
              <w:rPr>
                <w:rFonts w:hint="eastAsia" w:ascii="宋体" w:hAnsi="宋体" w:eastAsia="宋体" w:cs="宋体"/>
                <w:color w:val="auto"/>
                <w:kern w:val="2"/>
                <w:sz w:val="21"/>
                <w:szCs w:val="21"/>
                <w:highlight w:val="none"/>
                <w:lang w:val="en-US" w:eastAsia="zh-CN" w:bidi="ar-SA"/>
              </w:rPr>
              <w:t>〖A份额〗单户持有上限为〖1〗亿元</w:t>
            </w:r>
            <w:r>
              <w:rPr>
                <w:rFonts w:hint="eastAsia" w:ascii="宋体" w:hAnsi="宋体" w:eastAsia="宋体" w:cs="宋体"/>
                <w:color w:val="auto"/>
                <w:kern w:val="2"/>
                <w:sz w:val="21"/>
                <w:szCs w:val="21"/>
                <w:highlight w:val="none"/>
                <w:lang w:val="en-US" w:eastAsia="zh-CN" w:bidi="ar-SA"/>
              </w:rPr>
              <w:br w:type="textWrapping"/>
            </w:r>
            <w:r>
              <w:rPr>
                <w:rFonts w:hint="eastAsia" w:ascii="宋体" w:hAnsi="宋体" w:eastAsia="宋体" w:cs="宋体"/>
                <w:color w:val="auto"/>
                <w:kern w:val="2"/>
                <w:sz w:val="21"/>
                <w:szCs w:val="21"/>
                <w:highlight w:val="none"/>
                <w:lang w:val="en-US" w:eastAsia="zh-CN" w:bidi="ar-SA"/>
              </w:rPr>
              <w:t>〖B份额〗单户持有上限为〖1〗亿元</w:t>
            </w:r>
            <w:r>
              <w:rPr>
                <w:rFonts w:hint="eastAsia" w:ascii="宋体" w:hAnsi="宋体" w:eastAsia="宋体" w:cs="宋体"/>
                <w:color w:val="auto"/>
                <w:kern w:val="2"/>
                <w:sz w:val="21"/>
                <w:szCs w:val="21"/>
                <w:highlight w:val="none"/>
                <w:lang w:val="en-US" w:eastAsia="zh-CN" w:bidi="ar-SA"/>
              </w:rPr>
              <w:br w:type="textWrapping"/>
            </w:r>
            <w:r>
              <w:rPr>
                <w:rFonts w:hint="eastAsia" w:ascii="宋体" w:hAnsi="宋体" w:eastAsia="宋体" w:cs="宋体"/>
                <w:color w:val="auto"/>
                <w:kern w:val="2"/>
                <w:sz w:val="21"/>
                <w:szCs w:val="21"/>
                <w:highlight w:val="none"/>
                <w:lang w:val="en-US" w:eastAsia="zh-CN" w:bidi="ar-SA"/>
              </w:rPr>
              <w:t>〖H份额〗单户持有上限为〖1〗亿元</w:t>
            </w:r>
            <w:r>
              <w:rPr>
                <w:rFonts w:hint="eastAsia" w:ascii="宋体" w:hAnsi="宋体" w:eastAsia="宋体" w:cs="宋体"/>
                <w:color w:val="auto"/>
                <w:kern w:val="2"/>
                <w:sz w:val="21"/>
                <w:szCs w:val="21"/>
                <w:highlight w:val="none"/>
                <w:lang w:val="en-US" w:eastAsia="zh-CN" w:bidi="ar-SA"/>
              </w:rPr>
              <w:br w:type="textWrapping"/>
            </w:r>
            <w:r>
              <w:rPr>
                <w:rFonts w:hint="eastAsia" w:ascii="宋体" w:hAnsi="宋体" w:eastAsia="宋体" w:cs="宋体"/>
                <w:color w:val="auto"/>
                <w:kern w:val="2"/>
                <w:sz w:val="21"/>
                <w:szCs w:val="21"/>
                <w:highlight w:val="none"/>
                <w:lang w:val="en-US" w:eastAsia="zh-CN" w:bidi="ar-SA"/>
              </w:rPr>
              <w:t>〖L份额〗单户持有上限为〖1〗亿元</w:t>
            </w:r>
            <w:r>
              <w:rPr>
                <w:rFonts w:hint="eastAsia" w:ascii="宋体" w:hAnsi="宋体" w:eastAsia="宋体" w:cs="宋体"/>
                <w:color w:val="auto"/>
                <w:kern w:val="2"/>
                <w:sz w:val="21"/>
                <w:szCs w:val="21"/>
                <w:highlight w:val="none"/>
                <w:lang w:val="en-US" w:eastAsia="zh-CN" w:bidi="ar-SA"/>
              </w:rPr>
              <w:br w:type="textWrapping"/>
            </w:r>
            <w:r>
              <w:rPr>
                <w:rFonts w:hint="eastAsia" w:ascii="宋体" w:hAnsi="宋体" w:eastAsia="宋体" w:cs="宋体"/>
                <w:color w:val="auto"/>
                <w:kern w:val="2"/>
                <w:sz w:val="21"/>
                <w:szCs w:val="21"/>
                <w:highlight w:val="none"/>
                <w:lang w:val="en-US" w:eastAsia="zh-CN" w:bidi="ar-SA"/>
              </w:rPr>
              <w:t>〖ZA份额〗单户持有上限为〖1〗亿元</w:t>
            </w:r>
            <w:r>
              <w:rPr>
                <w:rFonts w:hint="eastAsia" w:ascii="宋体" w:hAnsi="宋体" w:eastAsia="宋体" w:cs="宋体"/>
                <w:color w:val="auto"/>
                <w:kern w:val="2"/>
                <w:sz w:val="21"/>
                <w:szCs w:val="21"/>
                <w:highlight w:val="none"/>
                <w:lang w:val="en-US" w:eastAsia="zh-CN" w:bidi="ar-SA"/>
              </w:rPr>
              <w:br w:type="textWrapping"/>
            </w:r>
            <w:r>
              <w:rPr>
                <w:rFonts w:hint="eastAsia" w:ascii="宋体" w:hAnsi="宋体" w:eastAsia="宋体" w:cs="宋体"/>
                <w:color w:val="auto"/>
                <w:kern w:val="2"/>
                <w:sz w:val="21"/>
                <w:szCs w:val="21"/>
                <w:highlight w:val="none"/>
                <w:lang w:val="en-US" w:eastAsia="zh-CN" w:bidi="ar-SA"/>
              </w:rPr>
              <w:t>〖ZB份额〗单户持有上限为〖1〗亿元</w:t>
            </w:r>
            <w:r>
              <w:rPr>
                <w:rFonts w:hint="eastAsia" w:ascii="宋体" w:hAnsi="宋体" w:eastAsia="宋体" w:cs="宋体"/>
                <w:color w:val="auto"/>
                <w:kern w:val="2"/>
                <w:sz w:val="21"/>
                <w:szCs w:val="21"/>
                <w:highlight w:val="none"/>
                <w:lang w:val="en-US" w:eastAsia="zh-CN" w:bidi="ar-SA"/>
              </w:rPr>
              <w:br w:type="textWrapping"/>
            </w:r>
            <w:r>
              <w:rPr>
                <w:rFonts w:hint="eastAsia" w:ascii="宋体" w:hAnsi="宋体" w:eastAsia="宋体" w:cs="宋体"/>
                <w:color w:val="auto"/>
                <w:kern w:val="2"/>
                <w:sz w:val="21"/>
                <w:szCs w:val="21"/>
                <w:highlight w:val="none"/>
                <w:lang w:val="en-US" w:eastAsia="zh-CN" w:bidi="ar-SA"/>
              </w:rPr>
              <w:t>〖ZC份额〗单户持有上限为〖1〗亿元</w:t>
            </w:r>
            <w:r>
              <w:rPr>
                <w:rFonts w:hint="eastAsia" w:ascii="宋体" w:hAnsi="宋体" w:eastAsia="宋体" w:cs="宋体"/>
                <w:color w:val="auto"/>
                <w:kern w:val="2"/>
                <w:sz w:val="21"/>
                <w:szCs w:val="21"/>
                <w:highlight w:val="none"/>
                <w:lang w:val="en-US" w:eastAsia="zh-CN" w:bidi="ar-SA"/>
              </w:rPr>
              <w:br w:type="textWrapping"/>
            </w:r>
            <w:r>
              <w:rPr>
                <w:rFonts w:hint="eastAsia" w:ascii="宋体" w:hAnsi="宋体" w:eastAsia="宋体" w:cs="宋体"/>
                <w:color w:val="auto"/>
                <w:kern w:val="2"/>
                <w:sz w:val="21"/>
                <w:szCs w:val="21"/>
                <w:highlight w:val="none"/>
                <w:lang w:val="en-US" w:eastAsia="zh-CN" w:bidi="ar-SA"/>
              </w:rPr>
              <w:t>〖ZD份额〗单户持有上限为〖1〗亿元</w:t>
            </w:r>
            <w:r>
              <w:rPr>
                <w:rFonts w:hint="eastAsia" w:ascii="宋体" w:hAnsi="宋体" w:eastAsia="宋体" w:cs="宋体"/>
                <w:color w:val="auto"/>
                <w:kern w:val="2"/>
                <w:sz w:val="21"/>
                <w:szCs w:val="21"/>
                <w:highlight w:val="none"/>
                <w:lang w:val="en-US" w:eastAsia="zh-CN" w:bidi="ar-SA"/>
              </w:rPr>
              <w:br w:type="textWrapping"/>
            </w:r>
            <w:r>
              <w:rPr>
                <w:rFonts w:hint="eastAsia" w:ascii="宋体" w:hAnsi="宋体" w:eastAsia="宋体" w:cs="宋体"/>
                <w:color w:val="auto"/>
                <w:kern w:val="2"/>
                <w:sz w:val="21"/>
                <w:szCs w:val="21"/>
                <w:highlight w:val="none"/>
                <w:lang w:val="en-US" w:eastAsia="zh-CN" w:bidi="ar-SA"/>
              </w:rPr>
              <w:t>〖ZE份额〗单户持有上限为〖1〗亿元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auto"/>
                <w:sz w:val="21"/>
                <w:szCs w:val="21"/>
                <w:highlight w:val="none"/>
              </w:rPr>
            </w:pPr>
            <w:r>
              <w:rPr>
                <w:rFonts w:hint="eastAsia" w:ascii="宋体" w:hAnsi="宋体" w:cs="宋体"/>
                <w:bCs/>
                <w:color w:val="auto"/>
                <w:sz w:val="21"/>
                <w:szCs w:val="21"/>
                <w:highlight w:val="none"/>
              </w:rPr>
              <w:t>申购份额=申购金额÷确认日</w:t>
            </w:r>
            <w:r>
              <w:rPr>
                <w:rFonts w:hint="eastAsia" w:ascii="宋体" w:hAnsi="宋体" w:cs="宋体"/>
                <w:bCs/>
                <w:color w:val="auto"/>
                <w:sz w:val="21"/>
                <w:szCs w:val="21"/>
                <w:highlight w:val="none"/>
                <w:lang w:eastAsia="zh-CN"/>
              </w:rPr>
              <w:t>前一</w:t>
            </w:r>
            <w:r>
              <w:rPr>
                <w:rFonts w:hint="eastAsia" w:ascii="宋体" w:hAnsi="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工作日</w:t>
            </w:r>
            <w:r>
              <w:rPr>
                <w:rFonts w:hint="eastAsia" w:ascii="宋体" w:hAnsi="宋体" w:cs="宋体"/>
                <w:color w:val="auto"/>
                <w:sz w:val="21"/>
                <w:szCs w:val="21"/>
                <w:highlight w:val="none"/>
              </w:rPr>
              <w:t>〗</w:t>
            </w:r>
            <w:r>
              <w:rPr>
                <w:rFonts w:hint="eastAsia" w:ascii="宋体" w:hAnsi="宋体" w:cs="宋体"/>
                <w:bCs/>
                <w:color w:val="auto"/>
                <w:sz w:val="21"/>
                <w:szCs w:val="21"/>
                <w:highlight w:val="none"/>
              </w:rPr>
              <w:t>的单位净值。申购</w:t>
            </w:r>
            <w:r>
              <w:rPr>
                <w:rFonts w:hint="eastAsia" w:ascii="宋体" w:hAnsi="宋体" w:cs="宋体"/>
                <w:color w:val="auto"/>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auto"/>
                <w:sz w:val="21"/>
                <w:szCs w:val="21"/>
                <w:highlight w:val="none"/>
              </w:rPr>
            </w:pPr>
            <w:r>
              <w:rPr>
                <w:rFonts w:hint="eastAsia" w:ascii="宋体" w:hAnsi="宋体" w:cs="宋体"/>
                <w:color w:val="auto"/>
                <w:sz w:val="21"/>
                <w:szCs w:val="21"/>
                <w:highlight w:val="none"/>
              </w:rPr>
              <w:t>赎回金额=赎</w:t>
            </w:r>
            <w:r>
              <w:rPr>
                <w:rFonts w:hint="eastAsia" w:ascii="宋体" w:hAnsi="宋体" w:cs="宋体"/>
                <w:bCs/>
                <w:color w:val="auto"/>
                <w:sz w:val="21"/>
                <w:szCs w:val="21"/>
                <w:highlight w:val="none"/>
              </w:rPr>
              <w:t>回份额×确认日</w:t>
            </w:r>
            <w:r>
              <w:rPr>
                <w:rFonts w:hint="eastAsia" w:ascii="宋体" w:hAnsi="宋体" w:cs="宋体"/>
                <w:bCs/>
                <w:color w:val="auto"/>
                <w:sz w:val="21"/>
                <w:szCs w:val="21"/>
                <w:highlight w:val="none"/>
                <w:lang w:eastAsia="zh-CN"/>
              </w:rPr>
              <w:t>前一</w:t>
            </w:r>
            <w:r>
              <w:rPr>
                <w:rFonts w:hint="eastAsia" w:ascii="宋体" w:hAnsi="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工作日</w:t>
            </w:r>
            <w:r>
              <w:rPr>
                <w:rFonts w:hint="eastAsia" w:ascii="宋体" w:hAnsi="宋体" w:cs="宋体"/>
                <w:color w:val="auto"/>
                <w:sz w:val="21"/>
                <w:szCs w:val="21"/>
                <w:highlight w:val="none"/>
              </w:rPr>
              <w:t>〗</w:t>
            </w:r>
            <w:r>
              <w:rPr>
                <w:rFonts w:hint="eastAsia" w:ascii="宋体" w:hAnsi="宋体" w:cs="宋体"/>
                <w:bCs/>
                <w:color w:val="auto"/>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单位净值=理财计划估值日理财计划总净值</w:t>
            </w:r>
            <w:r>
              <w:rPr>
                <w:rFonts w:hint="eastAsia" w:ascii="宋体" w:hAnsi="宋体" w:cs="宋体"/>
                <w:bCs/>
                <w:color w:val="auto"/>
                <w:sz w:val="21"/>
                <w:szCs w:val="21"/>
                <w:highlight w:val="none"/>
              </w:rPr>
              <w:t>÷</w:t>
            </w:r>
            <w:r>
              <w:rPr>
                <w:rFonts w:hint="eastAsia" w:ascii="宋体" w:hAnsi="宋体" w:cs="宋体"/>
                <w:color w:val="auto"/>
                <w:sz w:val="21"/>
                <w:szCs w:val="21"/>
                <w:highlight w:val="none"/>
              </w:rPr>
              <w:t>理财计划总份额，单位净值〖保留小数点后四位〗</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rPr>
              <w:t>〖</w:t>
            </w:r>
            <w:r>
              <w:rPr>
                <w:rFonts w:hint="eastAsia" w:ascii="宋体" w:hAnsi="宋体" w:cs="宋体"/>
                <w:color w:val="auto"/>
                <w:sz w:val="21"/>
                <w:szCs w:val="21"/>
                <w:highlight w:val="none"/>
                <w:lang w:eastAsia="zh-CN"/>
              </w:rPr>
              <w:t>四位后去尾</w:t>
            </w:r>
            <w:r>
              <w:rPr>
                <w:rFonts w:hint="eastAsia" w:ascii="宋体" w:hAnsi="宋体" w:cs="宋体"/>
                <w:color w:val="auto"/>
                <w:sz w:val="21"/>
                <w:szCs w:val="21"/>
                <w:highlight w:val="none"/>
              </w:rPr>
              <w:t>〗</w:t>
            </w:r>
            <w:r>
              <w:rPr>
                <w:rFonts w:hint="eastAsia" w:ascii="宋体" w:hAnsi="宋体" w:cs="宋体"/>
                <w:color w:val="auto"/>
                <w:sz w:val="21"/>
                <w:szCs w:val="21"/>
                <w:highlight w:val="none"/>
                <w:lang w:eastAsia="zh-CN"/>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auto"/>
                <w:sz w:val="21"/>
                <w:szCs w:val="21"/>
                <w:highlight w:val="none"/>
              </w:rPr>
            </w:pPr>
            <w:r>
              <w:rPr>
                <w:rFonts w:hint="eastAsia" w:ascii="宋体" w:hAnsi="宋体" w:cs="宋体"/>
                <w:color w:val="auto"/>
                <w:sz w:val="21"/>
                <w:szCs w:val="21"/>
                <w:highlight w:val="none"/>
              </w:rPr>
              <w:t>理财计划总净值=理财计划认购总额+理财计划所获总收益-理财计划总费用（包括但不限于</w:t>
            </w:r>
            <w:r>
              <w:rPr>
                <w:rFonts w:hint="eastAsia" w:ascii="宋体" w:hAnsi="宋体" w:cs="宋体"/>
                <w:color w:val="auto"/>
                <w:sz w:val="21"/>
                <w:szCs w:val="21"/>
                <w:highlight w:val="none"/>
                <w:lang w:val="en-US" w:eastAsia="zh-CN"/>
              </w:rPr>
              <w:t>固定</w:t>
            </w:r>
            <w:r>
              <w:rPr>
                <w:rFonts w:hint="eastAsia" w:ascii="宋体" w:hAnsi="宋体" w:cs="宋体"/>
                <w:color w:val="auto"/>
                <w:sz w:val="21"/>
                <w:szCs w:val="21"/>
                <w:highlight w:val="none"/>
              </w:rPr>
              <w:t>管理费、托管费、</w:t>
            </w:r>
            <w:r>
              <w:rPr>
                <w:rFonts w:hint="eastAsia" w:ascii="宋体" w:hAnsi="宋体" w:cs="宋体"/>
                <w:color w:val="auto"/>
                <w:sz w:val="21"/>
                <w:szCs w:val="21"/>
                <w:highlight w:val="none"/>
                <w:lang w:eastAsia="zh-CN"/>
              </w:rPr>
              <w:t>销售服务费、</w:t>
            </w:r>
            <w:r>
              <w:rPr>
                <w:rFonts w:hint="eastAsia" w:ascii="宋体" w:hAnsi="宋体" w:cs="宋体"/>
                <w:color w:val="auto"/>
                <w:sz w:val="21"/>
                <w:szCs w:val="21"/>
                <w:highlight w:val="none"/>
                <w:lang w:val="en-US" w:eastAsia="zh-CN"/>
              </w:rPr>
              <w:t>浮动管理费（如有）</w:t>
            </w:r>
            <w:r>
              <w:rPr>
                <w:rFonts w:hint="eastAsia" w:ascii="宋体" w:hAnsi="宋体" w:cs="宋体"/>
                <w:color w:val="auto"/>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auto"/>
                <w:sz w:val="21"/>
                <w:szCs w:val="21"/>
                <w:highlight w:val="none"/>
              </w:rPr>
            </w:pPr>
            <w:r>
              <w:rPr>
                <w:rFonts w:hint="eastAsia" w:ascii="宋体" w:hAnsi="宋体" w:cs="宋体"/>
                <w:color w:val="auto"/>
                <w:sz w:val="21"/>
                <w:szCs w:val="21"/>
                <w:highlight w:val="none"/>
              </w:rPr>
              <w:t>1.赎回资金确认后，最快</w:t>
            </w:r>
            <w:r>
              <w:rPr>
                <w:rFonts w:hint="eastAsia" w:ascii="宋体" w:hAnsi="宋体" w:eastAsia="宋体" w:cs="宋体"/>
                <w:color w:val="auto"/>
                <w:kern w:val="2"/>
                <w:sz w:val="21"/>
                <w:szCs w:val="21"/>
                <w:highlight w:val="none"/>
                <w:lang w:val="en-US" w:eastAsia="zh-CN" w:bidi="ar-SA"/>
              </w:rPr>
              <w:t>〖确认日当日〗</w:t>
            </w:r>
            <w:r>
              <w:rPr>
                <w:rFonts w:hint="eastAsia" w:ascii="宋体" w:hAnsi="宋体" w:cs="宋体"/>
                <w:color w:val="auto"/>
                <w:sz w:val="21"/>
                <w:szCs w:val="21"/>
                <w:highlight w:val="none"/>
              </w:rPr>
              <w:t>，最晚</w:t>
            </w:r>
            <w:r>
              <w:rPr>
                <w:rFonts w:hint="eastAsia" w:ascii="宋体" w:hAnsi="宋体" w:eastAsia="宋体" w:cs="宋体"/>
                <w:color w:val="auto"/>
                <w:kern w:val="2"/>
                <w:sz w:val="21"/>
                <w:szCs w:val="21"/>
                <w:highlight w:val="none"/>
                <w:lang w:val="en-US" w:eastAsia="zh-CN" w:bidi="ar-SA"/>
              </w:rPr>
              <w:t>确认日后〖2〗个〖工作日〗内</w:t>
            </w:r>
            <w:r>
              <w:rPr>
                <w:rFonts w:hint="eastAsia" w:ascii="宋体" w:hAnsi="宋体" w:cs="宋体"/>
                <w:color w:val="auto"/>
                <w:sz w:val="21"/>
                <w:szCs w:val="21"/>
                <w:highlight w:val="none"/>
              </w:rPr>
              <w:t>（遇节假日顺延）支付。如遇资金在途或法定工作日调整，实际资金到账日以公告为准。</w:t>
            </w:r>
            <w:r>
              <w:rPr>
                <w:rFonts w:hint="eastAsia" w:ascii="宋体" w:hAnsi="宋体" w:cs="宋体"/>
                <w:color w:val="auto"/>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auto"/>
                <w:sz w:val="21"/>
                <w:szCs w:val="21"/>
                <w:highlight w:val="none"/>
              </w:rPr>
            </w:pPr>
            <w:r>
              <w:rPr>
                <w:rFonts w:hint="eastAsia" w:ascii="宋体" w:hAnsi="宋体" w:cs="宋体"/>
                <w:color w:val="auto"/>
                <w:sz w:val="21"/>
                <w:szCs w:val="21"/>
                <w:highlight w:val="none"/>
              </w:rPr>
              <w:t>2.理财计划到期</w:t>
            </w:r>
            <w:r>
              <w:rPr>
                <w:rFonts w:hint="eastAsia" w:ascii="宋体" w:hAnsi="宋体" w:cs="宋体"/>
                <w:color w:val="auto"/>
                <w:sz w:val="21"/>
                <w:szCs w:val="21"/>
                <w:highlight w:val="none"/>
                <w:lang w:eastAsia="zh-CN"/>
              </w:rPr>
              <w:t>确认</w:t>
            </w:r>
            <w:r>
              <w:rPr>
                <w:rFonts w:hint="eastAsia" w:ascii="宋体" w:hAnsi="宋体" w:cs="宋体"/>
                <w:color w:val="auto"/>
                <w:sz w:val="21"/>
                <w:szCs w:val="21"/>
                <w:highlight w:val="none"/>
              </w:rPr>
              <w:t>后，最快</w:t>
            </w:r>
            <w:r>
              <w:rPr>
                <w:rFonts w:hint="eastAsia" w:ascii="宋体" w:hAnsi="宋体" w:eastAsia="宋体" w:cs="宋体"/>
                <w:color w:val="auto"/>
                <w:kern w:val="2"/>
                <w:sz w:val="21"/>
                <w:szCs w:val="21"/>
                <w:lang w:val="en-US" w:eastAsia="zh-CN" w:bidi="ar"/>
              </w:rPr>
              <w:t>〖1〗个〖工作日〗</w:t>
            </w:r>
            <w:r>
              <w:rPr>
                <w:rFonts w:hint="eastAsia" w:ascii="宋体" w:hAnsi="宋体" w:cs="宋体"/>
                <w:color w:val="auto"/>
                <w:sz w:val="21"/>
                <w:szCs w:val="21"/>
                <w:highlight w:val="none"/>
              </w:rPr>
              <w:t>，最晚</w:t>
            </w:r>
            <w:r>
              <w:rPr>
                <w:rFonts w:hint="eastAsia" w:ascii="宋体" w:hAnsi="宋体" w:eastAsia="宋体" w:cs="宋体"/>
                <w:color w:val="auto"/>
                <w:kern w:val="2"/>
                <w:sz w:val="21"/>
                <w:szCs w:val="21"/>
                <w:lang w:val="en-US" w:eastAsia="zh-CN" w:bidi="ar"/>
              </w:rPr>
              <w:t>〖3〗个〖工作日〗</w:t>
            </w:r>
            <w:r>
              <w:rPr>
                <w:rFonts w:hint="eastAsia" w:ascii="宋体" w:hAnsi="宋体" w:cs="宋体"/>
                <w:color w:val="auto"/>
                <w:sz w:val="21"/>
                <w:szCs w:val="21"/>
                <w:highlight w:val="none"/>
              </w:rPr>
              <w:t>内（遇节假日顺延）支付。如遇资金在途或法定工作日调整，实际资金到账日以公告为准。</w:t>
            </w:r>
            <w:r>
              <w:rPr>
                <w:rFonts w:hint="eastAsia" w:ascii="宋体" w:hAnsi="宋体" w:cs="宋体"/>
                <w:color w:val="auto"/>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color w:val="auto"/>
                <w:sz w:val="21"/>
                <w:szCs w:val="21"/>
                <w:highlight w:val="none"/>
              </w:rPr>
            </w:pPr>
            <w:r>
              <w:rPr>
                <w:rFonts w:hint="eastAsia" w:ascii="宋体" w:hAnsi="宋体" w:cs="宋体"/>
                <w:color w:val="auto"/>
                <w:sz w:val="21"/>
                <w:szCs w:val="21"/>
                <w:highlight w:val="none"/>
              </w:rPr>
              <w:t>在满足收益分配基准日理财计划份额净值大于1元的情况下，管理人将〖定期〗将大于1元部分的收益进行全部或部分收益分配，具体分配方案以管理人公告为准。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业绩比较基准</w:t>
            </w:r>
          </w:p>
        </w:tc>
        <w:tc>
          <w:tcPr>
            <w:tcW w:w="7185" w:type="dxa"/>
            <w:noWrap w:val="0"/>
            <w:vAlign w:val="center"/>
          </w:tcPr>
          <w:p>
            <w:pPr>
              <w:pageBreakBefore w:val="0"/>
              <w:spacing w:before="0" w:after="0" w:line="360" w:lineRule="auto"/>
              <w:ind w:left="0" w:right="0" w:hanging="1"/>
              <w:jc w:val="left"/>
              <w:textAlignment w:val="auto"/>
              <w:rPr>
                <w:color w:val="auto"/>
              </w:rPr>
            </w:pPr>
            <w:r>
              <w:rPr>
                <w:rFonts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本理财计划〖A份额〗业绩比较基准为〖2.40%-2.60%〗（年化）。</w:t>
            </w:r>
            <w:r>
              <w:rPr>
                <w:rFonts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本理财计划〖B份额〗业绩比较基准为〖2.50%-2.70%〗（年化）。</w:t>
            </w:r>
            <w:r>
              <w:rPr>
                <w:rFonts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本理财计划〖H份额〗业绩比较基准为〖2.40%-2.60%〗（年化）。</w:t>
            </w:r>
            <w:r>
              <w:rPr>
                <w:rFonts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auto"/>
                <w:kern w:val="2"/>
                <w:position w:val="-1"/>
                <w:sz w:val="21"/>
                <w:u w:val="none"/>
                <w:vertAlign w:val="baseline"/>
              </w:rPr>
              <w:t>本理财计划〖L份额〗业绩比较基准为〖2.50%-2.70%〗（年化）。</w:t>
            </w:r>
            <w:r>
              <w:rPr>
                <w:rFonts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本理财计划〖ZA份额〗业绩比较基准为〖2.40%-2.60%〗（年化）。</w:t>
            </w:r>
            <w:r>
              <w:rPr>
                <w:rFonts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auto"/>
                <w:kern w:val="2"/>
                <w:position w:val="-1"/>
                <w:sz w:val="21"/>
                <w:u w:val="none"/>
                <w:vertAlign w:val="baseline"/>
              </w:rPr>
              <w:t>本理财计划〖ZB份额〗业绩比较基准为〖2.50%-2.70%〗（年化）。</w:t>
            </w:r>
            <w:r>
              <w:rPr>
                <w:rFonts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auto"/>
                <w:kern w:val="2"/>
                <w:position w:val="-1"/>
                <w:sz w:val="21"/>
                <w:u w:val="none"/>
                <w:vertAlign w:val="baseline"/>
              </w:rPr>
              <w:t>本理财计划〖ZC份额〗业绩比较基准为〖2.60%-2.80%〗（年化）。</w:t>
            </w:r>
            <w:r>
              <w:rPr>
                <w:rFonts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auto"/>
                <w:kern w:val="2"/>
                <w:position w:val="-1"/>
                <w:sz w:val="21"/>
                <w:u w:val="none"/>
                <w:vertAlign w:val="baseline"/>
              </w:rPr>
              <w:t>本理财计划〖ZD份额〗业绩比较基准为〖2.55%-2.75%〗（年化）。</w:t>
            </w:r>
            <w:r>
              <w:rPr>
                <w:rFonts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auto"/>
                <w:kern w:val="2"/>
                <w:position w:val="-1"/>
                <w:sz w:val="21"/>
                <w:u w:val="none"/>
                <w:vertAlign w:val="baseline"/>
              </w:rPr>
              <w:t>本理财计划〖ZE份额〗业绩比较基准为〖2.45%-2.65%〗（年化）。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业绩基准测算依据：</w:t>
            </w:r>
            <w:r>
              <w:rPr>
                <w:rFonts w:hint="eastAsia" w:ascii="宋体" w:hAnsi="宋体" w:eastAsia="宋体" w:cs="宋体"/>
                <w:b/>
                <w:bCs/>
                <w:color w:val="auto"/>
                <w:kern w:val="2"/>
                <w:sz w:val="21"/>
                <w:szCs w:val="21"/>
                <w:lang w:val="en-US" w:eastAsia="zh-CN" w:bidi="ar"/>
              </w:rPr>
              <w:t>本理财计划重点投资于货币市场工具、债券、非标准化债权类资产等资产，管理人根据固定收益市场历史表现，结合当前利率水平、资产配比及市场同类型产品情况，经综合判断得出。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color w:val="auto"/>
                <w:sz w:val="21"/>
                <w:szCs w:val="21"/>
                <w:highlight w:val="none"/>
              </w:rPr>
            </w:pPr>
            <w:r>
              <w:rPr>
                <w:rFonts w:hint="eastAsia" w:ascii="宋体" w:hAnsi="宋体" w:cs="宋体"/>
                <w:color w:val="auto"/>
                <w:sz w:val="21"/>
                <w:szCs w:val="21"/>
                <w:highlight w:val="none"/>
              </w:rPr>
              <w:t>管理人有权根据市场情况及</w:t>
            </w:r>
            <w:r>
              <w:rPr>
                <w:rFonts w:hint="eastAsia" w:ascii="宋体" w:hAnsi="宋体" w:cs="宋体"/>
                <w:color w:val="auto"/>
                <w:sz w:val="21"/>
                <w:szCs w:val="21"/>
                <w:highlight w:val="none"/>
                <w:lang w:eastAsia="zh-CN"/>
              </w:rPr>
              <w:t>理财计划</w:t>
            </w:r>
            <w:r>
              <w:rPr>
                <w:rFonts w:hint="eastAsia" w:ascii="宋体" w:hAnsi="宋体" w:cs="宋体"/>
                <w:color w:val="auto"/>
                <w:sz w:val="21"/>
                <w:szCs w:val="21"/>
                <w:highlight w:val="none"/>
              </w:rPr>
              <w:t>运作情况调整业绩基准，并至少于新业绩基准启用前</w:t>
            </w:r>
            <w:r>
              <w:rPr>
                <w:rFonts w:hint="eastAsia" w:ascii="宋体" w:hAnsi="宋体" w:cs="宋体"/>
                <w:color w:val="auto"/>
                <w:kern w:val="0"/>
                <w:sz w:val="21"/>
                <w:szCs w:val="21"/>
                <w:highlight w:val="none"/>
              </w:rPr>
              <w:t>〖</w:t>
            </w:r>
            <w:r>
              <w:rPr>
                <w:rFonts w:hint="eastAsia" w:ascii="宋体" w:hAnsi="宋体" w:cs="宋体"/>
                <w:color w:val="auto"/>
                <w:kern w:val="0"/>
                <w:sz w:val="21"/>
                <w:szCs w:val="21"/>
                <w:highlight w:val="none"/>
                <w:lang w:val="en-US" w:eastAsia="zh-CN"/>
              </w:rPr>
              <w:t>2</w:t>
            </w:r>
            <w:r>
              <w:rPr>
                <w:rFonts w:hint="eastAsia" w:ascii="宋体" w:hAnsi="宋体" w:cs="宋体"/>
                <w:color w:val="auto"/>
                <w:kern w:val="0"/>
                <w:sz w:val="21"/>
                <w:szCs w:val="21"/>
                <w:highlight w:val="none"/>
              </w:rPr>
              <w:t>〗</w:t>
            </w:r>
            <w:r>
              <w:rPr>
                <w:rFonts w:hint="eastAsia" w:ascii="宋体" w:hAnsi="宋体" w:cs="宋体"/>
                <w:color w:val="auto"/>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auto"/>
                <w:sz w:val="21"/>
                <w:szCs w:val="21"/>
                <w:highlight w:val="none"/>
              </w:rPr>
            </w:pPr>
            <w:r>
              <w:rPr>
                <w:rFonts w:hint="eastAsia" w:ascii="宋体" w:hAnsi="宋体" w:cs="宋体"/>
                <w:b/>
                <w:color w:val="auto"/>
                <w:sz w:val="21"/>
                <w:szCs w:val="21"/>
                <w:highlight w:val="none"/>
              </w:rPr>
              <w:t>本理财计划为净值型理财产品，其业绩表现将随市场波动具有不确定性。本公司提醒投资者关注，业绩比较基准</w:t>
            </w:r>
            <w:r>
              <w:rPr>
                <w:rFonts w:hint="eastAsia" w:ascii="宋体" w:hAnsi="宋体" w:cs="宋体"/>
                <w:b/>
                <w:color w:val="auto"/>
                <w:sz w:val="21"/>
                <w:szCs w:val="21"/>
                <w:highlight w:val="none"/>
                <w:lang w:eastAsia="zh-CN"/>
              </w:rPr>
              <w:t>不是预期收益率，</w:t>
            </w:r>
            <w:r>
              <w:rPr>
                <w:rFonts w:hint="eastAsia" w:ascii="宋体" w:hAnsi="宋体" w:cs="宋体"/>
                <w:b/>
                <w:color w:val="auto"/>
                <w:sz w:val="21"/>
                <w:szCs w:val="21"/>
                <w:highlight w:val="none"/>
              </w:rPr>
              <w:t>并不代表</w:t>
            </w:r>
            <w:r>
              <w:rPr>
                <w:rFonts w:hint="eastAsia" w:ascii="宋体" w:hAnsi="宋体" w:cs="宋体"/>
                <w:b/>
                <w:color w:val="auto"/>
                <w:sz w:val="21"/>
                <w:szCs w:val="21"/>
                <w:highlight w:val="none"/>
                <w:lang w:eastAsia="zh-CN"/>
              </w:rPr>
              <w:t>理财计划的未来表现和</w:t>
            </w:r>
            <w:r>
              <w:rPr>
                <w:rFonts w:hint="eastAsia" w:ascii="宋体" w:hAnsi="宋体" w:cs="宋体"/>
                <w:b/>
                <w:color w:val="auto"/>
                <w:sz w:val="21"/>
                <w:szCs w:val="21"/>
                <w:highlight w:val="none"/>
              </w:rPr>
              <w:t>实际收益率</w:t>
            </w:r>
            <w:r>
              <w:rPr>
                <w:rFonts w:hint="eastAsia" w:ascii="宋体" w:hAnsi="宋体" w:cs="宋体"/>
                <w:b/>
                <w:color w:val="auto"/>
                <w:sz w:val="21"/>
                <w:szCs w:val="21"/>
                <w:highlight w:val="none"/>
                <w:lang w:eastAsia="zh-CN"/>
              </w:rPr>
              <w:t>，不构成对理财计划收益的承诺</w:t>
            </w:r>
            <w:r>
              <w:rPr>
                <w:rFonts w:hint="eastAsia" w:ascii="宋体" w:hAnsi="宋体" w:cs="宋体"/>
                <w:b/>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bCs/>
                <w:color w:val="auto"/>
                <w:sz w:val="21"/>
                <w:szCs w:val="21"/>
                <w:highlight w:val="none"/>
                <w:lang w:eastAsia="zh-CN"/>
              </w:rPr>
            </w:pPr>
            <w:r>
              <w:rPr>
                <w:rFonts w:hint="eastAsia" w:ascii="宋体" w:hAnsi="宋体" w:cs="宋体"/>
                <w:color w:val="auto"/>
                <w:sz w:val="21"/>
                <w:szCs w:val="21"/>
                <w:highlight w:val="none"/>
              </w:rPr>
              <w:t>1.</w:t>
            </w:r>
            <w:r>
              <w:rPr>
                <w:rFonts w:hint="eastAsia" w:ascii="宋体" w:hAnsi="宋体" w:cs="宋体"/>
                <w:color w:val="auto"/>
                <w:sz w:val="21"/>
                <w:szCs w:val="21"/>
                <w:highlight w:val="none"/>
                <w:lang w:eastAsia="zh-CN"/>
              </w:rPr>
              <w:t>销售服务费</w:t>
            </w:r>
            <w:r>
              <w:rPr>
                <w:rFonts w:hint="eastAsia" w:ascii="宋体" w:hAnsi="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〖A份额〗收取年化〖0.30%〗的销售服务费, 〖B份额〗收取年化〖0.20%〗的销售服务费, 〖H份额〗收取年化〖0.30%〗的销售服务费, 〖L份额〗收取年化〖0.20%〗的销售服务费, 〖ZA份额〗收取年化〖0.30%〗的销售服务费, 〖ZB份额〗收取年化〖0.20%〗的销售服务费, 〖ZC份额〗收取年化〖0.10%〗的销售服务费, 〖ZD份额〗收取年化〖0.15%〗的销售服务费, 〖ZE份额〗收取年化〖0.25%〗的销售服务费。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2.托管费：收取年化〖</w:t>
            </w:r>
            <w:r>
              <w:rPr>
                <w:rFonts w:hint="eastAsia" w:ascii="宋体" w:hAnsi="宋体" w:eastAsia="宋体" w:cs="宋体"/>
                <w:color w:val="auto"/>
                <w:kern w:val="2"/>
                <w:sz w:val="21"/>
                <w:szCs w:val="21"/>
                <w:highlight w:val="none"/>
                <w:lang w:val="en-US" w:eastAsia="zh-CN" w:bidi="ar-SA"/>
              </w:rPr>
              <w:t>0.025</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rPr>
            </w:pPr>
            <w:r>
              <w:rPr>
                <w:rFonts w:hint="eastAsia" w:ascii="宋体" w:hAnsi="宋体" w:cs="宋体"/>
                <w:color w:val="auto"/>
                <w:sz w:val="21"/>
                <w:szCs w:val="21"/>
                <w:highlight w:val="none"/>
              </w:rPr>
              <w:t>3.固定管理费：</w:t>
            </w:r>
            <w:r>
              <w:rPr>
                <w:rFonts w:hint="eastAsia" w:ascii="宋体" w:hAnsi="宋体" w:eastAsia="宋体" w:cs="宋体"/>
                <w:color w:val="auto"/>
                <w:kern w:val="2"/>
                <w:sz w:val="21"/>
                <w:szCs w:val="21"/>
                <w:highlight w:val="none"/>
                <w:lang w:val="en-US" w:eastAsia="zh-CN" w:bidi="ar-SA"/>
              </w:rPr>
              <w:t>〖A份额〗收取年化〖0.20%〗的固定管理费, 〖B份额〗收取年化〖0.20%〗的固定管理费, 〖H份额〗收取年化〖0.20%〗的固定管理费, 〖L份额〗收取年化〖0.20%〗的固定管理费, 〖ZA份额〗收取年化〖0.20%〗的固定管理费, 〖ZB份额〗收取年化〖0.20%〗的固定管理费, 〖ZC份额〗收取年化〖0.20%〗的固定管理费, 〖ZD份额〗收取年化〖0.20%〗的固定管理费, 〖ZE份额〗收取年化〖0.20%〗的固定管理费。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rPr>
            </w:pPr>
            <w:r>
              <w:rPr>
                <w:rFonts w:hint="eastAsia" w:ascii="宋体" w:hAnsi="宋体" w:cs="宋体"/>
                <w:color w:val="auto"/>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rPr>
            </w:pPr>
            <w:r>
              <w:rPr>
                <w:rFonts w:hint="eastAsia" w:ascii="宋体" w:hAnsi="宋体" w:cs="宋体"/>
                <w:bCs/>
                <w:color w:val="auto"/>
                <w:sz w:val="21"/>
                <w:szCs w:val="21"/>
                <w:highlight w:val="none"/>
              </w:rPr>
              <w:t>5.申购费：</w:t>
            </w:r>
            <w:r>
              <w:rPr>
                <w:rFonts w:hint="eastAsia" w:ascii="宋体" w:hAnsi="宋体" w:cs="宋体"/>
                <w:color w:val="auto"/>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rPr>
            </w:pPr>
            <w:r>
              <w:rPr>
                <w:rFonts w:hint="eastAsia" w:ascii="宋体" w:hAnsi="宋体" w:cs="宋体"/>
                <w:bCs/>
                <w:color w:val="auto"/>
                <w:sz w:val="21"/>
                <w:szCs w:val="21"/>
                <w:highlight w:val="none"/>
              </w:rPr>
              <w:t>6.赎回费：</w:t>
            </w:r>
            <w:r>
              <w:rPr>
                <w:rFonts w:hint="eastAsia" w:ascii="宋体" w:hAnsi="宋体" w:cs="宋体"/>
                <w:color w:val="auto"/>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rPr>
            </w:pPr>
            <w:r>
              <w:rPr>
                <w:rFonts w:hint="eastAsia" w:ascii="宋体" w:hAnsi="宋体" w:cs="宋体"/>
                <w:color w:val="auto"/>
                <w:sz w:val="21"/>
                <w:szCs w:val="21"/>
                <w:highlight w:val="none"/>
              </w:rPr>
              <w:t>7.浮动管理费</w:t>
            </w:r>
            <w:r>
              <w:rPr>
                <w:rFonts w:hint="eastAsia" w:ascii="宋体" w:hAnsi="宋体" w:cs="宋体"/>
                <w:color w:val="auto"/>
                <w:sz w:val="21"/>
                <w:szCs w:val="21"/>
                <w:highlight w:val="none"/>
                <w:lang w:eastAsia="zh-CN"/>
              </w:rPr>
              <w:t>：</w:t>
            </w:r>
            <w:r>
              <w:rPr>
                <w:rFonts w:hint="eastAsia" w:ascii="宋体" w:hAnsi="宋体" w:eastAsia="宋体" w:cs="宋体"/>
                <w:color w:val="auto"/>
                <w:kern w:val="2"/>
                <w:sz w:val="21"/>
                <w:szCs w:val="21"/>
                <w:highlight w:val="none"/>
                <w:lang w:val="en-US" w:eastAsia="zh-CN" w:bidi="ar-SA"/>
              </w:rPr>
              <w:t>管理人根据理财计划投资情况计算浮动管理费，本理财计划份额投资周期的折合年化收益率在〖业绩比较基准下限（含）至业绩比较基准上限（含）〗的部分，管理人提取〖50%〗作为浮动管理费，在折合年化收益率超过〖业绩比较基准上限〗的部分，管理人提取〖80%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auto"/>
                <w:kern w:val="0"/>
                <w:sz w:val="21"/>
                <w:szCs w:val="21"/>
                <w:highlight w:val="none"/>
              </w:rPr>
            </w:pPr>
            <w:r>
              <w:rPr>
                <w:rFonts w:hint="eastAsia" w:ascii="宋体" w:hAnsi="宋体" w:cs="宋体"/>
                <w:b/>
                <w:color w:val="auto"/>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auto"/>
                <w:kern w:val="0"/>
                <w:sz w:val="21"/>
                <w:szCs w:val="21"/>
                <w:highlight w:val="none"/>
                <w:lang w:eastAsia="zh-CN"/>
              </w:rPr>
              <w:t>全部或部分</w:t>
            </w:r>
            <w:r>
              <w:rPr>
                <w:rFonts w:hint="eastAsia" w:ascii="宋体" w:hAnsi="宋体" w:cs="宋体"/>
                <w:b/>
                <w:color w:val="auto"/>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auto"/>
                <w:sz w:val="21"/>
                <w:szCs w:val="21"/>
                <w:highlight w:val="none"/>
              </w:rPr>
            </w:pPr>
            <w:r>
              <w:rPr>
                <w:rFonts w:hint="eastAsia" w:ascii="宋体" w:hAnsi="宋体" w:cs="宋体"/>
                <w:color w:val="auto"/>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1"/>
                <w:szCs w:val="21"/>
                <w:highlight w:val="none"/>
              </w:rPr>
            </w:pPr>
            <w:r>
              <w:rPr>
                <w:rFonts w:hint="eastAsia" w:ascii="宋体" w:hAnsi="宋体" w:cs="宋体"/>
                <w:color w:val="auto"/>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auto"/>
                <w:kern w:val="0"/>
                <w:sz w:val="21"/>
                <w:szCs w:val="21"/>
                <w:highlight w:val="none"/>
              </w:rPr>
            </w:pPr>
            <w:r>
              <w:rPr>
                <w:rFonts w:hint="eastAsia" w:ascii="宋体" w:hAnsi="宋体" w:cs="宋体"/>
                <w:b/>
                <w:color w:val="auto"/>
                <w:kern w:val="0"/>
                <w:sz w:val="21"/>
                <w:szCs w:val="21"/>
                <w:highlight w:val="none"/>
              </w:rPr>
              <w:t>投资者在理财期限内不能提前</w:t>
            </w:r>
            <w:r>
              <w:rPr>
                <w:rFonts w:hint="eastAsia" w:ascii="宋体" w:hAnsi="宋体" w:cs="宋体"/>
                <w:b/>
                <w:color w:val="auto"/>
                <w:kern w:val="0"/>
                <w:sz w:val="21"/>
                <w:szCs w:val="21"/>
                <w:highlight w:val="none"/>
                <w:lang w:eastAsia="zh-CN"/>
              </w:rPr>
              <w:t>赎回</w:t>
            </w:r>
            <w:r>
              <w:rPr>
                <w:rFonts w:hint="eastAsia" w:ascii="宋体" w:hAnsi="宋体" w:cs="宋体"/>
                <w:b/>
                <w:color w:val="auto"/>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auto"/>
                <w:kern w:val="0"/>
                <w:sz w:val="21"/>
                <w:szCs w:val="21"/>
                <w:highlight w:val="none"/>
              </w:rPr>
            </w:pPr>
            <w:r>
              <w:rPr>
                <w:rFonts w:hint="eastAsia" w:ascii="宋体" w:hAnsi="宋体" w:cs="宋体"/>
                <w:color w:val="auto"/>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auto"/>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auto"/>
          <w:sz w:val="24"/>
          <w:highlight w:val="none"/>
        </w:rPr>
      </w:pPr>
      <w:r>
        <w:rPr>
          <w:rFonts w:hint="eastAsia" w:ascii="宋体" w:hAnsi="宋体"/>
          <w:b/>
          <w:color w:val="auto"/>
          <w:sz w:val="24"/>
          <w:highlight w:val="none"/>
        </w:rPr>
        <w:t>特别说明：</w:t>
      </w:r>
      <w:r>
        <w:rPr>
          <w:rFonts w:hint="eastAsia" w:ascii="宋体" w:hAnsi="宋体" w:cs="宋体"/>
          <w:b/>
          <w:color w:val="auto"/>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auto"/>
          <w:sz w:val="24"/>
          <w:highlight w:val="none"/>
        </w:rPr>
      </w:pPr>
    </w:p>
    <w:p>
      <w:pPr>
        <w:numPr>
          <w:ilvl w:val="0"/>
          <w:numId w:val="11"/>
        </w:numPr>
        <w:spacing w:line="360" w:lineRule="auto"/>
        <w:ind w:firstLine="482" w:firstLineChars="200"/>
        <w:outlineLvl w:val="1"/>
        <w:rPr>
          <w:rFonts w:hint="eastAsia" w:ascii="宋体" w:hAnsi="宋体" w:cs="宋体"/>
          <w:b/>
          <w:color w:val="auto"/>
          <w:sz w:val="24"/>
          <w:highlight w:val="none"/>
        </w:rPr>
      </w:pPr>
      <w:r>
        <w:rPr>
          <w:rFonts w:hint="eastAsia" w:ascii="宋体" w:hAnsi="宋体" w:cs="宋体"/>
          <w:b/>
          <w:color w:val="auto"/>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auto"/>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投资范围</w:t>
      </w:r>
    </w:p>
    <w:p>
      <w:p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本理财计划主要投资于符合监管要求的各类资产：</w:t>
      </w:r>
    </w:p>
    <w:p>
      <w:pPr>
        <w:pageBreakBefore w:val="0"/>
        <w:spacing w:line="360" w:lineRule="auto"/>
        <w:ind w:left="-1" w:right="-1" w:firstLine="480"/>
        <w:jc w:val="left"/>
        <w:textAlignment w:val="auto"/>
        <w:rPr>
          <w:color w:val="auto"/>
        </w:rPr>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固定收益类资产：包括但不限于各类债券、存款、货币市场金融工具、债券基金、质押式及买断式回购、非标准化债权类资产，其他符合监管要求的固定收益类资产及资产管理产品。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投资比例</w:t>
      </w:r>
    </w:p>
    <w:p>
      <w:p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本理财计划各投资资产占</w:t>
      </w:r>
      <w:r>
        <w:rPr>
          <w:rFonts w:hint="eastAsia" w:ascii="宋体" w:hAnsi="宋体" w:cs="宋体"/>
          <w:bCs/>
          <w:color w:val="auto"/>
          <w:sz w:val="24"/>
          <w:highlight w:val="none"/>
          <w:lang w:eastAsia="zh-CN"/>
        </w:rPr>
        <w:t>总</w:t>
      </w:r>
      <w:r>
        <w:rPr>
          <w:rFonts w:hint="eastAsia" w:ascii="宋体" w:hAnsi="宋体" w:cs="宋体"/>
          <w:bCs/>
          <w:color w:val="auto"/>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rPr>
                <w:color w:val="auto"/>
              </w:rPr>
            </w:pPr>
          </w:p>
        </w:tc>
        <w:tc>
          <w:tcPr>
            <w:tcW w:w="4500" w:type="dxa"/>
            <w:vAlign w:val="center"/>
          </w:tcPr>
          <w:p>
            <w:pPr>
              <w:jc w:val="center"/>
              <w:textAlignment w:val="center"/>
              <w:rPr>
                <w:color w:val="auto"/>
              </w:rPr>
            </w:pPr>
            <w:r>
              <w:rPr>
                <w:rFonts w:ascii="宋体" w:hAnsi="宋体" w:eastAsia="宋体" w:cs="宋体"/>
                <w:color w:val="auto"/>
              </w:rPr>
              <w:t>投资资产</w:t>
            </w:r>
          </w:p>
        </w:tc>
        <w:tc>
          <w:tcPr>
            <w:tcW w:w="2000" w:type="dxa"/>
            <w:vAlign w:val="center"/>
          </w:tcPr>
          <w:p>
            <w:pPr>
              <w:jc w:val="center"/>
              <w:textAlignment w:val="center"/>
              <w:rPr>
                <w:color w:val="auto"/>
              </w:rPr>
            </w:pPr>
            <w:r>
              <w:rPr>
                <w:rFonts w:ascii="宋体" w:hAnsi="宋体" w:eastAsia="宋体" w:cs="宋体"/>
                <w:color w:val="auto"/>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jc w:val="center"/>
              <w:textAlignment w:val="center"/>
              <w:rPr>
                <w:color w:val="auto"/>
              </w:rPr>
            </w:pPr>
            <w:r>
              <w:rPr>
                <w:rFonts w:ascii="宋体" w:hAnsi="宋体" w:eastAsia="宋体" w:cs="宋体"/>
                <w:color w:val="auto"/>
              </w:rPr>
              <w:t>大类资产类型</w:t>
            </w:r>
          </w:p>
        </w:tc>
        <w:tc>
          <w:tcPr>
            <w:tcW w:w="4500" w:type="dxa"/>
            <w:vAlign w:val="center"/>
          </w:tcPr>
          <w:p>
            <w:pPr>
              <w:jc w:val="center"/>
              <w:textAlignment w:val="center"/>
              <w:rPr>
                <w:color w:val="auto"/>
              </w:rPr>
            </w:pPr>
            <w:r>
              <w:rPr>
                <w:rFonts w:ascii="宋体" w:hAnsi="宋体" w:eastAsia="宋体" w:cs="宋体"/>
                <w:color w:val="auto"/>
              </w:rPr>
              <w:t>固定收益类资产</w:t>
            </w:r>
          </w:p>
        </w:tc>
        <w:tc>
          <w:tcPr>
            <w:tcW w:w="2000" w:type="dxa"/>
            <w:vAlign w:val="center"/>
          </w:tcPr>
          <w:p>
            <w:pPr>
              <w:jc w:val="center"/>
              <w:textAlignment w:val="center"/>
              <w:rPr>
                <w:color w:val="auto"/>
              </w:rPr>
            </w:pPr>
            <w:r>
              <w:rPr>
                <w:rFonts w:ascii="宋体" w:hAnsi="宋体" w:eastAsia="宋体" w:cs="宋体"/>
                <w:color w:val="auto"/>
              </w:rPr>
              <w:t>90%-100%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jc w:val="center"/>
              <w:textAlignment w:val="center"/>
              <w:rPr>
                <w:color w:val="auto"/>
              </w:rPr>
            </w:pPr>
            <w:r>
              <w:rPr>
                <w:rFonts w:ascii="宋体" w:hAnsi="宋体" w:eastAsia="宋体" w:cs="宋体"/>
                <w:color w:val="auto"/>
              </w:rPr>
              <w:t>大类资产类型</w:t>
            </w:r>
          </w:p>
        </w:tc>
        <w:tc>
          <w:tcPr>
            <w:tcW w:w="4500" w:type="dxa"/>
            <w:vAlign w:val="center"/>
          </w:tcPr>
          <w:p>
            <w:pPr>
              <w:jc w:val="center"/>
              <w:textAlignment w:val="center"/>
              <w:rPr>
                <w:color w:val="auto"/>
              </w:rPr>
            </w:pPr>
            <w:r>
              <w:rPr>
                <w:rFonts w:ascii="宋体" w:hAnsi="宋体" w:eastAsia="宋体" w:cs="宋体"/>
                <w:color w:val="auto"/>
              </w:rPr>
              <w:t>权益类资产</w:t>
            </w:r>
          </w:p>
        </w:tc>
        <w:tc>
          <w:tcPr>
            <w:tcW w:w="2000" w:type="dxa"/>
            <w:vAlign w:val="center"/>
          </w:tcPr>
          <w:p>
            <w:pPr>
              <w:jc w:val="center"/>
              <w:textAlignment w:val="center"/>
              <w:rPr>
                <w:color w:val="auto"/>
              </w:rPr>
            </w:pPr>
            <w:r>
              <w:rPr>
                <w:rFonts w:ascii="宋体" w:hAnsi="宋体" w:eastAsia="宋体" w:cs="宋体"/>
                <w:color w:val="auto"/>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rPr>
                <w:color w:val="auto"/>
              </w:rPr>
            </w:pPr>
            <w:r>
              <w:rPr>
                <w:rFonts w:ascii="宋体" w:hAnsi="宋体" w:eastAsia="宋体" w:cs="宋体"/>
                <w:color w:val="auto"/>
              </w:rPr>
              <w:t>特殊资产类型</w:t>
            </w:r>
          </w:p>
        </w:tc>
        <w:tc>
          <w:tcPr>
            <w:tcW w:w="4500" w:type="dxa"/>
            <w:vAlign w:val="center"/>
          </w:tcPr>
          <w:p>
            <w:pPr>
              <w:jc w:val="center"/>
              <w:textAlignment w:val="center"/>
              <w:rPr>
                <w:color w:val="auto"/>
              </w:rPr>
            </w:pPr>
            <w:r>
              <w:rPr>
                <w:rFonts w:ascii="宋体" w:hAnsi="宋体" w:eastAsia="宋体" w:cs="宋体"/>
                <w:color w:val="auto"/>
              </w:rPr>
              <w:t>非标准化债权类资产</w:t>
            </w:r>
          </w:p>
        </w:tc>
        <w:tc>
          <w:tcPr>
            <w:tcW w:w="2000" w:type="dxa"/>
            <w:vAlign w:val="center"/>
          </w:tcPr>
          <w:p>
            <w:pPr>
              <w:jc w:val="center"/>
              <w:textAlignment w:val="center"/>
              <w:rPr>
                <w:color w:val="auto"/>
              </w:rPr>
            </w:pPr>
            <w:r>
              <w:rPr>
                <w:rFonts w:ascii="宋体" w:hAnsi="宋体" w:eastAsia="宋体" w:cs="宋体"/>
                <w:color w:val="auto"/>
              </w:rPr>
              <w:t>0%-50%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投资策略</w:t>
      </w:r>
    </w:p>
    <w:p>
      <w:pPr>
        <w:pStyle w:val="9"/>
        <w:keepNext w:val="0"/>
        <w:keepLines w:val="0"/>
        <w:widowControl w:val="0"/>
        <w:numPr>
          <w:ilvl w:val="0"/>
          <w:numId w:val="14"/>
        </w:numPr>
        <w:suppressLineNumbers w:val="0"/>
        <w:autoSpaceDE w:val="0"/>
        <w:autoSpaceDN w:val="0"/>
        <w:adjustRightInd w:val="0"/>
        <w:spacing w:before="0" w:beforeAutospacing="0" w:after="0" w:afterAutospacing="0" w:line="360" w:lineRule="auto"/>
        <w:ind w:left="0" w:right="0" w:firstLine="4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资产配置策略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2"/>
          <w:sz w:val="24"/>
          <w:szCs w:val="24"/>
          <w:lang w:val="en-US" w:eastAsia="zh-CN" w:bidi="ar"/>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债券投资策略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
        </w:rPr>
        <w:t>管理人本着稳健投资的理念，在研究债券市场宏观环境和利率走势的基础上，严格评估信用风险，通过久期策略、骑乘策略、杠杆策略和交易策略等，配置固定收益资产及资产管理产品，力争获取稳定收益。</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投资限制中列示的资产品种不代表管理人的实际投向，本理财计划投资范围以“投资范围”章节表述为准。</w:t>
      </w:r>
    </w:p>
    <w:p>
      <w:pPr>
        <w:numPr>
          <w:ilvl w:val="0"/>
          <w:numId w:val="16"/>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投资集中度限制</w:t>
      </w:r>
    </w:p>
    <w:p>
      <w:pPr>
        <w:numPr>
          <w:ilvl w:val="0"/>
          <w:numId w:val="17"/>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本理财计划持有单只证券或单只公募</w:t>
      </w:r>
      <w:r>
        <w:rPr>
          <w:color w:val="auto"/>
        </w:rPr>
        <w:fldChar w:fldCharType="begin"/>
      </w:r>
      <w:r>
        <w:rPr>
          <w:color w:val="auto"/>
        </w:rPr>
        <w:instrText xml:space="preserve"> HYPERLINK "https://baike.baidu.com/item/%E8%AF%81%E5%88%B8%E6%8A%95%E8%B5%84%E5%9F%BA%E9%87%91/3746" \t "https://baike.baidu.com/item/%E5%95%86%E4%B8%9A%E9%93%B6%E8%A1%8C%E7%90%86%E8%B4%A2%E4%B8%9A%E5%8A%A1%E7%9B%91%E7%9D%A3%E7%AE%A1%E7%90%86%E5%8A%9E%E6%B3%95/_blank" </w:instrText>
      </w:r>
      <w:r>
        <w:rPr>
          <w:color w:val="auto"/>
        </w:rPr>
        <w:fldChar w:fldCharType="separate"/>
      </w:r>
      <w:r>
        <w:rPr>
          <w:rFonts w:ascii="宋体" w:hAnsi="宋体" w:cs="宋体"/>
          <w:bCs/>
          <w:color w:val="auto"/>
          <w:sz w:val="24"/>
          <w:highlight w:val="none"/>
        </w:rPr>
        <w:t>证券投资基金</w:t>
      </w:r>
      <w:r>
        <w:rPr>
          <w:rFonts w:ascii="宋体" w:hAnsi="宋体" w:cs="宋体"/>
          <w:bCs/>
          <w:color w:val="auto"/>
          <w:sz w:val="24"/>
          <w:highlight w:val="none"/>
        </w:rPr>
        <w:fldChar w:fldCharType="end"/>
      </w:r>
      <w:r>
        <w:rPr>
          <w:rFonts w:ascii="宋体" w:hAnsi="宋体" w:cs="宋体"/>
          <w:bCs/>
          <w:color w:val="auto"/>
          <w:sz w:val="24"/>
          <w:highlight w:val="none"/>
        </w:rPr>
        <w:t>的市值不得超过该理财</w:t>
      </w:r>
      <w:r>
        <w:rPr>
          <w:rFonts w:hint="eastAsia" w:ascii="宋体" w:hAnsi="宋体" w:cs="宋体"/>
          <w:bCs/>
          <w:color w:val="auto"/>
          <w:sz w:val="24"/>
          <w:highlight w:val="none"/>
        </w:rPr>
        <w:t>计划</w:t>
      </w:r>
      <w:r>
        <w:rPr>
          <w:rFonts w:ascii="宋体" w:hAnsi="宋体" w:cs="宋体"/>
          <w:bCs/>
          <w:color w:val="auto"/>
          <w:sz w:val="24"/>
          <w:highlight w:val="none"/>
        </w:rPr>
        <w:t>净资产</w:t>
      </w:r>
      <w:r>
        <w:rPr>
          <w:rFonts w:hint="eastAsia" w:ascii="宋体" w:hAnsi="宋体" w:cs="宋体"/>
          <w:bCs/>
          <w:color w:val="auto"/>
          <w:sz w:val="24"/>
          <w:highlight w:val="none"/>
        </w:rPr>
        <w:t>的</w:t>
      </w:r>
      <w:r>
        <w:rPr>
          <w:rFonts w:ascii="宋体" w:hAnsi="宋体" w:cs="宋体"/>
          <w:bCs/>
          <w:color w:val="auto"/>
          <w:sz w:val="24"/>
          <w:highlight w:val="none"/>
        </w:rPr>
        <w:t>10%</w:t>
      </w:r>
      <w:r>
        <w:rPr>
          <w:rFonts w:hint="eastAsia" w:ascii="宋体" w:hAnsi="宋体" w:cs="宋体"/>
          <w:bCs/>
          <w:color w:val="auto"/>
          <w:sz w:val="24"/>
          <w:highlight w:val="none"/>
        </w:rPr>
        <w:t>。</w:t>
      </w:r>
    </w:p>
    <w:p>
      <w:pPr>
        <w:numPr>
          <w:ilvl w:val="0"/>
          <w:numId w:val="17"/>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管理人发行的全部理财计划持有单一上市公司发行的股票，不得超过该上市公司可流通股票的30%。</w:t>
      </w:r>
    </w:p>
    <w:p>
      <w:pPr>
        <w:numPr>
          <w:ilvl w:val="0"/>
          <w:numId w:val="17"/>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lang w:eastAsia="zh-CN"/>
        </w:rPr>
        <w:t>管理人</w:t>
      </w:r>
      <w:r>
        <w:rPr>
          <w:rFonts w:hint="eastAsia" w:ascii="宋体" w:hAnsi="宋体" w:cs="宋体"/>
          <w:bCs/>
          <w:color w:val="auto"/>
          <w:sz w:val="24"/>
          <w:highlight w:val="none"/>
        </w:rPr>
        <w:t>发行的全部</w:t>
      </w:r>
      <w:r>
        <w:rPr>
          <w:rFonts w:hint="eastAsia" w:ascii="宋体" w:hAnsi="宋体"/>
          <w:color w:val="auto"/>
          <w:sz w:val="24"/>
          <w:highlight w:val="none"/>
        </w:rPr>
        <w:t>开放式公募</w:t>
      </w:r>
      <w:r>
        <w:rPr>
          <w:rFonts w:hint="eastAsia" w:ascii="宋体" w:hAnsi="宋体" w:cs="宋体"/>
          <w:bCs/>
          <w:color w:val="auto"/>
          <w:sz w:val="24"/>
          <w:highlight w:val="none"/>
        </w:rPr>
        <w:t>理财计划</w:t>
      </w:r>
      <w:r>
        <w:rPr>
          <w:rFonts w:hint="eastAsia" w:ascii="宋体" w:hAnsi="宋体"/>
          <w:color w:val="auto"/>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国务院银行业监督管理机构另有规定的除外。</w:t>
      </w:r>
    </w:p>
    <w:p>
      <w:p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投资期限限制</w:t>
      </w:r>
    </w:p>
    <w:p>
      <w:p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本理财计划投资的非标准化债权类资产到期日不得晚于理财计划最近一次开放日。</w:t>
      </w:r>
    </w:p>
    <w:p>
      <w:pPr>
        <w:numPr>
          <w:ilvl w:val="0"/>
          <w:numId w:val="16"/>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投资杠杆率限制</w:t>
      </w:r>
    </w:p>
    <w:p>
      <w:p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本理财计划的总资产不得超过净资产的140%。</w:t>
      </w:r>
    </w:p>
    <w:p>
      <w:pPr>
        <w:numPr>
          <w:ilvl w:val="0"/>
          <w:numId w:val="18"/>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流动性限制</w:t>
      </w:r>
    </w:p>
    <w:p>
      <w:pPr>
        <w:numPr>
          <w:ilvl w:val="0"/>
          <w:numId w:val="19"/>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lang w:val="en-US" w:eastAsia="zh-CN"/>
        </w:rPr>
        <w:t>本理财计划直接投资于流动性受限资产的市值在开放日不得超过该理财计划资产净值的15%。</w:t>
      </w:r>
    </w:p>
    <w:p>
      <w:pPr>
        <w:numPr>
          <w:ilvl w:val="0"/>
          <w:numId w:val="19"/>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lang w:val="en-US" w:eastAsia="zh-CN"/>
        </w:rPr>
        <w:t>本理财计划还应满足以下限制</w:t>
      </w:r>
      <w:r>
        <w:rPr>
          <w:rFonts w:hint="eastAsia" w:ascii="宋体" w:hAnsi="宋体" w:cs="宋体"/>
          <w:bCs/>
          <w:color w:val="auto"/>
          <w:sz w:val="24"/>
          <w:highlight w:val="none"/>
        </w:rPr>
        <w:t>【</w:t>
      </w:r>
      <w:r>
        <w:rPr>
          <w:rFonts w:hint="eastAsia" w:ascii="宋体" w:hAnsi="宋体" w:cs="宋体"/>
          <w:bCs/>
          <w:color w:val="auto"/>
          <w:sz w:val="24"/>
          <w:highlight w:val="none"/>
          <w:lang w:eastAsia="zh-CN"/>
        </w:rPr>
        <w:t>b</w:t>
      </w:r>
      <w:r>
        <w:rPr>
          <w:rFonts w:hint="eastAsia" w:ascii="宋体" w:hAnsi="宋体" w:cs="宋体"/>
          <w:bCs/>
          <w:color w:val="auto"/>
          <w:sz w:val="24"/>
          <w:highlight w:val="none"/>
        </w:rPr>
        <w:t>】</w:t>
      </w:r>
    </w:p>
    <w:p>
      <w:pPr>
        <w:numPr>
          <w:ilvl w:val="0"/>
          <w:numId w:val="20"/>
        </w:numPr>
        <w:spacing w:line="360" w:lineRule="auto"/>
        <w:ind w:firstLine="720" w:firstLineChars="300"/>
        <w:jc w:val="left"/>
        <w:rPr>
          <w:rFonts w:hint="default" w:ascii="宋体" w:hAnsi="宋体" w:eastAsia="宋体" w:cs="宋体"/>
          <w:bCs/>
          <w:color w:val="auto"/>
          <w:sz w:val="24"/>
          <w:highlight w:val="none"/>
          <w:lang w:val="en-US" w:eastAsia="zh-CN"/>
        </w:rPr>
      </w:pPr>
      <w:r>
        <w:rPr>
          <w:rFonts w:hint="eastAsia" w:ascii="宋体" w:hAnsi="宋体" w:cs="宋体"/>
          <w:bCs/>
          <w:color w:val="auto"/>
          <w:sz w:val="24"/>
          <w:highlight w:val="none"/>
          <w:lang w:val="en-US" w:eastAsia="zh-CN"/>
        </w:rPr>
        <w:t>本理财计划</w:t>
      </w:r>
      <w:r>
        <w:rPr>
          <w:rFonts w:hint="eastAsia" w:ascii="宋体" w:hAnsi="宋体" w:cs="宋体"/>
          <w:bCs/>
          <w:color w:val="auto"/>
          <w:sz w:val="24"/>
          <w:highlight w:val="none"/>
        </w:rPr>
        <w:t>应当持有不低于该理财</w:t>
      </w:r>
      <w:r>
        <w:rPr>
          <w:rFonts w:hint="eastAsia" w:ascii="宋体" w:hAnsi="宋体" w:cs="宋体"/>
          <w:bCs/>
          <w:color w:val="auto"/>
          <w:sz w:val="24"/>
          <w:highlight w:val="none"/>
          <w:lang w:eastAsia="zh-CN"/>
        </w:rPr>
        <w:t>计划</w:t>
      </w:r>
      <w:r>
        <w:rPr>
          <w:rFonts w:hint="eastAsia" w:ascii="宋体" w:hAnsi="宋体" w:cs="宋体"/>
          <w:bCs/>
          <w:color w:val="auto"/>
          <w:sz w:val="24"/>
          <w:highlight w:val="none"/>
        </w:rPr>
        <w:t>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color w:val="auto"/>
          <w:sz w:val="24"/>
          <w:highlight w:val="none"/>
          <w:lang w:val="en-US" w:eastAsia="zh-CN"/>
        </w:rPr>
      </w:pPr>
      <w:r>
        <w:rPr>
          <w:rFonts w:hint="eastAsia" w:ascii="宋体" w:hAnsi="宋体" w:cs="宋体"/>
          <w:bCs/>
          <w:color w:val="auto"/>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color w:val="auto"/>
          <w:sz w:val="24"/>
          <w:highlight w:val="none"/>
          <w:lang w:val="en-US" w:eastAsia="zh-CN"/>
        </w:rPr>
      </w:pPr>
      <w:r>
        <w:rPr>
          <w:rFonts w:hint="eastAsia" w:ascii="宋体" w:hAnsi="宋体" w:cs="宋体"/>
          <w:bCs/>
          <w:color w:val="auto"/>
          <w:sz w:val="24"/>
          <w:highlight w:val="none"/>
          <w:lang w:val="en-US" w:eastAsia="zh-CN"/>
        </w:rPr>
        <w:t>本理财计划不存在活跃交易市场，并且需要采用估值技术确定公允价值的资产比例不得超过理财产品净资产50%以上。</w:t>
      </w:r>
    </w:p>
    <w:p>
      <w:pPr>
        <w:numPr>
          <w:ilvl w:val="0"/>
          <w:numId w:val="19"/>
        </w:numPr>
        <w:spacing w:line="360" w:lineRule="auto"/>
        <w:ind w:firstLine="480" w:firstLineChars="200"/>
        <w:jc w:val="left"/>
        <w:rPr>
          <w:rFonts w:hint="default"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在开放日前一工作日内，本理财计划7个工作日可变现资产的可变现价值应当不低于该理财计划资产净值的10%。</w:t>
      </w:r>
    </w:p>
    <w:p>
      <w:pPr>
        <w:numPr>
          <w:ilvl w:val="0"/>
          <w:numId w:val="21"/>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其他投资限制</w:t>
      </w:r>
    </w:p>
    <w:p>
      <w:p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color w:val="auto"/>
        </w:rPr>
        <w:fldChar w:fldCharType="begin"/>
      </w:r>
      <w:r>
        <w:rPr>
          <w:color w:val="auto"/>
        </w:rPr>
        <w:instrText xml:space="preserve"> HYPERLINK "https://baike.baidu.com/item/%E8%B5%84%E4%BA%A7%E6%94%AF%E6%8C%81%E8%AF%81%E5%88%B8/8989161" \t "https://baike.baidu.com/item/%E5%95%86%E4%B8%9A%E9%93%B6%E8%A1%8C%E7%90%86%E8%B4%A2%E4%B8%9A%E5%8A%A1%E7%9B%91%E7%9D%A3%E7%AE%A1%E7%90%86%E5%8A%9E%E6%B3%95/_blank" </w:instrText>
      </w:r>
      <w:r>
        <w:rPr>
          <w:color w:val="auto"/>
        </w:rPr>
        <w:fldChar w:fldCharType="separate"/>
      </w:r>
      <w:r>
        <w:rPr>
          <w:rFonts w:ascii="宋体" w:hAnsi="宋体" w:cs="宋体"/>
          <w:bCs/>
          <w:color w:val="auto"/>
          <w:sz w:val="24"/>
          <w:highlight w:val="none"/>
        </w:rPr>
        <w:t>资产支持证券</w:t>
      </w:r>
      <w:r>
        <w:rPr>
          <w:rFonts w:ascii="宋体" w:hAnsi="宋体" w:cs="宋体"/>
          <w:bCs/>
          <w:color w:val="auto"/>
          <w:sz w:val="24"/>
          <w:highlight w:val="none"/>
        </w:rPr>
        <w:fldChar w:fldCharType="end"/>
      </w:r>
      <w:r>
        <w:rPr>
          <w:rFonts w:hint="eastAsia" w:ascii="宋体" w:hAnsi="宋体" w:cs="宋体"/>
          <w:bCs/>
          <w:color w:val="auto"/>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color w:val="auto"/>
          <w:sz w:val="24"/>
          <w:highlight w:val="none"/>
        </w:rPr>
      </w:pPr>
      <w:r>
        <w:rPr>
          <w:rFonts w:hint="eastAsia" w:ascii="宋体" w:hAnsi="宋体" w:cs="宋体"/>
          <w:b/>
          <w:bCs w:val="0"/>
          <w:color w:val="auto"/>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eastAsia="zh-CN"/>
        </w:rPr>
        <w:t>本理财计划</w:t>
      </w:r>
      <w:r>
        <w:rPr>
          <w:rFonts w:hint="eastAsia" w:ascii="宋体" w:hAnsi="宋体" w:cs="宋体"/>
          <w:b w:val="0"/>
          <w:bCs/>
          <w:color w:val="auto"/>
          <w:sz w:val="24"/>
          <w:highlight w:val="none"/>
          <w:lang w:val="en-US" w:eastAsia="zh-CN"/>
        </w:rPr>
        <w:t>拟投资市场可能面临的流动性风险如下：</w:t>
      </w:r>
    </w:p>
    <w:p>
      <w:pPr>
        <w:numPr>
          <w:ilvl w:val="0"/>
          <w:numId w:val="22"/>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lang w:eastAsia="zh-CN"/>
        </w:rPr>
        <w:t>投资于</w:t>
      </w:r>
      <w:r>
        <w:rPr>
          <w:rFonts w:hint="eastAsia" w:ascii="宋体" w:hAnsi="宋体" w:cs="宋体"/>
          <w:bCs/>
          <w:color w:val="auto"/>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2"/>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2"/>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以上风险仅为列举性质，未能详尽列明拟投资市场和资产面临的全部流动性风险</w:t>
      </w:r>
      <w:r>
        <w:rPr>
          <w:rFonts w:hint="default" w:ascii="宋体" w:hAnsi="宋体" w:cs="宋体"/>
          <w:bCs/>
          <w:color w:val="auto"/>
          <w:sz w:val="24"/>
          <w:highlight w:val="none"/>
          <w:lang w:val="en-US" w:eastAsia="zh-CN"/>
        </w:rPr>
        <w:t>可能导致投资者投资本金及收益损失</w:t>
      </w:r>
      <w:r>
        <w:rPr>
          <w:rFonts w:hint="eastAsia" w:ascii="宋体" w:hAnsi="宋体" w:cs="宋体"/>
          <w:bCs/>
          <w:color w:val="auto"/>
          <w:sz w:val="24"/>
          <w:highlight w:val="none"/>
          <w:lang w:val="en-US" w:eastAsia="zh-CN"/>
        </w:rPr>
        <w:t>或延期兑付</w:t>
      </w:r>
      <w:r>
        <w:rPr>
          <w:rFonts w:hint="default" w:ascii="宋体" w:hAnsi="宋体" w:cs="宋体"/>
          <w:bCs/>
          <w:color w:val="auto"/>
          <w:sz w:val="24"/>
          <w:highlight w:val="none"/>
          <w:lang w:val="en-US" w:eastAsia="zh-CN"/>
        </w:rPr>
        <w:t>的所有因素</w:t>
      </w:r>
      <w:r>
        <w:rPr>
          <w:rFonts w:hint="eastAsia" w:ascii="宋体" w:hAnsi="宋体" w:cs="宋体"/>
          <w:bCs/>
          <w:color w:val="auto"/>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color w:val="auto"/>
          <w:sz w:val="24"/>
          <w:highlight w:val="none"/>
          <w:lang w:val="en-US" w:eastAsia="zh-CN"/>
        </w:rPr>
      </w:pPr>
    </w:p>
    <w:p>
      <w:pPr>
        <w:numPr>
          <w:ilvl w:val="0"/>
          <w:numId w:val="23"/>
        </w:numPr>
        <w:spacing w:line="360" w:lineRule="auto"/>
        <w:ind w:firstLine="482" w:firstLineChars="200"/>
        <w:jc w:val="left"/>
        <w:outlineLvl w:val="1"/>
        <w:rPr>
          <w:rFonts w:hint="eastAsia" w:ascii="宋体" w:hAnsi="宋体" w:cs="宋体"/>
          <w:b/>
          <w:color w:val="auto"/>
          <w:sz w:val="24"/>
          <w:highlight w:val="none"/>
        </w:rPr>
      </w:pPr>
      <w:r>
        <w:rPr>
          <w:rFonts w:hint="eastAsia" w:ascii="宋体" w:hAnsi="宋体" w:cs="宋体"/>
          <w:b/>
          <w:color w:val="auto"/>
          <w:sz w:val="24"/>
          <w:highlight w:val="none"/>
        </w:rPr>
        <w:t>合作机构及主要职责</w:t>
      </w:r>
    </w:p>
    <w:p>
      <w:pPr>
        <w:numPr>
          <w:ilvl w:val="0"/>
          <w:numId w:val="24"/>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auto"/>
                <w:sz w:val="21"/>
                <w:szCs w:val="21"/>
                <w:highlight w:val="none"/>
              </w:rPr>
            </w:pPr>
            <w:r>
              <w:rPr>
                <w:rFonts w:hint="eastAsia" w:ascii="宋体" w:hAnsi="宋体" w:cs="宋体"/>
                <w:bCs/>
                <w:color w:val="auto"/>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color w:val="auto"/>
                <w:sz w:val="21"/>
                <w:szCs w:val="21"/>
                <w:highlight w:val="none"/>
              </w:rPr>
            </w:pPr>
            <w:r>
              <w:rPr>
                <w:rFonts w:hint="eastAsia" w:ascii="宋体" w:hAnsi="宋体" w:eastAsia="宋体" w:cs="宋体"/>
                <w:bCs/>
                <w:color w:val="auto"/>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auto"/>
                <w:sz w:val="21"/>
                <w:szCs w:val="21"/>
                <w:highlight w:val="none"/>
              </w:rPr>
            </w:pPr>
            <w:r>
              <w:rPr>
                <w:rFonts w:hint="eastAsia" w:ascii="宋体" w:hAnsi="宋体" w:cs="宋体"/>
                <w:bCs/>
                <w:color w:val="auto"/>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color w:val="auto"/>
                <w:sz w:val="21"/>
                <w:szCs w:val="21"/>
                <w:highlight w:val="none"/>
              </w:rPr>
            </w:pPr>
            <w:r>
              <w:rPr>
                <w:rFonts w:hint="eastAsia" w:ascii="宋体" w:hAnsi="宋体" w:eastAsia="宋体" w:cs="宋体"/>
                <w:bCs/>
                <w:color w:val="auto"/>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auto"/>
                <w:sz w:val="21"/>
                <w:szCs w:val="21"/>
                <w:highlight w:val="none"/>
              </w:rPr>
            </w:pPr>
            <w:r>
              <w:rPr>
                <w:rFonts w:hint="eastAsia" w:ascii="宋体" w:hAnsi="宋体" w:cs="宋体"/>
                <w:bCs/>
                <w:color w:val="auto"/>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color w:val="auto"/>
                <w:sz w:val="21"/>
                <w:szCs w:val="21"/>
                <w:highlight w:val="none"/>
              </w:rPr>
            </w:pPr>
            <w:r>
              <w:rPr>
                <w:rFonts w:hint="eastAsia" w:ascii="宋体" w:hAnsi="宋体" w:eastAsia="宋体" w:cs="宋体"/>
                <w:bCs/>
                <w:color w:val="auto"/>
                <w:kern w:val="2"/>
                <w:sz w:val="21"/>
                <w:szCs w:val="21"/>
                <w:highlight w:val="none"/>
                <w:lang w:val="en-US" w:eastAsia="zh-CN" w:bidi="ar-SA"/>
              </w:rPr>
              <w:t>主要提供包括账户开立、资金保管、资金结算、估值核对等理财产品托管服务。</w:t>
            </w:r>
          </w:p>
        </w:tc>
      </w:tr>
    </w:tbl>
    <w:p>
      <w:pPr>
        <w:numPr>
          <w:ilvl w:val="0"/>
          <w:numId w:val="25"/>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jc w:val="center"/>
              <w:rPr>
                <w:color w:val="auto"/>
              </w:rPr>
            </w:pPr>
            <w:r>
              <w:rPr>
                <w:color w:val="auto"/>
              </w:rPr>
              <w:t>销售机构信息</w:t>
            </w:r>
          </w:p>
        </w:tc>
        <w:tc>
          <w:tcPr>
            <w:tcW w:w="1600" w:type="dxa"/>
            <w:vMerge w:val="restart"/>
            <w:vAlign w:val="center"/>
          </w:tcPr>
          <w:p>
            <w:pPr>
              <w:jc w:val="center"/>
              <w:rPr>
                <w:color w:val="auto"/>
              </w:rPr>
            </w:pPr>
            <w:r>
              <w:rPr>
                <w:color w:val="auto"/>
              </w:rPr>
              <w:t>杭州银行股份有限公司</w:t>
            </w:r>
          </w:p>
        </w:tc>
        <w:tc>
          <w:tcPr>
            <w:tcW w:w="1200" w:type="dxa"/>
            <w:vAlign w:val="center"/>
          </w:tcPr>
          <w:p>
            <w:pPr>
              <w:jc w:val="left"/>
              <w:rPr>
                <w:color w:val="auto"/>
              </w:rPr>
            </w:pPr>
            <w:r>
              <w:rPr>
                <w:color w:val="auto"/>
              </w:rPr>
              <w:t>住所</w:t>
            </w:r>
          </w:p>
        </w:tc>
        <w:tc>
          <w:tcPr>
            <w:tcW w:w="3800" w:type="dxa"/>
            <w:vAlign w:val="center"/>
          </w:tcPr>
          <w:p>
            <w:pPr>
              <w:jc w:val="center"/>
              <w:rPr>
                <w:color w:val="auto"/>
              </w:rPr>
            </w:pPr>
            <w:r>
              <w:rPr>
                <w:color w:val="auto"/>
              </w:rP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rPr>
                <w:color w:val="auto"/>
              </w:rPr>
            </w:pPr>
          </w:p>
        </w:tc>
        <w:tc>
          <w:tcPr>
            <w:tcW w:w="1600" w:type="dxa"/>
            <w:vMerge w:val="continue"/>
            <w:vAlign w:val="center"/>
          </w:tcPr>
          <w:p>
            <w:pPr>
              <w:jc w:val="center"/>
              <w:rPr>
                <w:color w:val="auto"/>
              </w:rPr>
            </w:pPr>
          </w:p>
        </w:tc>
        <w:tc>
          <w:tcPr>
            <w:tcW w:w="1200" w:type="dxa"/>
            <w:vAlign w:val="center"/>
          </w:tcPr>
          <w:p>
            <w:pPr>
              <w:jc w:val="left"/>
              <w:rPr>
                <w:color w:val="auto"/>
              </w:rPr>
            </w:pPr>
            <w:r>
              <w:rPr>
                <w:color w:val="auto"/>
              </w:rPr>
              <w:t>客服热线</w:t>
            </w:r>
          </w:p>
        </w:tc>
        <w:tc>
          <w:tcPr>
            <w:tcW w:w="3800" w:type="dxa"/>
            <w:vAlign w:val="center"/>
          </w:tcPr>
          <w:p>
            <w:pPr>
              <w:jc w:val="center"/>
              <w:rPr>
                <w:color w:val="auto"/>
              </w:rPr>
            </w:pPr>
            <w:r>
              <w:rPr>
                <w:color w:val="auto"/>
              </w:rP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rPr>
                <w:color w:val="auto"/>
              </w:rPr>
            </w:pPr>
          </w:p>
        </w:tc>
        <w:tc>
          <w:tcPr>
            <w:tcW w:w="1600" w:type="dxa"/>
            <w:vMerge w:val="restart"/>
            <w:vAlign w:val="center"/>
          </w:tcPr>
          <w:p>
            <w:pPr>
              <w:jc w:val="center"/>
              <w:rPr>
                <w:color w:val="auto"/>
              </w:rPr>
            </w:pPr>
            <w:r>
              <w:rPr>
                <w:color w:val="auto"/>
              </w:rPr>
              <w:t>杭银理财有限责任公司</w:t>
            </w:r>
          </w:p>
        </w:tc>
        <w:tc>
          <w:tcPr>
            <w:tcW w:w="1200" w:type="dxa"/>
            <w:vAlign w:val="center"/>
          </w:tcPr>
          <w:p>
            <w:pPr>
              <w:jc w:val="left"/>
              <w:rPr>
                <w:color w:val="auto"/>
              </w:rPr>
            </w:pPr>
            <w:r>
              <w:rPr>
                <w:color w:val="auto"/>
              </w:rPr>
              <w:t>住所</w:t>
            </w:r>
          </w:p>
        </w:tc>
        <w:tc>
          <w:tcPr>
            <w:tcW w:w="3800" w:type="dxa"/>
            <w:vAlign w:val="center"/>
          </w:tcPr>
          <w:p>
            <w:pPr>
              <w:jc w:val="center"/>
              <w:rPr>
                <w:color w:val="auto"/>
              </w:rPr>
            </w:pPr>
            <w:r>
              <w:rPr>
                <w:color w:val="auto"/>
              </w:rP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rPr>
                <w:color w:val="auto"/>
              </w:rPr>
            </w:pPr>
          </w:p>
        </w:tc>
        <w:tc>
          <w:tcPr>
            <w:tcW w:w="1600" w:type="dxa"/>
            <w:vMerge w:val="continue"/>
            <w:vAlign w:val="center"/>
          </w:tcPr>
          <w:p>
            <w:pPr>
              <w:jc w:val="center"/>
              <w:rPr>
                <w:color w:val="auto"/>
              </w:rPr>
            </w:pPr>
          </w:p>
        </w:tc>
        <w:tc>
          <w:tcPr>
            <w:tcW w:w="1200" w:type="dxa"/>
            <w:vAlign w:val="center"/>
          </w:tcPr>
          <w:p>
            <w:pPr>
              <w:jc w:val="left"/>
              <w:rPr>
                <w:color w:val="auto"/>
              </w:rPr>
            </w:pPr>
            <w:r>
              <w:rPr>
                <w:color w:val="auto"/>
              </w:rPr>
              <w:t>客服热线</w:t>
            </w:r>
          </w:p>
        </w:tc>
        <w:tc>
          <w:tcPr>
            <w:tcW w:w="3800" w:type="dxa"/>
            <w:vAlign w:val="center"/>
          </w:tcPr>
          <w:p>
            <w:pPr>
              <w:jc w:val="center"/>
              <w:rPr>
                <w:color w:val="auto"/>
              </w:rPr>
            </w:pPr>
            <w:r>
              <w:rPr>
                <w:color w:val="auto"/>
              </w:rP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rPr>
                <w:color w:val="auto"/>
              </w:rPr>
            </w:pPr>
          </w:p>
        </w:tc>
        <w:tc>
          <w:tcPr>
            <w:tcW w:w="1600" w:type="dxa"/>
            <w:vMerge w:val="restart"/>
            <w:vAlign w:val="center"/>
          </w:tcPr>
          <w:p>
            <w:pPr>
              <w:jc w:val="center"/>
              <w:rPr>
                <w:color w:val="auto"/>
              </w:rPr>
            </w:pPr>
            <w:r>
              <w:rPr>
                <w:color w:val="auto"/>
              </w:rPr>
              <w:t>东莞银行股份有限公司</w:t>
            </w:r>
          </w:p>
        </w:tc>
        <w:tc>
          <w:tcPr>
            <w:tcW w:w="1200" w:type="dxa"/>
            <w:vAlign w:val="center"/>
          </w:tcPr>
          <w:p>
            <w:pPr>
              <w:jc w:val="left"/>
              <w:rPr>
                <w:color w:val="auto"/>
              </w:rPr>
            </w:pPr>
            <w:r>
              <w:rPr>
                <w:color w:val="auto"/>
              </w:rPr>
              <w:t>住所</w:t>
            </w:r>
          </w:p>
        </w:tc>
        <w:tc>
          <w:tcPr>
            <w:tcW w:w="3800" w:type="dxa"/>
            <w:vAlign w:val="center"/>
          </w:tcPr>
          <w:p>
            <w:pPr>
              <w:jc w:val="center"/>
              <w:rPr>
                <w:color w:val="auto"/>
              </w:rPr>
            </w:pPr>
            <w:r>
              <w:rPr>
                <w:color w:val="auto"/>
              </w:rPr>
              <w:t>东莞市莞城区体育路21号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rPr>
                <w:color w:val="auto"/>
              </w:rPr>
            </w:pPr>
          </w:p>
        </w:tc>
        <w:tc>
          <w:tcPr>
            <w:tcW w:w="1600" w:type="dxa"/>
            <w:vMerge w:val="continue"/>
            <w:vAlign w:val="center"/>
          </w:tcPr>
          <w:p>
            <w:pPr>
              <w:jc w:val="center"/>
              <w:rPr>
                <w:color w:val="auto"/>
              </w:rPr>
            </w:pPr>
          </w:p>
        </w:tc>
        <w:tc>
          <w:tcPr>
            <w:tcW w:w="1200" w:type="dxa"/>
            <w:vAlign w:val="center"/>
          </w:tcPr>
          <w:p>
            <w:pPr>
              <w:jc w:val="left"/>
              <w:rPr>
                <w:color w:val="auto"/>
              </w:rPr>
            </w:pPr>
            <w:r>
              <w:rPr>
                <w:color w:val="auto"/>
              </w:rPr>
              <w:t>客服热线</w:t>
            </w:r>
          </w:p>
        </w:tc>
        <w:tc>
          <w:tcPr>
            <w:tcW w:w="3800" w:type="dxa"/>
            <w:vAlign w:val="center"/>
          </w:tcPr>
          <w:p>
            <w:pPr>
              <w:jc w:val="center"/>
              <w:rPr>
                <w:color w:val="auto"/>
              </w:rPr>
            </w:pPr>
            <w:r>
              <w:rPr>
                <w:color w:val="auto"/>
              </w:rPr>
              <w:t>0769-22865171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rPr>
                <w:color w:val="auto"/>
              </w:rPr>
            </w:pPr>
          </w:p>
        </w:tc>
        <w:tc>
          <w:tcPr>
            <w:tcW w:w="1600" w:type="dxa"/>
            <w:vMerge w:val="restart"/>
            <w:vAlign w:val="center"/>
          </w:tcPr>
          <w:p>
            <w:pPr>
              <w:jc w:val="center"/>
              <w:rPr>
                <w:color w:val="auto"/>
              </w:rPr>
            </w:pPr>
            <w:r>
              <w:rPr>
                <w:color w:val="auto"/>
              </w:rPr>
              <w:t>兰州银行股份有限公司</w:t>
            </w:r>
          </w:p>
        </w:tc>
        <w:tc>
          <w:tcPr>
            <w:tcW w:w="1200" w:type="dxa"/>
            <w:vAlign w:val="center"/>
          </w:tcPr>
          <w:p>
            <w:pPr>
              <w:jc w:val="left"/>
              <w:rPr>
                <w:color w:val="auto"/>
              </w:rPr>
            </w:pPr>
            <w:r>
              <w:rPr>
                <w:color w:val="auto"/>
              </w:rPr>
              <w:t>住所</w:t>
            </w:r>
          </w:p>
        </w:tc>
        <w:tc>
          <w:tcPr>
            <w:tcW w:w="3800" w:type="dxa"/>
            <w:vAlign w:val="center"/>
          </w:tcPr>
          <w:p>
            <w:pPr>
              <w:jc w:val="center"/>
              <w:rPr>
                <w:color w:val="auto"/>
              </w:rPr>
            </w:pPr>
            <w:r>
              <w:rPr>
                <w:color w:val="auto"/>
              </w:rPr>
              <w:t>甘肃省兰州市城关区酒泉路211路</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rPr>
                <w:color w:val="auto"/>
              </w:rPr>
            </w:pPr>
          </w:p>
        </w:tc>
        <w:tc>
          <w:tcPr>
            <w:tcW w:w="1600" w:type="dxa"/>
            <w:vMerge w:val="continue"/>
            <w:vAlign w:val="center"/>
          </w:tcPr>
          <w:p>
            <w:pPr>
              <w:jc w:val="center"/>
              <w:rPr>
                <w:color w:val="auto"/>
              </w:rPr>
            </w:pPr>
          </w:p>
        </w:tc>
        <w:tc>
          <w:tcPr>
            <w:tcW w:w="1200" w:type="dxa"/>
            <w:vAlign w:val="center"/>
          </w:tcPr>
          <w:p>
            <w:pPr>
              <w:jc w:val="left"/>
              <w:rPr>
                <w:color w:val="auto"/>
              </w:rPr>
            </w:pPr>
            <w:r>
              <w:rPr>
                <w:color w:val="auto"/>
              </w:rPr>
              <w:t>客服热线</w:t>
            </w:r>
          </w:p>
        </w:tc>
        <w:tc>
          <w:tcPr>
            <w:tcW w:w="3800" w:type="dxa"/>
            <w:vAlign w:val="center"/>
          </w:tcPr>
          <w:p>
            <w:pPr>
              <w:jc w:val="center"/>
              <w:rPr>
                <w:color w:val="auto"/>
              </w:rPr>
            </w:pPr>
            <w:r>
              <w:rPr>
                <w:color w:val="auto"/>
              </w:rPr>
              <w:t>400-88-96799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rPr>
                <w:color w:val="auto"/>
              </w:rPr>
            </w:pPr>
          </w:p>
        </w:tc>
        <w:tc>
          <w:tcPr>
            <w:tcW w:w="1600" w:type="dxa"/>
            <w:vMerge w:val="restart"/>
            <w:vAlign w:val="center"/>
          </w:tcPr>
          <w:p>
            <w:pPr>
              <w:jc w:val="center"/>
              <w:rPr>
                <w:color w:val="auto"/>
              </w:rPr>
            </w:pPr>
            <w:r>
              <w:rPr>
                <w:color w:val="auto"/>
              </w:rPr>
              <w:t>大连农村商业银行股份有限公司</w:t>
            </w:r>
          </w:p>
        </w:tc>
        <w:tc>
          <w:tcPr>
            <w:tcW w:w="1200" w:type="dxa"/>
            <w:vAlign w:val="center"/>
          </w:tcPr>
          <w:p>
            <w:pPr>
              <w:jc w:val="left"/>
              <w:rPr>
                <w:color w:val="auto"/>
              </w:rPr>
            </w:pPr>
            <w:r>
              <w:rPr>
                <w:color w:val="auto"/>
              </w:rPr>
              <w:t>住所</w:t>
            </w:r>
          </w:p>
        </w:tc>
        <w:tc>
          <w:tcPr>
            <w:tcW w:w="3800" w:type="dxa"/>
            <w:vAlign w:val="center"/>
          </w:tcPr>
          <w:p>
            <w:pPr>
              <w:jc w:val="center"/>
              <w:rPr>
                <w:color w:val="auto"/>
              </w:rPr>
            </w:pPr>
            <w:r>
              <w:rPr>
                <w:color w:val="auto"/>
              </w:rP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rPr>
                <w:color w:val="auto"/>
              </w:rPr>
            </w:pPr>
          </w:p>
        </w:tc>
        <w:tc>
          <w:tcPr>
            <w:tcW w:w="1600" w:type="dxa"/>
            <w:vMerge w:val="continue"/>
            <w:vAlign w:val="center"/>
          </w:tcPr>
          <w:p>
            <w:pPr>
              <w:jc w:val="center"/>
              <w:rPr>
                <w:color w:val="auto"/>
              </w:rPr>
            </w:pPr>
          </w:p>
        </w:tc>
        <w:tc>
          <w:tcPr>
            <w:tcW w:w="1200" w:type="dxa"/>
            <w:vAlign w:val="center"/>
          </w:tcPr>
          <w:p>
            <w:pPr>
              <w:jc w:val="left"/>
              <w:rPr>
                <w:color w:val="auto"/>
              </w:rPr>
            </w:pPr>
            <w:r>
              <w:rPr>
                <w:color w:val="auto"/>
              </w:rPr>
              <w:t>客服热线</w:t>
            </w:r>
          </w:p>
        </w:tc>
        <w:tc>
          <w:tcPr>
            <w:tcW w:w="3800" w:type="dxa"/>
            <w:vAlign w:val="center"/>
          </w:tcPr>
          <w:p>
            <w:pPr>
              <w:jc w:val="center"/>
              <w:rPr>
                <w:color w:val="auto"/>
              </w:rPr>
            </w:pPr>
            <w:r>
              <w:rPr>
                <w:color w:val="auto"/>
              </w:rP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rPr>
                <w:color w:val="auto"/>
              </w:rPr>
            </w:pPr>
          </w:p>
        </w:tc>
        <w:tc>
          <w:tcPr>
            <w:tcW w:w="1600" w:type="dxa"/>
            <w:vMerge w:val="restart"/>
            <w:vAlign w:val="center"/>
          </w:tcPr>
          <w:p>
            <w:pPr>
              <w:jc w:val="center"/>
              <w:rPr>
                <w:color w:val="auto"/>
              </w:rPr>
            </w:pPr>
            <w:r>
              <w:rPr>
                <w:color w:val="auto"/>
              </w:rPr>
              <w:t>成都农村商业银行股份有限公司</w:t>
            </w:r>
          </w:p>
        </w:tc>
        <w:tc>
          <w:tcPr>
            <w:tcW w:w="1200" w:type="dxa"/>
            <w:vAlign w:val="center"/>
          </w:tcPr>
          <w:p>
            <w:pPr>
              <w:jc w:val="left"/>
              <w:rPr>
                <w:color w:val="auto"/>
              </w:rPr>
            </w:pPr>
            <w:r>
              <w:rPr>
                <w:color w:val="auto"/>
              </w:rPr>
              <w:t>住所</w:t>
            </w:r>
          </w:p>
        </w:tc>
        <w:tc>
          <w:tcPr>
            <w:tcW w:w="3800" w:type="dxa"/>
            <w:vAlign w:val="center"/>
          </w:tcPr>
          <w:p>
            <w:pPr>
              <w:jc w:val="center"/>
              <w:rPr>
                <w:color w:val="auto"/>
              </w:rPr>
            </w:pPr>
            <w:r>
              <w:rPr>
                <w:color w:val="auto"/>
              </w:rPr>
              <w:t>成都市武侯区科华中路88号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rPr>
                <w:color w:val="auto"/>
              </w:rPr>
            </w:pPr>
          </w:p>
        </w:tc>
        <w:tc>
          <w:tcPr>
            <w:tcW w:w="1600" w:type="dxa"/>
            <w:vMerge w:val="continue"/>
            <w:vAlign w:val="center"/>
          </w:tcPr>
          <w:p>
            <w:pPr>
              <w:jc w:val="center"/>
              <w:rPr>
                <w:color w:val="auto"/>
              </w:rPr>
            </w:pPr>
          </w:p>
        </w:tc>
        <w:tc>
          <w:tcPr>
            <w:tcW w:w="1200" w:type="dxa"/>
            <w:vAlign w:val="center"/>
          </w:tcPr>
          <w:p>
            <w:pPr>
              <w:jc w:val="left"/>
              <w:rPr>
                <w:color w:val="auto"/>
              </w:rPr>
            </w:pPr>
            <w:r>
              <w:rPr>
                <w:color w:val="auto"/>
              </w:rPr>
              <w:t>客服热线</w:t>
            </w:r>
          </w:p>
        </w:tc>
        <w:tc>
          <w:tcPr>
            <w:tcW w:w="3800" w:type="dxa"/>
            <w:vAlign w:val="center"/>
          </w:tcPr>
          <w:p>
            <w:pPr>
              <w:jc w:val="center"/>
              <w:rPr>
                <w:color w:val="auto"/>
              </w:rPr>
            </w:pPr>
            <w:r>
              <w:rPr>
                <w:color w:val="auto"/>
              </w:rPr>
              <w:t>95392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rPr>
                <w:color w:val="auto"/>
              </w:rPr>
            </w:pPr>
          </w:p>
        </w:tc>
        <w:tc>
          <w:tcPr>
            <w:tcW w:w="1600" w:type="dxa"/>
            <w:vMerge w:val="restart"/>
            <w:vAlign w:val="center"/>
          </w:tcPr>
          <w:p>
            <w:pPr>
              <w:jc w:val="center"/>
              <w:rPr>
                <w:color w:val="auto"/>
              </w:rPr>
            </w:pPr>
            <w:r>
              <w:rPr>
                <w:color w:val="auto"/>
              </w:rPr>
              <w:t>晋商银行股份有限公司</w:t>
            </w:r>
          </w:p>
        </w:tc>
        <w:tc>
          <w:tcPr>
            <w:tcW w:w="1200" w:type="dxa"/>
            <w:vAlign w:val="center"/>
          </w:tcPr>
          <w:p>
            <w:pPr>
              <w:jc w:val="left"/>
              <w:rPr>
                <w:color w:val="auto"/>
              </w:rPr>
            </w:pPr>
            <w:r>
              <w:rPr>
                <w:color w:val="auto"/>
              </w:rPr>
              <w:t>住所</w:t>
            </w:r>
          </w:p>
        </w:tc>
        <w:tc>
          <w:tcPr>
            <w:tcW w:w="3800" w:type="dxa"/>
            <w:vAlign w:val="center"/>
          </w:tcPr>
          <w:p>
            <w:pPr>
              <w:jc w:val="center"/>
              <w:rPr>
                <w:color w:val="auto"/>
              </w:rPr>
            </w:pPr>
            <w:r>
              <w:rPr>
                <w:color w:val="auto"/>
              </w:rPr>
              <w:t>中国山西省太原市小店区长风街59号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rPr>
                <w:color w:val="auto"/>
              </w:rPr>
            </w:pPr>
          </w:p>
        </w:tc>
        <w:tc>
          <w:tcPr>
            <w:tcW w:w="1600" w:type="dxa"/>
            <w:vMerge w:val="continue"/>
            <w:vAlign w:val="center"/>
          </w:tcPr>
          <w:p>
            <w:pPr>
              <w:jc w:val="center"/>
              <w:rPr>
                <w:color w:val="auto"/>
              </w:rPr>
            </w:pPr>
          </w:p>
        </w:tc>
        <w:tc>
          <w:tcPr>
            <w:tcW w:w="1200" w:type="dxa"/>
            <w:vAlign w:val="center"/>
          </w:tcPr>
          <w:p>
            <w:pPr>
              <w:jc w:val="left"/>
              <w:rPr>
                <w:color w:val="auto"/>
              </w:rPr>
            </w:pPr>
            <w:r>
              <w:rPr>
                <w:color w:val="auto"/>
              </w:rPr>
              <w:t>客服热线</w:t>
            </w:r>
          </w:p>
        </w:tc>
        <w:tc>
          <w:tcPr>
            <w:tcW w:w="3800" w:type="dxa"/>
            <w:vAlign w:val="center"/>
          </w:tcPr>
          <w:p>
            <w:pPr>
              <w:jc w:val="center"/>
              <w:rPr>
                <w:color w:val="auto"/>
              </w:rPr>
            </w:pPr>
            <w:r>
              <w:rPr>
                <w:color w:val="auto"/>
              </w:rPr>
              <w:t>9510-5588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rPr>
                <w:color w:val="auto"/>
              </w:rPr>
            </w:pPr>
          </w:p>
        </w:tc>
        <w:tc>
          <w:tcPr>
            <w:tcW w:w="1600" w:type="dxa"/>
            <w:vMerge w:val="restart"/>
            <w:vAlign w:val="center"/>
          </w:tcPr>
          <w:p>
            <w:pPr>
              <w:jc w:val="center"/>
              <w:rPr>
                <w:color w:val="auto"/>
              </w:rPr>
            </w:pPr>
            <w:r>
              <w:rPr>
                <w:color w:val="auto"/>
              </w:rPr>
              <w:t>汉口银行股份有限公司</w:t>
            </w:r>
          </w:p>
        </w:tc>
        <w:tc>
          <w:tcPr>
            <w:tcW w:w="1200" w:type="dxa"/>
            <w:vAlign w:val="center"/>
          </w:tcPr>
          <w:p>
            <w:pPr>
              <w:jc w:val="left"/>
              <w:rPr>
                <w:color w:val="auto"/>
              </w:rPr>
            </w:pPr>
            <w:r>
              <w:rPr>
                <w:color w:val="auto"/>
              </w:rPr>
              <w:t>住所</w:t>
            </w:r>
          </w:p>
        </w:tc>
        <w:tc>
          <w:tcPr>
            <w:tcW w:w="3800" w:type="dxa"/>
            <w:vAlign w:val="center"/>
          </w:tcPr>
          <w:p>
            <w:pPr>
              <w:jc w:val="center"/>
              <w:rPr>
                <w:color w:val="auto"/>
              </w:rPr>
            </w:pPr>
            <w:r>
              <w:rPr>
                <w:color w:val="auto"/>
              </w:rPr>
              <w:t>湖北省武汉市江汉区建设大道933号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rPr>
                <w:color w:val="auto"/>
              </w:rPr>
            </w:pPr>
          </w:p>
        </w:tc>
        <w:tc>
          <w:tcPr>
            <w:tcW w:w="1600" w:type="dxa"/>
            <w:vMerge w:val="continue"/>
            <w:vAlign w:val="center"/>
          </w:tcPr>
          <w:p>
            <w:pPr>
              <w:jc w:val="center"/>
              <w:rPr>
                <w:color w:val="auto"/>
              </w:rPr>
            </w:pPr>
          </w:p>
        </w:tc>
        <w:tc>
          <w:tcPr>
            <w:tcW w:w="1200" w:type="dxa"/>
            <w:vAlign w:val="center"/>
          </w:tcPr>
          <w:p>
            <w:pPr>
              <w:jc w:val="left"/>
              <w:rPr>
                <w:color w:val="auto"/>
              </w:rPr>
            </w:pPr>
            <w:r>
              <w:rPr>
                <w:color w:val="auto"/>
              </w:rPr>
              <w:t>客服热线</w:t>
            </w:r>
          </w:p>
        </w:tc>
        <w:tc>
          <w:tcPr>
            <w:tcW w:w="3800" w:type="dxa"/>
            <w:vAlign w:val="center"/>
          </w:tcPr>
          <w:p>
            <w:pPr>
              <w:jc w:val="center"/>
              <w:rPr>
                <w:color w:val="auto"/>
              </w:rPr>
            </w:pPr>
            <w:r>
              <w:rPr>
                <w:color w:val="auto"/>
              </w:rPr>
              <w:t>4006096558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rPr>
                <w:color w:val="auto"/>
              </w:rPr>
            </w:pPr>
          </w:p>
        </w:tc>
        <w:tc>
          <w:tcPr>
            <w:tcW w:w="1600" w:type="dxa"/>
            <w:vMerge w:val="restart"/>
            <w:vAlign w:val="center"/>
          </w:tcPr>
          <w:p>
            <w:pPr>
              <w:jc w:val="center"/>
              <w:rPr>
                <w:color w:val="auto"/>
              </w:rPr>
            </w:pPr>
            <w:r>
              <w:rPr>
                <w:color w:val="auto"/>
              </w:rPr>
              <w:t>江苏常熟农村商业银行股份有限公司</w:t>
            </w:r>
          </w:p>
        </w:tc>
        <w:tc>
          <w:tcPr>
            <w:tcW w:w="1200" w:type="dxa"/>
            <w:vAlign w:val="center"/>
          </w:tcPr>
          <w:p>
            <w:pPr>
              <w:jc w:val="left"/>
              <w:rPr>
                <w:color w:val="auto"/>
              </w:rPr>
            </w:pPr>
            <w:r>
              <w:rPr>
                <w:color w:val="auto"/>
              </w:rPr>
              <w:t>住所</w:t>
            </w:r>
          </w:p>
        </w:tc>
        <w:tc>
          <w:tcPr>
            <w:tcW w:w="3800" w:type="dxa"/>
            <w:vAlign w:val="center"/>
          </w:tcPr>
          <w:p>
            <w:pPr>
              <w:jc w:val="center"/>
              <w:rPr>
                <w:color w:val="auto"/>
              </w:rPr>
            </w:pPr>
            <w:r>
              <w:rPr>
                <w:color w:val="auto"/>
              </w:rP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rPr>
                <w:color w:val="auto"/>
              </w:rPr>
            </w:pPr>
          </w:p>
        </w:tc>
        <w:tc>
          <w:tcPr>
            <w:tcW w:w="1600" w:type="dxa"/>
            <w:vMerge w:val="continue"/>
            <w:vAlign w:val="center"/>
          </w:tcPr>
          <w:p>
            <w:pPr>
              <w:jc w:val="center"/>
              <w:rPr>
                <w:color w:val="auto"/>
              </w:rPr>
            </w:pPr>
          </w:p>
        </w:tc>
        <w:tc>
          <w:tcPr>
            <w:tcW w:w="1200" w:type="dxa"/>
            <w:vAlign w:val="center"/>
          </w:tcPr>
          <w:p>
            <w:pPr>
              <w:jc w:val="left"/>
              <w:rPr>
                <w:color w:val="auto"/>
              </w:rPr>
            </w:pPr>
            <w:r>
              <w:rPr>
                <w:color w:val="auto"/>
              </w:rPr>
              <w:t>客服热线</w:t>
            </w:r>
          </w:p>
        </w:tc>
        <w:tc>
          <w:tcPr>
            <w:tcW w:w="3800" w:type="dxa"/>
            <w:vAlign w:val="center"/>
          </w:tcPr>
          <w:p>
            <w:pPr>
              <w:jc w:val="center"/>
              <w:rPr>
                <w:color w:val="auto"/>
              </w:rPr>
            </w:pPr>
            <w:r>
              <w:rPr>
                <w:color w:val="auto"/>
              </w:rP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rPr>
                <w:color w:val="auto"/>
              </w:rPr>
            </w:pPr>
          </w:p>
        </w:tc>
        <w:tc>
          <w:tcPr>
            <w:tcW w:w="1600" w:type="dxa"/>
            <w:vMerge w:val="restart"/>
            <w:vAlign w:val="center"/>
          </w:tcPr>
          <w:p>
            <w:pPr>
              <w:jc w:val="center"/>
              <w:rPr>
                <w:color w:val="auto"/>
              </w:rPr>
            </w:pPr>
            <w:r>
              <w:rPr>
                <w:color w:val="auto"/>
              </w:rPr>
              <w:t>江苏昆山农村商业银行股份有限公司</w:t>
            </w:r>
          </w:p>
        </w:tc>
        <w:tc>
          <w:tcPr>
            <w:tcW w:w="1200" w:type="dxa"/>
            <w:vAlign w:val="center"/>
          </w:tcPr>
          <w:p>
            <w:pPr>
              <w:jc w:val="left"/>
              <w:rPr>
                <w:color w:val="auto"/>
              </w:rPr>
            </w:pPr>
            <w:r>
              <w:rPr>
                <w:color w:val="auto"/>
              </w:rPr>
              <w:t>住所</w:t>
            </w:r>
          </w:p>
        </w:tc>
        <w:tc>
          <w:tcPr>
            <w:tcW w:w="3800" w:type="dxa"/>
            <w:vAlign w:val="center"/>
          </w:tcPr>
          <w:p>
            <w:pPr>
              <w:jc w:val="center"/>
              <w:rPr>
                <w:color w:val="auto"/>
              </w:rPr>
            </w:pPr>
            <w:r>
              <w:rPr>
                <w:color w:val="auto"/>
              </w:rP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rPr>
                <w:color w:val="auto"/>
              </w:rPr>
            </w:pPr>
          </w:p>
        </w:tc>
        <w:tc>
          <w:tcPr>
            <w:tcW w:w="1600" w:type="dxa"/>
            <w:vMerge w:val="continue"/>
            <w:vAlign w:val="center"/>
          </w:tcPr>
          <w:p>
            <w:pPr>
              <w:jc w:val="center"/>
              <w:rPr>
                <w:color w:val="auto"/>
              </w:rPr>
            </w:pPr>
          </w:p>
        </w:tc>
        <w:tc>
          <w:tcPr>
            <w:tcW w:w="1200" w:type="dxa"/>
            <w:vAlign w:val="center"/>
          </w:tcPr>
          <w:p>
            <w:pPr>
              <w:jc w:val="left"/>
              <w:rPr>
                <w:color w:val="auto"/>
              </w:rPr>
            </w:pPr>
            <w:r>
              <w:rPr>
                <w:color w:val="auto"/>
              </w:rPr>
              <w:t>客服热线</w:t>
            </w:r>
          </w:p>
        </w:tc>
        <w:tc>
          <w:tcPr>
            <w:tcW w:w="3800" w:type="dxa"/>
            <w:vAlign w:val="center"/>
          </w:tcPr>
          <w:p>
            <w:pPr>
              <w:jc w:val="center"/>
              <w:rPr>
                <w:color w:val="auto"/>
              </w:rPr>
            </w:pPr>
            <w:r>
              <w:rPr>
                <w:color w:val="auto"/>
              </w:rP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rPr>
                <w:color w:val="auto"/>
              </w:rPr>
            </w:pPr>
          </w:p>
        </w:tc>
        <w:tc>
          <w:tcPr>
            <w:tcW w:w="1600" w:type="dxa"/>
            <w:vMerge w:val="restart"/>
            <w:vAlign w:val="center"/>
          </w:tcPr>
          <w:p>
            <w:pPr>
              <w:jc w:val="center"/>
              <w:rPr>
                <w:color w:val="auto"/>
              </w:rPr>
            </w:pPr>
            <w:r>
              <w:rPr>
                <w:color w:val="auto"/>
              </w:rPr>
              <w:t>江苏沛县农村商业银行股份有限公司</w:t>
            </w:r>
          </w:p>
        </w:tc>
        <w:tc>
          <w:tcPr>
            <w:tcW w:w="1200" w:type="dxa"/>
            <w:vAlign w:val="center"/>
          </w:tcPr>
          <w:p>
            <w:pPr>
              <w:jc w:val="left"/>
              <w:rPr>
                <w:color w:val="auto"/>
              </w:rPr>
            </w:pPr>
            <w:r>
              <w:rPr>
                <w:color w:val="auto"/>
              </w:rPr>
              <w:t>住所</w:t>
            </w:r>
          </w:p>
        </w:tc>
        <w:tc>
          <w:tcPr>
            <w:tcW w:w="3800" w:type="dxa"/>
            <w:vAlign w:val="center"/>
          </w:tcPr>
          <w:p>
            <w:pPr>
              <w:jc w:val="center"/>
              <w:rPr>
                <w:color w:val="auto"/>
              </w:rPr>
            </w:pPr>
            <w:r>
              <w:rPr>
                <w:color w:val="auto"/>
              </w:rPr>
              <w:t>江苏省沛县汤沐路中段11号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rPr>
                <w:color w:val="auto"/>
              </w:rPr>
            </w:pPr>
          </w:p>
        </w:tc>
        <w:tc>
          <w:tcPr>
            <w:tcW w:w="1600" w:type="dxa"/>
            <w:vMerge w:val="continue"/>
            <w:vAlign w:val="center"/>
          </w:tcPr>
          <w:p>
            <w:pPr>
              <w:jc w:val="center"/>
              <w:rPr>
                <w:color w:val="auto"/>
              </w:rPr>
            </w:pPr>
          </w:p>
        </w:tc>
        <w:tc>
          <w:tcPr>
            <w:tcW w:w="1200" w:type="dxa"/>
            <w:vAlign w:val="center"/>
          </w:tcPr>
          <w:p>
            <w:pPr>
              <w:jc w:val="left"/>
              <w:rPr>
                <w:color w:val="auto"/>
              </w:rPr>
            </w:pPr>
            <w:r>
              <w:rPr>
                <w:color w:val="auto"/>
              </w:rPr>
              <w:t>客服热线</w:t>
            </w:r>
          </w:p>
        </w:tc>
        <w:tc>
          <w:tcPr>
            <w:tcW w:w="3800" w:type="dxa"/>
            <w:vAlign w:val="center"/>
          </w:tcPr>
          <w:p>
            <w:pPr>
              <w:jc w:val="center"/>
              <w:rPr>
                <w:color w:val="auto"/>
              </w:rPr>
            </w:pPr>
            <w:r>
              <w:rPr>
                <w:color w:val="auto"/>
              </w:rP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rPr>
                <w:color w:val="auto"/>
              </w:rPr>
            </w:pPr>
          </w:p>
        </w:tc>
        <w:tc>
          <w:tcPr>
            <w:tcW w:w="1600" w:type="dxa"/>
            <w:vMerge w:val="restart"/>
            <w:vAlign w:val="center"/>
          </w:tcPr>
          <w:p>
            <w:pPr>
              <w:jc w:val="center"/>
              <w:rPr>
                <w:color w:val="auto"/>
              </w:rPr>
            </w:pPr>
            <w:r>
              <w:rPr>
                <w:color w:val="auto"/>
              </w:rPr>
              <w:t>绍兴银行股份有限公司</w:t>
            </w:r>
          </w:p>
        </w:tc>
        <w:tc>
          <w:tcPr>
            <w:tcW w:w="1200" w:type="dxa"/>
            <w:vAlign w:val="center"/>
          </w:tcPr>
          <w:p>
            <w:pPr>
              <w:jc w:val="left"/>
              <w:rPr>
                <w:color w:val="auto"/>
              </w:rPr>
            </w:pPr>
            <w:r>
              <w:rPr>
                <w:color w:val="auto"/>
              </w:rPr>
              <w:t>住所</w:t>
            </w:r>
          </w:p>
        </w:tc>
        <w:tc>
          <w:tcPr>
            <w:tcW w:w="3800" w:type="dxa"/>
            <w:vAlign w:val="center"/>
          </w:tcPr>
          <w:p>
            <w:pPr>
              <w:jc w:val="center"/>
              <w:rPr>
                <w:color w:val="auto"/>
              </w:rPr>
            </w:pPr>
            <w:r>
              <w:rPr>
                <w:color w:val="auto"/>
              </w:rP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rPr>
                <w:color w:val="auto"/>
              </w:rPr>
            </w:pPr>
          </w:p>
        </w:tc>
        <w:tc>
          <w:tcPr>
            <w:tcW w:w="1600" w:type="dxa"/>
            <w:vMerge w:val="continue"/>
            <w:vAlign w:val="center"/>
          </w:tcPr>
          <w:p>
            <w:pPr>
              <w:jc w:val="center"/>
              <w:rPr>
                <w:color w:val="auto"/>
              </w:rPr>
            </w:pPr>
          </w:p>
        </w:tc>
        <w:tc>
          <w:tcPr>
            <w:tcW w:w="1200" w:type="dxa"/>
            <w:vAlign w:val="center"/>
          </w:tcPr>
          <w:p>
            <w:pPr>
              <w:jc w:val="left"/>
              <w:rPr>
                <w:color w:val="auto"/>
              </w:rPr>
            </w:pPr>
            <w:r>
              <w:rPr>
                <w:color w:val="auto"/>
              </w:rPr>
              <w:t>客服热线</w:t>
            </w:r>
          </w:p>
        </w:tc>
        <w:tc>
          <w:tcPr>
            <w:tcW w:w="3800" w:type="dxa"/>
            <w:vAlign w:val="center"/>
          </w:tcPr>
          <w:p>
            <w:pPr>
              <w:jc w:val="center"/>
              <w:rPr>
                <w:color w:val="auto"/>
              </w:rPr>
            </w:pPr>
            <w:r>
              <w:rPr>
                <w:color w:val="auto"/>
              </w:rPr>
              <w:t>13606751337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rPr>
                <w:color w:val="auto"/>
              </w:rPr>
            </w:pPr>
          </w:p>
        </w:tc>
        <w:tc>
          <w:tcPr>
            <w:tcW w:w="1600" w:type="dxa"/>
            <w:vMerge w:val="restart"/>
            <w:vAlign w:val="center"/>
          </w:tcPr>
          <w:p>
            <w:pPr>
              <w:jc w:val="center"/>
              <w:rPr>
                <w:color w:val="auto"/>
              </w:rPr>
            </w:pPr>
            <w:r>
              <w:rPr>
                <w:color w:val="auto"/>
              </w:rPr>
              <w:t>重庆银行股份有限公司</w:t>
            </w:r>
          </w:p>
        </w:tc>
        <w:tc>
          <w:tcPr>
            <w:tcW w:w="1200" w:type="dxa"/>
            <w:vAlign w:val="center"/>
          </w:tcPr>
          <w:p>
            <w:pPr>
              <w:jc w:val="left"/>
              <w:rPr>
                <w:color w:val="auto"/>
              </w:rPr>
            </w:pPr>
            <w:r>
              <w:rPr>
                <w:color w:val="auto"/>
              </w:rPr>
              <w:t>住所</w:t>
            </w:r>
          </w:p>
        </w:tc>
        <w:tc>
          <w:tcPr>
            <w:tcW w:w="3800" w:type="dxa"/>
            <w:vAlign w:val="center"/>
          </w:tcPr>
          <w:p>
            <w:pPr>
              <w:jc w:val="center"/>
              <w:rPr>
                <w:color w:val="auto"/>
              </w:rPr>
            </w:pPr>
            <w:r>
              <w:rPr>
                <w:color w:val="auto"/>
              </w:rP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rPr>
                <w:color w:val="auto"/>
              </w:rPr>
            </w:pPr>
          </w:p>
        </w:tc>
        <w:tc>
          <w:tcPr>
            <w:tcW w:w="1600" w:type="dxa"/>
            <w:vMerge w:val="continue"/>
            <w:vAlign w:val="center"/>
          </w:tcPr>
          <w:p>
            <w:pPr>
              <w:jc w:val="center"/>
              <w:rPr>
                <w:color w:val="auto"/>
              </w:rPr>
            </w:pPr>
          </w:p>
        </w:tc>
        <w:tc>
          <w:tcPr>
            <w:tcW w:w="1200" w:type="dxa"/>
            <w:vAlign w:val="center"/>
          </w:tcPr>
          <w:p>
            <w:pPr>
              <w:jc w:val="left"/>
              <w:rPr>
                <w:color w:val="auto"/>
              </w:rPr>
            </w:pPr>
            <w:r>
              <w:rPr>
                <w:color w:val="auto"/>
              </w:rPr>
              <w:t>客服热线</w:t>
            </w:r>
          </w:p>
        </w:tc>
        <w:tc>
          <w:tcPr>
            <w:tcW w:w="3800" w:type="dxa"/>
            <w:vAlign w:val="center"/>
          </w:tcPr>
          <w:p>
            <w:pPr>
              <w:jc w:val="center"/>
              <w:rPr>
                <w:color w:val="auto"/>
              </w:rPr>
            </w:pPr>
            <w:r>
              <w:rPr>
                <w:color w:val="auto"/>
              </w:rP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jc w:val="center"/>
              <w:rPr>
                <w:color w:val="auto"/>
              </w:rPr>
            </w:pPr>
            <w:r>
              <w:rPr>
                <w:color w:val="auto"/>
              </w:rPr>
              <w:t>销售机构职责</w:t>
            </w:r>
          </w:p>
        </w:tc>
        <w:tc>
          <w:tcPr>
            <w:tcW w:w="6600" w:type="dxa"/>
            <w:gridSpan w:val="3"/>
            <w:vAlign w:val="center"/>
          </w:tcPr>
          <w:p>
            <w:pPr>
              <w:jc w:val="left"/>
              <w:rPr>
                <w:color w:val="auto"/>
              </w:rPr>
            </w:pPr>
            <w:r>
              <w:rPr>
                <w:color w:val="auto"/>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auto"/>
          <w:sz w:val="24"/>
          <w:highlight w:val="none"/>
        </w:rPr>
      </w:pPr>
      <w:r>
        <w:rPr>
          <w:rFonts w:hint="eastAsia" w:ascii="宋体" w:hAnsi="宋体" w:cs="宋体"/>
          <w:bCs/>
          <w:color w:val="auto"/>
          <w:sz w:val="24"/>
          <w:highlight w:val="none"/>
        </w:rPr>
        <w:t>本理财计划后续如新增/减少销售机构或销售机构信息变更，请以管理人最新公告</w:t>
      </w:r>
      <w:r>
        <w:rPr>
          <w:rFonts w:hint="eastAsia" w:ascii="宋体" w:hAnsi="宋体" w:cs="宋体"/>
          <w:bCs/>
          <w:color w:val="auto"/>
          <w:sz w:val="24"/>
          <w:highlight w:val="none"/>
          <w:lang w:eastAsia="zh-CN"/>
        </w:rPr>
        <w:t>或官方网站展示</w:t>
      </w:r>
      <w:r>
        <w:rPr>
          <w:rFonts w:hint="eastAsia" w:ascii="宋体" w:hAnsi="宋体" w:cs="宋体"/>
          <w:bCs/>
          <w:color w:val="auto"/>
          <w:sz w:val="24"/>
          <w:highlight w:val="none"/>
        </w:rPr>
        <w:t>为准。</w:t>
      </w:r>
    </w:p>
    <w:p>
      <w:pPr>
        <w:spacing w:line="360" w:lineRule="auto"/>
        <w:jc w:val="left"/>
        <w:rPr>
          <w:rFonts w:ascii="宋体" w:hAnsi="宋体" w:cs="宋体"/>
          <w:bCs/>
          <w:color w:val="auto"/>
          <w:sz w:val="24"/>
          <w:highlight w:val="none"/>
        </w:rPr>
      </w:pPr>
    </w:p>
    <w:p>
      <w:pPr>
        <w:numPr>
          <w:ilvl w:val="0"/>
          <w:numId w:val="23"/>
        </w:numPr>
        <w:spacing w:line="360" w:lineRule="auto"/>
        <w:ind w:firstLine="482" w:firstLineChars="200"/>
        <w:jc w:val="left"/>
        <w:outlineLvl w:val="1"/>
        <w:rPr>
          <w:rFonts w:hint="eastAsia" w:ascii="宋体" w:hAnsi="宋体" w:cs="宋体"/>
          <w:b/>
          <w:color w:val="auto"/>
          <w:sz w:val="24"/>
          <w:highlight w:val="none"/>
        </w:rPr>
      </w:pPr>
      <w:r>
        <w:rPr>
          <w:rFonts w:hint="eastAsia" w:ascii="宋体" w:hAnsi="宋体" w:cs="宋体"/>
          <w:b/>
          <w:color w:val="auto"/>
          <w:sz w:val="24"/>
          <w:highlight w:val="none"/>
        </w:rPr>
        <w:t>估值</w:t>
      </w:r>
    </w:p>
    <w:p>
      <w:pPr>
        <w:numPr>
          <w:ilvl w:val="0"/>
          <w:numId w:val="26"/>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估值日</w:t>
      </w:r>
    </w:p>
    <w:p>
      <w:pPr>
        <w:spacing w:line="360" w:lineRule="auto"/>
        <w:ind w:firstLine="480" w:firstLineChars="200"/>
        <w:rPr>
          <w:rFonts w:hint="eastAsia" w:ascii="宋体" w:hAnsi="宋体" w:cs="宋体"/>
          <w:bCs/>
          <w:color w:val="auto"/>
          <w:sz w:val="24"/>
          <w:highlight w:val="none"/>
        </w:rPr>
      </w:pPr>
      <w:r>
        <w:rPr>
          <w:rFonts w:hint="eastAsia" w:ascii="宋体" w:hAnsi="宋体" w:cs="宋体"/>
          <w:bCs/>
          <w:color w:val="auto"/>
          <w:sz w:val="24"/>
          <w:highlight w:val="none"/>
        </w:rPr>
        <w:t>本理财计划估值日为每个</w:t>
      </w:r>
      <w:r>
        <w:rPr>
          <w:rFonts w:hint="eastAsia" w:ascii="宋体" w:hAnsi="宋体" w:cs="宋体"/>
          <w:bCs/>
          <w:color w:val="auto"/>
          <w:sz w:val="24"/>
          <w:highlight w:val="none"/>
          <w:lang w:eastAsia="zh-CN"/>
        </w:rPr>
        <w:t>工作日</w:t>
      </w:r>
      <w:r>
        <w:rPr>
          <w:rFonts w:hint="eastAsia" w:ascii="宋体" w:hAnsi="宋体" w:cs="宋体"/>
          <w:bCs/>
          <w:color w:val="auto"/>
          <w:sz w:val="24"/>
          <w:highlight w:val="none"/>
        </w:rPr>
        <w:t>，定期由理财管理人和理财托管人核对估值结果并向投资者披露，具体日期以管理人公告为准。</w:t>
      </w:r>
    </w:p>
    <w:p>
      <w:pPr>
        <w:numPr>
          <w:ilvl w:val="0"/>
          <w:numId w:val="26"/>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估值对象</w:t>
      </w:r>
    </w:p>
    <w:p>
      <w:pPr>
        <w:spacing w:line="360" w:lineRule="auto"/>
        <w:ind w:firstLine="480" w:firstLineChars="200"/>
        <w:rPr>
          <w:rFonts w:hint="eastAsia" w:ascii="宋体" w:hAnsi="宋体" w:cs="宋体"/>
          <w:bCs/>
          <w:color w:val="auto"/>
          <w:sz w:val="24"/>
          <w:highlight w:val="none"/>
        </w:rPr>
      </w:pPr>
      <w:r>
        <w:rPr>
          <w:rFonts w:hint="eastAsia" w:ascii="宋体" w:hAnsi="宋体" w:cs="宋体"/>
          <w:bCs/>
          <w:color w:val="auto"/>
          <w:sz w:val="24"/>
          <w:highlight w:val="none"/>
        </w:rPr>
        <w:t>本理财计划所投资的所有资产及负债。</w:t>
      </w:r>
    </w:p>
    <w:p>
      <w:pPr>
        <w:numPr>
          <w:ilvl w:val="0"/>
          <w:numId w:val="26"/>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估值目的</w:t>
      </w:r>
    </w:p>
    <w:p>
      <w:pPr>
        <w:spacing w:line="360" w:lineRule="auto"/>
        <w:ind w:firstLine="480" w:firstLineChars="200"/>
        <w:rPr>
          <w:rFonts w:hint="eastAsia" w:ascii="宋体" w:hAnsi="宋体" w:cs="宋体"/>
          <w:bCs/>
          <w:color w:val="auto"/>
          <w:sz w:val="24"/>
          <w:highlight w:val="none"/>
        </w:rPr>
      </w:pPr>
      <w:r>
        <w:rPr>
          <w:rFonts w:hint="eastAsia" w:ascii="宋体" w:hAnsi="宋体" w:cs="宋体"/>
          <w:bCs/>
          <w:color w:val="auto"/>
          <w:sz w:val="24"/>
          <w:highlight w:val="none"/>
        </w:rPr>
        <w:t>客观、准确反映理财计划的价值。</w:t>
      </w:r>
    </w:p>
    <w:p>
      <w:pPr>
        <w:numPr>
          <w:ilvl w:val="0"/>
          <w:numId w:val="26"/>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估值方法</w:t>
      </w:r>
    </w:p>
    <w:p>
      <w:pPr>
        <w:spacing w:line="360" w:lineRule="auto"/>
        <w:ind w:firstLine="480" w:firstLineChars="200"/>
        <w:rPr>
          <w:rFonts w:hint="eastAsia" w:ascii="宋体" w:hAnsi="宋体" w:cs="宋体"/>
          <w:bCs/>
          <w:color w:val="auto"/>
          <w:sz w:val="24"/>
          <w:highlight w:val="none"/>
        </w:rPr>
      </w:pPr>
      <w:r>
        <w:rPr>
          <w:rFonts w:hint="eastAsia" w:ascii="宋体" w:hAnsi="宋体" w:cs="宋体"/>
          <w:bCs/>
          <w:color w:val="auto"/>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color w:val="auto"/>
          <w:sz w:val="24"/>
          <w:highlight w:val="none"/>
        </w:rPr>
      </w:pPr>
      <w:r>
        <w:rPr>
          <w:rFonts w:hint="eastAsia"/>
          <w:color w:val="auto"/>
          <w:sz w:val="24"/>
          <w:highlight w:val="none"/>
        </w:rPr>
        <w:t>理财计划所投资各类资产按照会计准则和监管要求进行会计分类，并按如下规则进行计量：</w:t>
      </w:r>
    </w:p>
    <w:p>
      <w:pPr>
        <w:numPr>
          <w:ilvl w:val="0"/>
          <w:numId w:val="27"/>
        </w:numPr>
        <w:spacing w:line="360" w:lineRule="auto"/>
        <w:ind w:firstLine="480" w:firstLineChars="200"/>
        <w:rPr>
          <w:rFonts w:hint="eastAsia" w:ascii="宋体" w:hAnsi="宋体" w:cs="宋体"/>
          <w:bCs/>
          <w:color w:val="auto"/>
          <w:sz w:val="24"/>
          <w:highlight w:val="none"/>
        </w:rPr>
      </w:pPr>
      <w:r>
        <w:rPr>
          <w:rFonts w:hint="eastAsia" w:ascii="宋体" w:hAnsi="宋体" w:cs="宋体"/>
          <w:bCs/>
          <w:color w:val="auto"/>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color w:val="auto"/>
          <w:kern w:val="2"/>
          <w:highlight w:val="none"/>
          <w:lang w:eastAsia="zh-CN"/>
        </w:rPr>
      </w:pPr>
      <w:r>
        <w:rPr>
          <w:rFonts w:hint="eastAsia" w:ascii="宋体" w:hAnsi="宋体" w:cs="宋体"/>
          <w:bCs/>
          <w:color w:val="auto"/>
          <w:kern w:val="2"/>
          <w:highlight w:val="none"/>
          <w:lang w:eastAsia="zh-CN"/>
        </w:rPr>
        <w:t>银行存款</w:t>
      </w:r>
      <w:r>
        <w:rPr>
          <w:rFonts w:hint="eastAsia" w:ascii="宋体" w:hAnsi="宋体" w:cs="宋体"/>
          <w:bCs/>
          <w:color w:val="auto"/>
          <w:kern w:val="2"/>
          <w:highlight w:val="none"/>
        </w:rPr>
        <w:t>及回购，以本金列示，按商定利率在实际持有期间内逐日计提利息。</w:t>
      </w:r>
    </w:p>
    <w:p>
      <w:pPr>
        <w:numPr>
          <w:ilvl w:val="0"/>
          <w:numId w:val="27"/>
        </w:numPr>
        <w:spacing w:line="360" w:lineRule="auto"/>
        <w:ind w:firstLine="480" w:firstLineChars="200"/>
        <w:rPr>
          <w:rFonts w:hint="eastAsia" w:ascii="宋体" w:hAnsi="宋体" w:cs="宋体"/>
          <w:bCs/>
          <w:color w:val="auto"/>
          <w:sz w:val="24"/>
          <w:highlight w:val="none"/>
        </w:rPr>
      </w:pPr>
      <w:r>
        <w:rPr>
          <w:rFonts w:hint="eastAsia" w:ascii="宋体" w:hAnsi="宋体" w:cs="宋体"/>
          <w:bCs/>
          <w:color w:val="auto"/>
          <w:sz w:val="24"/>
          <w:highlight w:val="none"/>
        </w:rPr>
        <w:t>债券</w:t>
      </w:r>
      <w:r>
        <w:rPr>
          <w:rFonts w:hint="eastAsia" w:ascii="宋体" w:hAnsi="宋体" w:cs="宋体"/>
          <w:bCs/>
          <w:color w:val="auto"/>
          <w:sz w:val="24"/>
          <w:highlight w:val="none"/>
          <w:lang w:eastAsia="zh-CN"/>
        </w:rPr>
        <w:t>及同业存单类</w:t>
      </w:r>
      <w:r>
        <w:rPr>
          <w:rFonts w:hint="eastAsia" w:ascii="宋体" w:hAnsi="宋体" w:cs="宋体"/>
          <w:bCs/>
          <w:color w:val="auto"/>
          <w:sz w:val="24"/>
          <w:highlight w:val="none"/>
        </w:rPr>
        <w:t>资产</w:t>
      </w:r>
    </w:p>
    <w:p>
      <w:pPr>
        <w:numPr>
          <w:ilvl w:val="0"/>
          <w:numId w:val="0"/>
        </w:numPr>
        <w:spacing w:line="360" w:lineRule="auto"/>
        <w:ind w:firstLine="480" w:firstLineChars="200"/>
        <w:rPr>
          <w:rFonts w:hint="default" w:ascii="宋体" w:hAnsi="宋体" w:eastAsia="宋体" w:cs="宋体"/>
          <w:bCs/>
          <w:color w:val="auto"/>
          <w:sz w:val="24"/>
          <w:highlight w:val="none"/>
          <w:lang w:val="en-US" w:eastAsia="zh-CN"/>
        </w:rPr>
      </w:pPr>
      <w:r>
        <w:rPr>
          <w:rFonts w:hint="eastAsia" w:ascii="宋体" w:hAnsi="宋体" w:cs="宋体"/>
          <w:bCs/>
          <w:color w:val="auto"/>
          <w:sz w:val="24"/>
          <w:highlight w:val="none"/>
        </w:rPr>
        <w:t>债券及同业存单类资产，按市价法估值。市价法不能确定公允价值的，采用估值技术进行估值。</w:t>
      </w:r>
    </w:p>
    <w:p>
      <w:pPr>
        <w:numPr>
          <w:ilvl w:val="0"/>
          <w:numId w:val="27"/>
        </w:numPr>
        <w:spacing w:line="360" w:lineRule="auto"/>
        <w:ind w:firstLine="480" w:firstLineChars="200"/>
        <w:rPr>
          <w:rFonts w:hint="eastAsia" w:ascii="宋体" w:hAnsi="宋体" w:cs="宋体"/>
          <w:bCs/>
          <w:color w:val="auto"/>
          <w:sz w:val="24"/>
          <w:highlight w:val="none"/>
        </w:rPr>
      </w:pPr>
      <w:r>
        <w:rPr>
          <w:rFonts w:hint="eastAsia" w:ascii="宋体" w:hAnsi="宋体" w:cs="宋体"/>
          <w:bCs/>
          <w:color w:val="auto"/>
          <w:sz w:val="24"/>
          <w:highlight w:val="none"/>
          <w:lang w:eastAsia="zh-CN"/>
        </w:rPr>
        <w:t>债权类</w:t>
      </w:r>
      <w:r>
        <w:rPr>
          <w:rFonts w:hint="eastAsia" w:ascii="宋体" w:hAnsi="宋体" w:cs="宋体"/>
          <w:bCs/>
          <w:color w:val="auto"/>
          <w:sz w:val="24"/>
          <w:highlight w:val="none"/>
        </w:rPr>
        <w:t>资产</w:t>
      </w:r>
    </w:p>
    <w:p>
      <w:pPr>
        <w:spacing w:line="360" w:lineRule="auto"/>
        <w:ind w:firstLine="480" w:firstLineChars="200"/>
        <w:rPr>
          <w:rFonts w:ascii="宋体" w:hAnsi="宋体" w:cs="宋体"/>
          <w:bCs/>
          <w:color w:val="auto"/>
          <w:sz w:val="24"/>
          <w:highlight w:val="none"/>
        </w:rPr>
      </w:pPr>
      <w:r>
        <w:rPr>
          <w:rFonts w:hint="eastAsia" w:ascii="宋体" w:hAnsi="宋体" w:cs="宋体"/>
          <w:bCs/>
          <w:color w:val="auto"/>
          <w:sz w:val="24"/>
          <w:highlight w:val="none"/>
        </w:rPr>
        <w:t>债权类资产，按市价法估值。市价法不能确定其公允价值的，采用估值技术进行估值。</w:t>
      </w:r>
    </w:p>
    <w:p>
      <w:pPr>
        <w:numPr>
          <w:ilvl w:val="0"/>
          <w:numId w:val="27"/>
        </w:numPr>
        <w:spacing w:line="360" w:lineRule="auto"/>
        <w:ind w:firstLine="480" w:firstLineChars="200"/>
        <w:rPr>
          <w:rFonts w:hint="eastAsia" w:ascii="宋体" w:hAnsi="宋体" w:cs="宋体"/>
          <w:bCs/>
          <w:color w:val="auto"/>
          <w:sz w:val="24"/>
          <w:highlight w:val="none"/>
        </w:rPr>
      </w:pPr>
      <w:r>
        <w:rPr>
          <w:rFonts w:hint="eastAsia" w:ascii="宋体" w:hAnsi="宋体" w:cs="宋体"/>
          <w:bCs/>
          <w:color w:val="auto"/>
          <w:sz w:val="24"/>
          <w:highlight w:val="none"/>
          <w:lang w:eastAsia="zh-CN"/>
        </w:rPr>
        <w:t>股权类</w:t>
      </w:r>
      <w:r>
        <w:rPr>
          <w:rFonts w:hint="eastAsia" w:ascii="宋体" w:hAnsi="宋体" w:cs="宋体"/>
          <w:bCs/>
          <w:color w:val="auto"/>
          <w:sz w:val="24"/>
          <w:highlight w:val="none"/>
        </w:rPr>
        <w:t>资产</w:t>
      </w:r>
    </w:p>
    <w:p>
      <w:pPr>
        <w:numPr>
          <w:ilvl w:val="0"/>
          <w:numId w:val="28"/>
        </w:numPr>
        <w:spacing w:line="360" w:lineRule="auto"/>
        <w:ind w:firstLine="480" w:firstLineChars="200"/>
        <w:rPr>
          <w:rFonts w:ascii="宋体" w:hAnsi="宋体" w:cs="宋体"/>
          <w:bCs/>
          <w:color w:val="auto"/>
          <w:sz w:val="24"/>
          <w:highlight w:val="none"/>
        </w:rPr>
      </w:pPr>
      <w:r>
        <w:rPr>
          <w:rFonts w:hint="eastAsia" w:ascii="宋体" w:hAnsi="宋体" w:cs="宋体"/>
          <w:bCs/>
          <w:color w:val="auto"/>
          <w:sz w:val="24"/>
          <w:highlight w:val="none"/>
          <w:lang w:eastAsia="zh-CN"/>
        </w:rPr>
        <w:t>上</w:t>
      </w:r>
      <w:r>
        <w:rPr>
          <w:rFonts w:hint="eastAsia" w:ascii="宋体" w:hAnsi="宋体" w:cs="宋体"/>
          <w:bCs/>
          <w:color w:val="auto"/>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8"/>
        </w:numPr>
        <w:spacing w:line="360" w:lineRule="auto"/>
        <w:ind w:firstLine="480" w:firstLineChars="200"/>
        <w:rPr>
          <w:rFonts w:ascii="宋体" w:hAnsi="宋体" w:cs="宋体"/>
          <w:bCs/>
          <w:color w:val="auto"/>
          <w:sz w:val="24"/>
          <w:highlight w:val="none"/>
        </w:rPr>
      </w:pPr>
      <w:r>
        <w:rPr>
          <w:rFonts w:hint="eastAsia" w:ascii="宋体" w:hAnsi="宋体" w:cs="宋体"/>
          <w:bCs/>
          <w:color w:val="auto"/>
          <w:sz w:val="24"/>
          <w:highlight w:val="none"/>
          <w:lang w:eastAsia="zh-CN"/>
        </w:rPr>
        <w:t>未上市股票的估值：</w:t>
      </w:r>
    </w:p>
    <w:p>
      <w:pPr>
        <w:numPr>
          <w:ilvl w:val="0"/>
          <w:numId w:val="0"/>
        </w:numPr>
        <w:spacing w:line="360" w:lineRule="auto"/>
        <w:ind w:firstLine="480" w:firstLineChars="200"/>
        <w:rPr>
          <w:rFonts w:hint="eastAsia" w:ascii="宋体" w:hAnsi="宋体"/>
          <w:color w:val="auto"/>
          <w:sz w:val="24"/>
          <w:highlight w:val="none"/>
        </w:rPr>
      </w:pPr>
      <w:r>
        <w:rPr>
          <w:rFonts w:hint="eastAsia" w:ascii="宋体" w:hAnsi="宋体" w:cs="宋体"/>
          <w:bCs/>
          <w:color w:val="auto"/>
          <w:sz w:val="24"/>
          <w:highlight w:val="none"/>
          <w:lang w:val="en-US" w:eastAsia="zh-CN"/>
        </w:rPr>
        <w:t>1）</w:t>
      </w:r>
      <w:r>
        <w:rPr>
          <w:rFonts w:hint="eastAsia" w:ascii="宋体" w:hAnsi="宋体"/>
          <w:color w:val="auto"/>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lang w:val="en-US" w:eastAsia="zh-CN"/>
        </w:rPr>
        <w:t>2）</w:t>
      </w:r>
      <w:r>
        <w:rPr>
          <w:rFonts w:hint="eastAsia" w:ascii="宋体" w:hAnsi="宋体"/>
          <w:color w:val="auto"/>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lang w:val="en-US" w:eastAsia="zh-CN"/>
        </w:rPr>
        <w:t>3）</w:t>
      </w:r>
      <w:r>
        <w:rPr>
          <w:rFonts w:hint="eastAsia" w:ascii="宋体" w:hAnsi="宋体"/>
          <w:color w:val="auto"/>
          <w:sz w:val="24"/>
          <w:highlight w:val="none"/>
        </w:rPr>
        <w:t>首次发行未上市的股票，按发行价格进行估值；</w:t>
      </w:r>
    </w:p>
    <w:p>
      <w:pPr>
        <w:numPr>
          <w:ilvl w:val="0"/>
          <w:numId w:val="0"/>
        </w:num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lang w:val="en-US" w:eastAsia="zh-CN"/>
        </w:rPr>
        <w:t>4）</w:t>
      </w:r>
      <w:r>
        <w:rPr>
          <w:rFonts w:hint="eastAsia" w:ascii="宋体" w:hAnsi="宋体"/>
          <w:color w:val="auto"/>
          <w:sz w:val="24"/>
          <w:highlight w:val="none"/>
        </w:rPr>
        <w:t>因持有股票而享有的配股权，采用估值技术确定公允价值。</w:t>
      </w:r>
    </w:p>
    <w:p>
      <w:pPr>
        <w:numPr>
          <w:ilvl w:val="0"/>
          <w:numId w:val="28"/>
        </w:numPr>
        <w:spacing w:line="360" w:lineRule="auto"/>
        <w:ind w:firstLine="480" w:firstLineChars="200"/>
        <w:rPr>
          <w:rFonts w:ascii="宋体" w:hAnsi="宋体" w:cs="宋体"/>
          <w:bCs/>
          <w:color w:val="auto"/>
          <w:sz w:val="24"/>
          <w:highlight w:val="none"/>
        </w:rPr>
      </w:pPr>
      <w:r>
        <w:rPr>
          <w:rFonts w:hint="eastAsia" w:ascii="宋体" w:hAnsi="宋体" w:cs="宋体"/>
          <w:bCs/>
          <w:color w:val="auto"/>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auto"/>
          <w:sz w:val="24"/>
          <w:highlight w:val="none"/>
        </w:rPr>
      </w:pPr>
      <w:r>
        <w:rPr>
          <w:rFonts w:hint="eastAsia" w:ascii="宋体" w:hAnsi="宋体" w:cs="宋体"/>
          <w:bCs/>
          <w:color w:val="auto"/>
          <w:sz w:val="24"/>
          <w:highlight w:val="none"/>
        </w:rPr>
        <w:t>非上市股权类资产，按照国家最新规定，采用合理的估值技术进行估值。</w:t>
      </w:r>
    </w:p>
    <w:p>
      <w:pPr>
        <w:numPr>
          <w:ilvl w:val="0"/>
          <w:numId w:val="27"/>
        </w:numPr>
        <w:spacing w:line="360" w:lineRule="auto"/>
        <w:ind w:firstLine="480" w:firstLineChars="200"/>
        <w:rPr>
          <w:rFonts w:hint="eastAsia" w:ascii="宋体" w:hAnsi="宋体" w:cs="宋体"/>
          <w:bCs/>
          <w:color w:val="auto"/>
          <w:sz w:val="24"/>
          <w:highlight w:val="none"/>
        </w:rPr>
      </w:pPr>
      <w:r>
        <w:rPr>
          <w:rFonts w:hint="eastAsia" w:ascii="宋体" w:hAnsi="宋体" w:cs="宋体"/>
          <w:bCs/>
          <w:color w:val="auto"/>
          <w:sz w:val="24"/>
          <w:highlight w:val="none"/>
          <w:lang w:eastAsia="zh-CN"/>
        </w:rPr>
        <w:t>基金、资产管理计划类</w:t>
      </w:r>
      <w:r>
        <w:rPr>
          <w:rFonts w:hint="eastAsia" w:ascii="宋体" w:hAnsi="宋体" w:cs="宋体"/>
          <w:bCs/>
          <w:color w:val="auto"/>
          <w:sz w:val="24"/>
          <w:highlight w:val="none"/>
        </w:rPr>
        <w:t>资产</w:t>
      </w:r>
    </w:p>
    <w:p>
      <w:pPr>
        <w:numPr>
          <w:ilvl w:val="0"/>
          <w:numId w:val="0"/>
        </w:numPr>
        <w:spacing w:line="360" w:lineRule="auto"/>
        <w:ind w:firstLine="480" w:firstLineChars="200"/>
        <w:rPr>
          <w:rFonts w:hint="eastAsia" w:ascii="宋体" w:hAnsi="宋体"/>
          <w:color w:val="auto"/>
          <w:sz w:val="24"/>
          <w:highlight w:val="none"/>
        </w:rPr>
      </w:pPr>
      <w:r>
        <w:rPr>
          <w:rFonts w:hint="eastAsia" w:ascii="宋体" w:hAnsi="宋体" w:cs="宋体"/>
          <w:bCs/>
          <w:color w:val="auto"/>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auto"/>
          <w:sz w:val="24"/>
          <w:highlight w:val="none"/>
        </w:rPr>
      </w:pPr>
      <w:r>
        <w:rPr>
          <w:rFonts w:hint="eastAsia" w:ascii="宋体" w:hAnsi="宋体" w:cs="宋体"/>
          <w:bCs/>
          <w:color w:val="auto"/>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7"/>
        </w:numPr>
        <w:spacing w:line="360" w:lineRule="auto"/>
        <w:ind w:firstLine="480" w:firstLineChars="200"/>
        <w:rPr>
          <w:rFonts w:hint="eastAsia" w:ascii="宋体" w:hAnsi="宋体" w:cs="宋体"/>
          <w:bCs/>
          <w:color w:val="auto"/>
          <w:sz w:val="24"/>
          <w:highlight w:val="none"/>
        </w:rPr>
      </w:pPr>
      <w:r>
        <w:rPr>
          <w:rFonts w:hint="eastAsia" w:ascii="宋体" w:hAnsi="宋体" w:cs="宋体"/>
          <w:bCs/>
          <w:color w:val="auto"/>
          <w:sz w:val="24"/>
          <w:highlight w:val="none"/>
        </w:rPr>
        <w:t>其他资产的估值方法</w:t>
      </w:r>
    </w:p>
    <w:p>
      <w:pPr>
        <w:pStyle w:val="20"/>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auto"/>
          <w:sz w:val="24"/>
          <w:highlight w:val="none"/>
        </w:rPr>
      </w:pPr>
      <w:r>
        <w:rPr>
          <w:rFonts w:hint="eastAsia" w:ascii="宋体" w:hAnsi="宋体" w:cs="宋体"/>
          <w:bCs/>
          <w:color w:val="auto"/>
          <w:kern w:val="2"/>
          <w:highlight w:val="none"/>
          <w:lang w:eastAsia="zh-CN"/>
        </w:rPr>
        <w:t>以</w:t>
      </w:r>
      <w:r>
        <w:rPr>
          <w:rFonts w:hint="eastAsia" w:ascii="宋体" w:hAnsi="宋体" w:cs="宋体"/>
          <w:bCs/>
          <w:color w:val="auto"/>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color w:val="auto"/>
          <w:kern w:val="2"/>
          <w:highlight w:val="none"/>
          <w:lang w:eastAsia="zh-CN"/>
        </w:rPr>
        <w:t>按最能反映公允价值的价格估值，</w:t>
      </w:r>
      <w:r>
        <w:rPr>
          <w:rFonts w:hint="eastAsia" w:ascii="宋体" w:hAnsi="宋体" w:cs="宋体"/>
          <w:bCs/>
          <w:color w:val="auto"/>
          <w:kern w:val="2"/>
          <w:highlight w:val="none"/>
        </w:rPr>
        <w:t>并自协商一致日后执行。</w:t>
      </w:r>
    </w:p>
    <w:p>
      <w:pPr>
        <w:pStyle w:val="20"/>
        <w:tabs>
          <w:tab w:val="left" w:pos="0"/>
        </w:tabs>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6"/>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估值差错处理</w:t>
      </w:r>
    </w:p>
    <w:p>
      <w:p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6"/>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暂停估值情形</w:t>
      </w:r>
    </w:p>
    <w:p>
      <w:pPr>
        <w:numPr>
          <w:ilvl w:val="0"/>
          <w:numId w:val="29"/>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理财计划投资所涉及的交易市场遇法定节假日或因其他原因暂停营业时暂停估值，该种情况理财计划估值日期</w:t>
      </w:r>
      <w:r>
        <w:rPr>
          <w:rFonts w:hint="eastAsia" w:ascii="宋体" w:hAnsi="宋体" w:cs="宋体"/>
          <w:bCs/>
          <w:color w:val="auto"/>
          <w:sz w:val="24"/>
          <w:highlight w:val="none"/>
          <w:lang w:eastAsia="zh-CN"/>
        </w:rPr>
        <w:t>提前到上</w:t>
      </w:r>
      <w:r>
        <w:rPr>
          <w:rFonts w:hint="eastAsia" w:ascii="宋体" w:hAnsi="宋体" w:cs="宋体"/>
          <w:bCs/>
          <w:color w:val="auto"/>
          <w:sz w:val="24"/>
          <w:highlight w:val="none"/>
        </w:rPr>
        <w:t>一交易日。</w:t>
      </w:r>
    </w:p>
    <w:p>
      <w:pPr>
        <w:numPr>
          <w:ilvl w:val="0"/>
          <w:numId w:val="29"/>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因不可抗力或其他情形致使理财计划管理人、理财计划托管人无法准确评估资产价值时。</w:t>
      </w:r>
    </w:p>
    <w:p>
      <w:pPr>
        <w:numPr>
          <w:ilvl w:val="0"/>
          <w:numId w:val="29"/>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lang w:eastAsia="zh-CN"/>
        </w:rPr>
        <w:t>当</w:t>
      </w:r>
      <w:r>
        <w:rPr>
          <w:rFonts w:hint="eastAsia" w:ascii="宋体" w:hAnsi="宋体" w:cs="宋体"/>
          <w:bCs/>
          <w:color w:val="auto"/>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auto"/>
          <w:sz w:val="24"/>
          <w:highlight w:val="none"/>
        </w:rPr>
        <w:t>延缓支付赎回款项或暂停接受理财</w:t>
      </w:r>
      <w:r>
        <w:rPr>
          <w:rFonts w:hint="eastAsia" w:ascii="宋体" w:hAnsi="宋体" w:cs="宋体"/>
          <w:bCs/>
          <w:color w:val="auto"/>
          <w:sz w:val="24"/>
          <w:highlight w:val="none"/>
          <w:lang w:eastAsia="zh-CN"/>
        </w:rPr>
        <w:t>计划</w:t>
      </w:r>
      <w:r>
        <w:rPr>
          <w:rFonts w:hint="eastAsia" w:ascii="宋体" w:hAnsi="宋体" w:cs="宋体"/>
          <w:bCs/>
          <w:color w:val="auto"/>
          <w:sz w:val="24"/>
          <w:highlight w:val="none"/>
        </w:rPr>
        <w:t>认购、赎回申请等</w:t>
      </w:r>
      <w:r>
        <w:rPr>
          <w:rFonts w:hint="eastAsia" w:ascii="宋体" w:hAnsi="宋体" w:cs="宋体"/>
          <w:bCs/>
          <w:color w:val="auto"/>
          <w:sz w:val="24"/>
          <w:highlight w:val="none"/>
          <w:lang w:val="en-US" w:eastAsia="zh-CN"/>
        </w:rPr>
        <w:t>措施。</w:t>
      </w:r>
    </w:p>
    <w:p>
      <w:pPr>
        <w:numPr>
          <w:ilvl w:val="0"/>
          <w:numId w:val="29"/>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理财计划管理人、托管人有合理理由认为将影响本理财计划估值的其他情形发生。</w:t>
      </w:r>
    </w:p>
    <w:p>
      <w:pPr>
        <w:numPr>
          <w:ilvl w:val="0"/>
          <w:numId w:val="26"/>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资产账册的建立</w:t>
      </w:r>
    </w:p>
    <w:p>
      <w:p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auto"/>
          <w:sz w:val="24"/>
          <w:highlight w:val="none"/>
        </w:rPr>
      </w:pPr>
    </w:p>
    <w:p>
      <w:pPr>
        <w:numPr>
          <w:ilvl w:val="0"/>
          <w:numId w:val="23"/>
        </w:numPr>
        <w:spacing w:line="360" w:lineRule="auto"/>
        <w:ind w:firstLine="482" w:firstLineChars="200"/>
        <w:jc w:val="left"/>
        <w:outlineLvl w:val="1"/>
        <w:rPr>
          <w:rFonts w:hint="eastAsia" w:ascii="宋体" w:hAnsi="宋体" w:cs="宋体"/>
          <w:b/>
          <w:color w:val="auto"/>
          <w:sz w:val="24"/>
          <w:highlight w:val="none"/>
        </w:rPr>
      </w:pPr>
      <w:r>
        <w:rPr>
          <w:rFonts w:hint="eastAsia" w:ascii="宋体" w:hAnsi="宋体" w:cs="宋体"/>
          <w:b/>
          <w:color w:val="auto"/>
          <w:sz w:val="24"/>
          <w:highlight w:val="none"/>
        </w:rPr>
        <w:t>费用及税收</w:t>
      </w:r>
    </w:p>
    <w:p>
      <w:pPr>
        <w:numPr>
          <w:ilvl w:val="0"/>
          <w:numId w:val="30"/>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费用种类</w:t>
      </w:r>
    </w:p>
    <w:p>
      <w:pPr>
        <w:spacing w:line="360" w:lineRule="auto"/>
        <w:ind w:firstLine="480" w:firstLineChars="200"/>
        <w:jc w:val="left"/>
        <w:rPr>
          <w:rFonts w:ascii="宋体" w:hAnsi="宋体" w:cs="宋体"/>
          <w:b/>
          <w:color w:val="auto"/>
          <w:sz w:val="24"/>
          <w:highlight w:val="none"/>
        </w:rPr>
      </w:pPr>
      <w:r>
        <w:rPr>
          <w:rFonts w:hint="eastAsia" w:ascii="宋体" w:hAnsi="宋体" w:cs="宋体"/>
          <w:bCs/>
          <w:color w:val="auto"/>
          <w:sz w:val="24"/>
          <w:highlight w:val="none"/>
        </w:rPr>
        <w:t>本理财计划</w:t>
      </w:r>
      <w:r>
        <w:rPr>
          <w:rFonts w:hint="eastAsia" w:ascii="宋体" w:hAnsi="宋体" w:cs="宋体"/>
          <w:bCs/>
          <w:color w:val="auto"/>
          <w:sz w:val="24"/>
          <w:highlight w:val="none"/>
          <w:lang w:eastAsia="zh-CN"/>
        </w:rPr>
        <w:t>涉及</w:t>
      </w:r>
      <w:r>
        <w:rPr>
          <w:rFonts w:hint="eastAsia" w:ascii="宋体" w:hAnsi="宋体" w:cs="宋体"/>
          <w:bCs/>
          <w:color w:val="auto"/>
          <w:sz w:val="24"/>
          <w:highlight w:val="none"/>
        </w:rPr>
        <w:t>费用包括</w:t>
      </w:r>
      <w:r>
        <w:rPr>
          <w:rFonts w:hint="eastAsia" w:ascii="宋体" w:hAnsi="宋体" w:cs="宋体"/>
          <w:bCs/>
          <w:color w:val="auto"/>
          <w:sz w:val="24"/>
          <w:highlight w:val="none"/>
          <w:lang w:eastAsia="zh-CN"/>
        </w:rPr>
        <w:t>销售服务费</w:t>
      </w:r>
      <w:r>
        <w:rPr>
          <w:rFonts w:hint="eastAsia" w:ascii="宋体" w:hAnsi="宋体" w:cs="宋体"/>
          <w:bCs/>
          <w:color w:val="auto"/>
          <w:sz w:val="24"/>
          <w:highlight w:val="none"/>
        </w:rPr>
        <w:t>、托管费、固定管理费、认购费、申购费、赎回费、浮动管理费以及理财计划运作和清算中产生的其他费用等。</w:t>
      </w:r>
    </w:p>
    <w:p>
      <w:pPr>
        <w:numPr>
          <w:ilvl w:val="0"/>
          <w:numId w:val="30"/>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费用计提方法、标准及支付方式</w:t>
      </w:r>
    </w:p>
    <w:p>
      <w:pPr>
        <w:numPr>
          <w:ilvl w:val="0"/>
          <w:numId w:val="31"/>
        </w:numPr>
        <w:spacing w:line="360" w:lineRule="auto"/>
        <w:ind w:firstLine="482" w:firstLineChars="200"/>
        <w:jc w:val="left"/>
        <w:rPr>
          <w:rFonts w:hint="eastAsia" w:ascii="宋体" w:hAnsi="宋体" w:cs="宋体"/>
          <w:b/>
          <w:color w:val="auto"/>
          <w:sz w:val="24"/>
          <w:highlight w:val="none"/>
        </w:rPr>
      </w:pPr>
      <w:r>
        <w:rPr>
          <w:rFonts w:hint="eastAsia" w:ascii="宋体" w:hAnsi="宋体" w:cs="宋体"/>
          <w:b/>
          <w:color w:val="auto"/>
          <w:sz w:val="24"/>
          <w:highlight w:val="none"/>
          <w:lang w:eastAsia="zh-CN"/>
        </w:rPr>
        <w:t>销售服务费</w:t>
      </w:r>
    </w:p>
    <w:p>
      <w:pPr>
        <w:pageBreakBefore w:val="0"/>
        <w:spacing w:line="360" w:lineRule="auto"/>
        <w:ind w:left="-1" w:right="-1" w:firstLine="480"/>
        <w:jc w:val="left"/>
        <w:textAlignment w:val="auto"/>
        <w:rPr>
          <w:color w:val="auto"/>
        </w:rPr>
      </w:pPr>
      <w:r>
        <w:rPr>
          <w:rFonts w:ascii="宋体" w:hAnsi="宋体" w:eastAsia="宋体" w:cs="宋体"/>
          <w:b w:val="0"/>
          <w:i w:val="0"/>
          <w:caps w:val="0"/>
          <w:strike w:val="0"/>
          <w:dstrike w:val="0"/>
          <w:shadow w:val="0"/>
          <w:emboss w:val="0"/>
          <w:imprint w:val="0"/>
          <w:color w:val="auto"/>
          <w:kern w:val="2"/>
          <w:position w:val="-1"/>
          <w:sz w:val="24"/>
          <w:u w:val="none"/>
          <w:vertAlign w:val="baseline"/>
        </w:rPr>
        <w:t>理财计划财产为每日计提销售服务费的〖A份额〗、〖B份额〗、〖H份额〗、〖L份额〗、〖ZA份额〗、〖ZB份额〗、〖ZC份额〗、〖ZD份额〗、〖ZE份额〗。A份额的年化销售服务费率为〖0.30%〗, B份额的年化销售服务费率为〖0.20%〗, H份额的年化销售服务费率为〖0.30%〗, L份额的年化销售服务费率为〖0.</w:t>
      </w:r>
      <w:r>
        <w:rPr>
          <w:rFonts w:hint="eastAsia" w:ascii="宋体" w:hAnsi="宋体" w:cs="宋体"/>
          <w:b w:val="0"/>
          <w:i w:val="0"/>
          <w:caps w:val="0"/>
          <w:strike w:val="0"/>
          <w:dstrike w:val="0"/>
          <w:shadow w:val="0"/>
          <w:emboss w:val="0"/>
          <w:imprint w:val="0"/>
          <w:color w:val="auto"/>
          <w:kern w:val="2"/>
          <w:position w:val="-1"/>
          <w:sz w:val="24"/>
          <w:u w:val="none"/>
          <w:vertAlign w:val="baseline"/>
          <w:lang w:val="en-US" w:eastAsia="zh-CN"/>
        </w:rPr>
        <w:t>20</w:t>
      </w:r>
      <w:r>
        <w:rPr>
          <w:rFonts w:ascii="宋体" w:hAnsi="宋体" w:eastAsia="宋体" w:cs="宋体"/>
          <w:b w:val="0"/>
          <w:i w:val="0"/>
          <w:caps w:val="0"/>
          <w:strike w:val="0"/>
          <w:dstrike w:val="0"/>
          <w:shadow w:val="0"/>
          <w:emboss w:val="0"/>
          <w:imprint w:val="0"/>
          <w:color w:val="auto"/>
          <w:kern w:val="2"/>
          <w:position w:val="-1"/>
          <w:sz w:val="24"/>
          <w:u w:val="none"/>
          <w:vertAlign w:val="baseline"/>
        </w:rPr>
        <w:t>%〗, ZA份额的年化销售服务费率为〖0.30%〗, ZB份额的年化销售服务费率为〖0.20%〗, ZC份额的年化销售服务费率为〖0.10%〗, ZD份额的年化销售服务费率为〖0.15%〗, ZE份额的年化销售服务费率为〖0.25%〗。计算方法如下：</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销售服务费原则上按日计提。</w:t>
      </w:r>
    </w:p>
    <w:p>
      <w:pPr>
        <w:numPr>
          <w:ilvl w:val="0"/>
          <w:numId w:val="31"/>
        </w:numPr>
        <w:spacing w:line="360" w:lineRule="auto"/>
        <w:ind w:firstLine="482" w:firstLineChars="200"/>
        <w:jc w:val="left"/>
        <w:rPr>
          <w:rFonts w:hint="eastAsia" w:ascii="宋体" w:hAnsi="宋体" w:cs="宋体"/>
          <w:b/>
          <w:color w:val="auto"/>
          <w:sz w:val="24"/>
          <w:highlight w:val="none"/>
        </w:rPr>
      </w:pPr>
      <w:r>
        <w:rPr>
          <w:rFonts w:hint="eastAsia" w:ascii="宋体" w:hAnsi="宋体" w:cs="宋体"/>
          <w:b/>
          <w:color w:val="auto"/>
          <w:sz w:val="24"/>
          <w:highlight w:val="none"/>
        </w:rPr>
        <w:t>托管费</w:t>
      </w:r>
    </w:p>
    <w:p>
      <w:pPr>
        <w:spacing w:line="360" w:lineRule="auto"/>
        <w:ind w:firstLine="480" w:firstLineChars="200"/>
        <w:jc w:val="left"/>
        <w:rPr>
          <w:rFonts w:hint="eastAsia" w:ascii="宋体" w:hAnsi="宋体" w:cs="宋体"/>
          <w:bCs/>
          <w:color w:val="auto"/>
          <w:sz w:val="24"/>
          <w:szCs w:val="24"/>
          <w:highlight w:val="none"/>
        </w:rPr>
      </w:pPr>
      <w:r>
        <w:rPr>
          <w:rFonts w:hint="eastAsia" w:ascii="宋体" w:hAnsi="宋体" w:cs="宋体"/>
          <w:bCs/>
          <w:color w:val="auto"/>
          <w:sz w:val="24"/>
          <w:szCs w:val="24"/>
          <w:highlight w:val="none"/>
        </w:rPr>
        <w:t>理财计划财产的年化托管费为</w:t>
      </w:r>
      <w:r>
        <w:rPr>
          <w:rFonts w:hint="eastAsia" w:ascii="宋体" w:hAnsi="宋体" w:cs="宋体"/>
          <w:color w:val="auto"/>
          <w:sz w:val="24"/>
          <w:szCs w:val="24"/>
          <w:highlight w:val="none"/>
        </w:rPr>
        <w:t>〖</w:t>
      </w:r>
      <w:r>
        <w:rPr>
          <w:rFonts w:hint="eastAsia" w:ascii="宋体" w:hAnsi="宋体" w:eastAsia="宋体" w:cs="宋体"/>
          <w:color w:val="auto"/>
          <w:kern w:val="2"/>
          <w:sz w:val="24"/>
          <w:szCs w:val="24"/>
          <w:highlight w:val="none"/>
          <w:lang w:val="en-US" w:eastAsia="zh-CN" w:bidi="ar-SA"/>
        </w:rPr>
        <w:t>0.025</w:t>
      </w:r>
      <w:r>
        <w:rPr>
          <w:rFonts w:hint="eastAsia" w:ascii="宋体" w:hAnsi="宋体" w:cs="宋体"/>
          <w:bCs/>
          <w:color w:val="auto"/>
          <w:sz w:val="24"/>
          <w:szCs w:val="24"/>
          <w:highlight w:val="none"/>
        </w:rPr>
        <w:t>%</w:t>
      </w:r>
      <w:r>
        <w:rPr>
          <w:rFonts w:hint="eastAsia" w:ascii="宋体" w:hAnsi="宋体" w:cs="宋体"/>
          <w:color w:val="auto"/>
          <w:sz w:val="24"/>
          <w:szCs w:val="24"/>
          <w:highlight w:val="none"/>
        </w:rPr>
        <w:t>〗</w:t>
      </w:r>
      <w:r>
        <w:rPr>
          <w:rFonts w:hint="eastAsia" w:ascii="宋体" w:hAnsi="宋体" w:cs="宋体"/>
          <w:bCs/>
          <w:color w:val="auto"/>
          <w:sz w:val="24"/>
          <w:szCs w:val="24"/>
          <w:highlight w:val="none"/>
        </w:rPr>
        <w:t>，计算方法如下：</w:t>
      </w:r>
    </w:p>
    <w:p>
      <w:pPr>
        <w:spacing w:line="360" w:lineRule="auto"/>
        <w:ind w:firstLine="480" w:firstLineChars="200"/>
        <w:jc w:val="left"/>
        <w:rPr>
          <w:rFonts w:hint="eastAsia" w:ascii="宋体" w:hAnsi="宋体" w:cs="宋体"/>
          <w:bCs/>
          <w:color w:val="auto"/>
          <w:sz w:val="24"/>
          <w:szCs w:val="24"/>
          <w:highlight w:val="none"/>
        </w:rPr>
      </w:pPr>
      <w:r>
        <w:rPr>
          <w:rFonts w:hint="eastAsia" w:ascii="宋体" w:hAnsi="宋体" w:cs="宋体"/>
          <w:bCs/>
          <w:color w:val="auto"/>
          <w:sz w:val="24"/>
          <w:szCs w:val="24"/>
          <w:highlight w:val="none"/>
        </w:rPr>
        <w:t>H＝E×</w:t>
      </w:r>
      <w:r>
        <w:rPr>
          <w:rFonts w:hint="eastAsia" w:ascii="宋体" w:hAnsi="宋体" w:cs="宋体"/>
          <w:color w:val="auto"/>
          <w:sz w:val="24"/>
          <w:szCs w:val="24"/>
          <w:highlight w:val="none"/>
        </w:rPr>
        <w:t>〖</w:t>
      </w:r>
      <w:r>
        <w:rPr>
          <w:rFonts w:hint="eastAsia" w:ascii="宋体" w:hAnsi="宋体" w:eastAsia="宋体" w:cs="宋体"/>
          <w:color w:val="auto"/>
          <w:kern w:val="2"/>
          <w:sz w:val="24"/>
          <w:szCs w:val="24"/>
          <w:highlight w:val="none"/>
          <w:lang w:val="en-US" w:eastAsia="zh-CN" w:bidi="ar-SA"/>
        </w:rPr>
        <w:t>0.025</w:t>
      </w:r>
      <w:r>
        <w:rPr>
          <w:rFonts w:hint="eastAsia" w:ascii="宋体" w:hAnsi="宋体" w:cs="宋体"/>
          <w:bCs/>
          <w:color w:val="auto"/>
          <w:sz w:val="24"/>
          <w:szCs w:val="24"/>
          <w:highlight w:val="none"/>
        </w:rPr>
        <w:t>%</w:t>
      </w:r>
      <w:r>
        <w:rPr>
          <w:rFonts w:hint="eastAsia" w:ascii="宋体" w:hAnsi="宋体" w:cs="宋体"/>
          <w:color w:val="auto"/>
          <w:sz w:val="24"/>
          <w:szCs w:val="24"/>
          <w:highlight w:val="none"/>
        </w:rPr>
        <w:t>〗</w:t>
      </w:r>
      <w:r>
        <w:rPr>
          <w:rFonts w:hint="eastAsia" w:ascii="宋体" w:hAnsi="宋体" w:cs="宋体"/>
          <w:bCs/>
          <w:color w:val="auto"/>
          <w:sz w:val="24"/>
          <w:szCs w:val="24"/>
          <w:highlight w:val="none"/>
        </w:rPr>
        <w:t>÷365</w:t>
      </w:r>
    </w:p>
    <w:p>
      <w:pPr>
        <w:spacing w:line="360" w:lineRule="auto"/>
        <w:ind w:firstLine="480" w:firstLineChars="200"/>
        <w:jc w:val="left"/>
        <w:rPr>
          <w:rFonts w:hint="eastAsia" w:ascii="宋体" w:hAnsi="宋体" w:cs="宋体"/>
          <w:bCs/>
          <w:color w:val="auto"/>
          <w:sz w:val="24"/>
          <w:szCs w:val="24"/>
          <w:highlight w:val="none"/>
        </w:rPr>
      </w:pPr>
      <w:r>
        <w:rPr>
          <w:rFonts w:hint="eastAsia" w:ascii="宋体" w:hAnsi="宋体" w:cs="宋体"/>
          <w:bCs/>
          <w:color w:val="auto"/>
          <w:sz w:val="24"/>
          <w:szCs w:val="24"/>
          <w:highlight w:val="none"/>
        </w:rPr>
        <w:t>H为每日应计提的托管费</w:t>
      </w:r>
    </w:p>
    <w:p>
      <w:pPr>
        <w:spacing w:line="360" w:lineRule="auto"/>
        <w:ind w:firstLine="480" w:firstLineChars="200"/>
        <w:jc w:val="left"/>
        <w:rPr>
          <w:rFonts w:hint="eastAsia" w:ascii="宋体" w:hAnsi="宋体" w:cs="宋体"/>
          <w:bCs/>
          <w:color w:val="auto"/>
          <w:sz w:val="24"/>
          <w:szCs w:val="24"/>
          <w:highlight w:val="none"/>
        </w:rPr>
      </w:pPr>
      <w:r>
        <w:rPr>
          <w:rFonts w:hint="eastAsia" w:ascii="宋体" w:hAnsi="宋体" w:cs="宋体"/>
          <w:bCs/>
          <w:color w:val="auto"/>
          <w:sz w:val="24"/>
          <w:szCs w:val="24"/>
          <w:highlight w:val="none"/>
        </w:rPr>
        <w:t>E为本理财计划前一日资产净值</w:t>
      </w:r>
    </w:p>
    <w:p>
      <w:p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szCs w:val="24"/>
          <w:highlight w:val="none"/>
        </w:rPr>
        <w:t>托管费原则上按日计提。</w:t>
      </w:r>
    </w:p>
    <w:p>
      <w:pPr>
        <w:numPr>
          <w:ilvl w:val="0"/>
          <w:numId w:val="31"/>
        </w:numPr>
        <w:spacing w:line="360" w:lineRule="auto"/>
        <w:ind w:firstLine="482" w:firstLineChars="200"/>
        <w:jc w:val="left"/>
        <w:rPr>
          <w:rFonts w:hint="eastAsia" w:ascii="宋体" w:hAnsi="宋体" w:cs="宋体"/>
          <w:b/>
          <w:color w:val="auto"/>
          <w:sz w:val="24"/>
          <w:highlight w:val="none"/>
        </w:rPr>
      </w:pPr>
      <w:r>
        <w:rPr>
          <w:rFonts w:hint="eastAsia" w:ascii="宋体" w:hAnsi="宋体" w:cs="宋体"/>
          <w:b/>
          <w:color w:val="auto"/>
          <w:sz w:val="24"/>
          <w:highlight w:val="none"/>
        </w:rPr>
        <w:t>固定管理费</w:t>
      </w:r>
    </w:p>
    <w:p>
      <w:pPr>
        <w:spacing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kern w:val="2"/>
          <w:sz w:val="24"/>
          <w:szCs w:val="24"/>
          <w:highlight w:val="none"/>
          <w:lang w:val="en-US" w:eastAsia="zh-CN" w:bidi="ar-SA"/>
        </w:rPr>
        <w:t>A份额的年化固定管理费率为〖0.20%〗, B份额的年化固定管理费率为〖0.20%〗, H份额的年化固定管理费率为〖0.20%〗, L份额的年化固定管理费率为〖0.20%〗, ZA份额的年化固定管理费率为〖0.20%〗, ZB份额的年化固定管理费率为〖0.20%〗, ZC份额的年化固定管理费率为〖0.20%〗, ZD份额的年化固定管理费率为〖0.20%〗, ZE份额的年化固定管理费率为〖0.20%〗, 以〖A份额〗</w:t>
      </w:r>
      <w:r>
        <w:rPr>
          <w:rFonts w:hint="eastAsia" w:ascii="宋体" w:hAnsi="宋体" w:eastAsia="宋体" w:cs="宋体"/>
          <w:bCs/>
          <w:color w:val="auto"/>
          <w:sz w:val="24"/>
          <w:szCs w:val="24"/>
          <w:highlight w:val="none"/>
        </w:rPr>
        <w:t>为例，计算方法如下：</w:t>
      </w:r>
    </w:p>
    <w:p>
      <w:pPr>
        <w:spacing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H＝E×</w:t>
      </w:r>
      <w:r>
        <w:rPr>
          <w:rFonts w:hint="eastAsia" w:ascii="宋体" w:hAnsi="宋体" w:eastAsia="宋体" w:cs="宋体"/>
          <w:color w:val="auto"/>
          <w:sz w:val="24"/>
          <w:szCs w:val="24"/>
          <w:highlight w:val="none"/>
        </w:rPr>
        <w:t>〖</w:t>
      </w:r>
      <w:r>
        <w:rPr>
          <w:rFonts w:hint="eastAsia" w:ascii="宋体" w:hAnsi="宋体" w:eastAsia="宋体" w:cs="宋体"/>
          <w:color w:val="auto"/>
          <w:kern w:val="2"/>
          <w:sz w:val="24"/>
          <w:szCs w:val="24"/>
          <w:highlight w:val="none"/>
          <w:lang w:val="en-US" w:eastAsia="zh-CN" w:bidi="ar-SA"/>
        </w:rPr>
        <w:t>0.20</w:t>
      </w:r>
      <w:r>
        <w:rPr>
          <w:rFonts w:hint="eastAsia" w:ascii="宋体" w:hAnsi="宋体" w:eastAsia="宋体" w:cs="宋体"/>
          <w:bCs/>
          <w:color w:val="auto"/>
          <w:sz w:val="24"/>
          <w:szCs w:val="24"/>
          <w:highlight w:val="none"/>
        </w:rPr>
        <w:t>%</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÷365</w:t>
      </w:r>
    </w:p>
    <w:p>
      <w:pPr>
        <w:spacing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H为每日应计提的</w:t>
      </w:r>
      <w:r>
        <w:rPr>
          <w:rFonts w:hint="eastAsia" w:ascii="宋体" w:hAnsi="宋体" w:eastAsia="宋体" w:cs="宋体"/>
          <w:bCs/>
          <w:color w:val="auto"/>
          <w:sz w:val="24"/>
          <w:szCs w:val="24"/>
          <w:highlight w:val="none"/>
          <w:lang w:eastAsia="zh-CN"/>
        </w:rPr>
        <w:t>固定</w:t>
      </w:r>
      <w:r>
        <w:rPr>
          <w:rFonts w:hint="eastAsia" w:ascii="宋体" w:hAnsi="宋体" w:eastAsia="宋体" w:cs="宋体"/>
          <w:bCs/>
          <w:color w:val="auto"/>
          <w:sz w:val="24"/>
          <w:szCs w:val="24"/>
          <w:highlight w:val="none"/>
        </w:rPr>
        <w:t>管理费</w:t>
      </w:r>
    </w:p>
    <w:p>
      <w:pPr>
        <w:spacing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auto"/>
          <w:sz w:val="24"/>
          <w:highlight w:val="none"/>
          <w:lang w:eastAsia="zh-CN"/>
        </w:rPr>
      </w:pPr>
      <w:r>
        <w:rPr>
          <w:rFonts w:hint="eastAsia" w:ascii="宋体" w:hAnsi="宋体" w:eastAsia="宋体" w:cs="宋体"/>
          <w:bCs/>
          <w:color w:val="auto"/>
          <w:sz w:val="24"/>
          <w:szCs w:val="24"/>
          <w:highlight w:val="none"/>
        </w:rPr>
        <w:t>固定管理费原则上按日计提</w:t>
      </w:r>
      <w:r>
        <w:rPr>
          <w:rFonts w:hint="eastAsia" w:ascii="宋体" w:hAnsi="宋体" w:eastAsia="宋体" w:cs="宋体"/>
          <w:bCs/>
          <w:color w:val="auto"/>
          <w:sz w:val="24"/>
          <w:szCs w:val="24"/>
          <w:highlight w:val="none"/>
          <w:lang w:eastAsia="zh-CN"/>
        </w:rPr>
        <w:t>，</w:t>
      </w:r>
      <w:r>
        <w:rPr>
          <w:rFonts w:hint="eastAsia" w:ascii="宋体" w:hAnsi="宋体" w:eastAsia="宋体" w:cs="宋体"/>
          <w:color w:val="auto"/>
          <w:kern w:val="2"/>
          <w:sz w:val="24"/>
          <w:szCs w:val="24"/>
          <w:lang w:val="en-US" w:eastAsia="zh-CN" w:bidi="ar"/>
        </w:rPr>
        <w:t>管理人有权根据实际运作情况减免固定管理费。</w:t>
      </w:r>
    </w:p>
    <w:p>
      <w:pPr>
        <w:numPr>
          <w:ilvl w:val="0"/>
          <w:numId w:val="31"/>
        </w:numPr>
        <w:spacing w:line="360" w:lineRule="auto"/>
        <w:ind w:firstLine="482" w:firstLineChars="200"/>
        <w:jc w:val="left"/>
        <w:rPr>
          <w:rFonts w:hint="eastAsia" w:ascii="宋体" w:hAnsi="宋体" w:cs="宋体"/>
          <w:b/>
          <w:color w:val="auto"/>
          <w:sz w:val="24"/>
          <w:highlight w:val="none"/>
        </w:rPr>
      </w:pPr>
      <w:r>
        <w:rPr>
          <w:rFonts w:hint="eastAsia" w:ascii="宋体" w:hAnsi="宋体" w:cs="宋体"/>
          <w:b/>
          <w:color w:val="auto"/>
          <w:sz w:val="24"/>
          <w:highlight w:val="none"/>
        </w:rPr>
        <w:t>认购费</w:t>
      </w:r>
    </w:p>
    <w:p>
      <w:p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本理财计划免除认购费。</w:t>
      </w:r>
    </w:p>
    <w:p>
      <w:pPr>
        <w:numPr>
          <w:ilvl w:val="0"/>
          <w:numId w:val="32"/>
        </w:numPr>
        <w:spacing w:line="360" w:lineRule="auto"/>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申购费</w:t>
      </w:r>
    </w:p>
    <w:p>
      <w:pPr>
        <w:spacing w:line="360" w:lineRule="auto"/>
        <w:ind w:firstLine="480" w:firstLineChars="200"/>
        <w:jc w:val="left"/>
        <w:rPr>
          <w:rFonts w:ascii="宋体" w:hAnsi="宋体" w:cs="宋体"/>
          <w:b/>
          <w:color w:val="auto"/>
          <w:sz w:val="24"/>
          <w:highlight w:val="none"/>
        </w:rPr>
      </w:pPr>
      <w:r>
        <w:rPr>
          <w:rFonts w:hint="eastAsia" w:ascii="宋体" w:hAnsi="宋体" w:cs="宋体"/>
          <w:bCs/>
          <w:color w:val="auto"/>
          <w:sz w:val="24"/>
          <w:highlight w:val="none"/>
        </w:rPr>
        <w:t>本理财计划免除申购费。</w:t>
      </w:r>
    </w:p>
    <w:p>
      <w:pPr>
        <w:numPr>
          <w:ilvl w:val="0"/>
          <w:numId w:val="32"/>
        </w:numPr>
        <w:spacing w:line="360" w:lineRule="auto"/>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赎回费</w:t>
      </w:r>
    </w:p>
    <w:p>
      <w:pPr>
        <w:spacing w:line="360" w:lineRule="auto"/>
        <w:ind w:firstLine="480" w:firstLineChars="200"/>
        <w:jc w:val="left"/>
        <w:rPr>
          <w:rFonts w:ascii="宋体" w:hAnsi="宋体" w:cs="宋体"/>
          <w:b/>
          <w:color w:val="auto"/>
          <w:sz w:val="24"/>
          <w:highlight w:val="none"/>
        </w:rPr>
      </w:pPr>
      <w:r>
        <w:rPr>
          <w:rFonts w:hint="eastAsia" w:ascii="宋体" w:hAnsi="宋体" w:cs="宋体"/>
          <w:bCs/>
          <w:color w:val="auto"/>
          <w:sz w:val="24"/>
          <w:highlight w:val="none"/>
        </w:rPr>
        <w:t>本理财计划免除赎回费。</w:t>
      </w:r>
    </w:p>
    <w:p>
      <w:pPr>
        <w:numPr>
          <w:ilvl w:val="0"/>
          <w:numId w:val="33"/>
        </w:numPr>
        <w:spacing w:line="360" w:lineRule="auto"/>
        <w:ind w:firstLine="482" w:firstLineChars="200"/>
        <w:jc w:val="left"/>
        <w:rPr>
          <w:rFonts w:hint="eastAsia" w:ascii="宋体" w:hAnsi="宋体" w:cs="宋体"/>
          <w:b/>
          <w:color w:val="auto"/>
          <w:sz w:val="24"/>
          <w:highlight w:val="none"/>
        </w:rPr>
      </w:pPr>
      <w:r>
        <w:rPr>
          <w:rFonts w:hint="eastAsia" w:ascii="宋体" w:hAnsi="宋体" w:cs="宋体"/>
          <w:b/>
          <w:color w:val="auto"/>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理财管理人根据理财计划投资情况计算浮动管理费，浮动管理费原则上按估值日计提，每个投资周期结束后收取。以〖A份额〗为例，计算方法如下：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（1）若本理财计划份额投资周期的折合年化收益率超过业绩比较基准下限但未达到业绩比较基准上限，则超过业绩比较基准下限的部分管理人收取〖50%〗作为浮动管理费，即：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2）若本理财计划份额投资周期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H为产品〖A份额〗当前确认日应收取浮动管理费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K为〖A份额〗收取浮动管理费前投资者持有份额对应持有区间折合年化收益率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NAV0为〖A份额〗上一个确认日前一日费后单位净值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NAV1为〖A份额〗当前确认日前一日未扣除浮动管理费前的单位净值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N为〖A份额〗上一个确认日（含）至当前确认日（不含）的实际理财天数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T为〖A份额〗当前投资周期内每单位份额的实际分红金额的合计（如有）</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R为产品〖A份额〗业绩比较基准上限</w:t>
      </w:r>
    </w:p>
    <w:p>
      <w:pPr>
        <w:spacing w:line="360" w:lineRule="auto"/>
        <w:ind w:firstLine="480" w:firstLineChars="200"/>
        <w:jc w:val="left"/>
        <w:rPr>
          <w:rFonts w:hint="eastAsia" w:ascii="宋体" w:hAnsi="宋体" w:cs="宋体"/>
          <w:bCs/>
          <w:color w:val="auto"/>
          <w:sz w:val="24"/>
          <w:highlight w:val="none"/>
        </w:rPr>
      </w:pPr>
      <w:r>
        <w:rPr>
          <w:rFonts w:hint="eastAsia" w:ascii="宋体" w:hAnsi="宋体" w:eastAsia="宋体" w:cs="宋体"/>
          <w:color w:val="auto"/>
          <w:kern w:val="2"/>
          <w:sz w:val="24"/>
          <w:szCs w:val="24"/>
          <w:lang w:val="en-US" w:eastAsia="zh-CN" w:bidi="ar"/>
        </w:rPr>
        <w:t>S为产品〖A份额〗业绩比较基准下限</w:t>
      </w:r>
    </w:p>
    <w:p>
      <w:pPr>
        <w:numPr>
          <w:ilvl w:val="0"/>
          <w:numId w:val="34"/>
        </w:numPr>
        <w:spacing w:line="360" w:lineRule="auto"/>
        <w:ind w:firstLine="482" w:firstLineChars="200"/>
        <w:jc w:val="left"/>
        <w:rPr>
          <w:rFonts w:hint="eastAsia" w:ascii="宋体" w:hAnsi="宋体" w:cs="宋体"/>
          <w:b/>
          <w:color w:val="auto"/>
          <w:sz w:val="24"/>
          <w:highlight w:val="none"/>
        </w:rPr>
      </w:pPr>
      <w:r>
        <w:rPr>
          <w:rFonts w:hint="eastAsia" w:ascii="宋体" w:hAnsi="宋体" w:cs="宋体"/>
          <w:b/>
          <w:color w:val="auto"/>
          <w:sz w:val="24"/>
          <w:highlight w:val="none"/>
        </w:rPr>
        <w:t>其他费用</w:t>
      </w:r>
    </w:p>
    <w:p>
      <w:p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除上述费用外，由受托管理资产承担的费用包括但不限于：</w:t>
      </w:r>
    </w:p>
    <w:p>
      <w:pPr>
        <w:numPr>
          <w:ilvl w:val="0"/>
          <w:numId w:val="35"/>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财产管理、运用或处分过程中发生的税费。</w:t>
      </w:r>
    </w:p>
    <w:p>
      <w:pPr>
        <w:numPr>
          <w:ilvl w:val="0"/>
          <w:numId w:val="35"/>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代理机构手续费、管理费、财务顾问费、保管费。</w:t>
      </w:r>
    </w:p>
    <w:p>
      <w:pPr>
        <w:numPr>
          <w:ilvl w:val="0"/>
          <w:numId w:val="35"/>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审计费、律师费、公证费等费用。</w:t>
      </w:r>
    </w:p>
    <w:p>
      <w:pPr>
        <w:numPr>
          <w:ilvl w:val="0"/>
          <w:numId w:val="35"/>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管理人自行或委托第三方向本理财计划所投资产所涉及相关主体进行追偿所发生的费用（包括但不限于诉讼费、仲裁费、律师费、保全费等全部费用）。</w:t>
      </w:r>
    </w:p>
    <w:p>
      <w:pPr>
        <w:numPr>
          <w:ilvl w:val="0"/>
          <w:numId w:val="35"/>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理财计划的交易费用（包括但不限于交易佣金、相关账户费用等）及投资其他资管产品的费用。</w:t>
      </w:r>
    </w:p>
    <w:p>
      <w:pPr>
        <w:numPr>
          <w:ilvl w:val="0"/>
          <w:numId w:val="35"/>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监管规定的其他费用。</w:t>
      </w:r>
    </w:p>
    <w:p>
      <w:pPr>
        <w:spacing w:line="360" w:lineRule="auto"/>
        <w:ind w:firstLine="482" w:firstLineChars="200"/>
        <w:jc w:val="left"/>
        <w:rPr>
          <w:rFonts w:ascii="宋体" w:hAnsi="宋体" w:cs="宋体"/>
          <w:bCs/>
          <w:color w:val="auto"/>
          <w:sz w:val="24"/>
          <w:highlight w:val="none"/>
        </w:rPr>
      </w:pPr>
      <w:r>
        <w:rPr>
          <w:rFonts w:hint="eastAsia" w:ascii="宋体" w:hAnsi="宋体" w:cs="宋体"/>
          <w:b/>
          <w:color w:val="auto"/>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6"/>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税收说明</w:t>
      </w:r>
    </w:p>
    <w:p>
      <w:pPr>
        <w:numPr>
          <w:ilvl w:val="0"/>
          <w:numId w:val="37"/>
        </w:numPr>
        <w:spacing w:line="360" w:lineRule="auto"/>
        <w:ind w:firstLine="480" w:firstLineChars="200"/>
        <w:jc w:val="left"/>
        <w:rPr>
          <w:color w:val="auto"/>
          <w:highlight w:val="none"/>
        </w:rPr>
      </w:pPr>
      <w:r>
        <w:rPr>
          <w:rFonts w:hint="eastAsia" w:ascii="宋体" w:hAnsi="宋体" w:cs="宋体"/>
          <w:bCs/>
          <w:color w:val="auto"/>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7"/>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除法律法规特别要求外，投资者应缴纳的税收由投资者自行缴纳，理财计划管理人不承担代扣代缴或纳税的义务。</w:t>
      </w:r>
    </w:p>
    <w:p>
      <w:pPr>
        <w:numPr>
          <w:ilvl w:val="0"/>
          <w:numId w:val="37"/>
        </w:numPr>
        <w:spacing w:line="360" w:lineRule="auto"/>
        <w:ind w:firstLine="480" w:firstLineChars="200"/>
        <w:jc w:val="left"/>
        <w:rPr>
          <w:rFonts w:hint="eastAsia" w:ascii="宋体" w:hAnsi="宋体" w:cs="宋体"/>
          <w:b/>
          <w:color w:val="auto"/>
          <w:sz w:val="24"/>
          <w:highlight w:val="none"/>
        </w:rPr>
      </w:pPr>
      <w:r>
        <w:rPr>
          <w:rFonts w:hint="eastAsia" w:ascii="宋体" w:hAnsi="宋体" w:cs="宋体"/>
          <w:bCs/>
          <w:color w:val="auto"/>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color w:val="auto"/>
          <w:sz w:val="24"/>
          <w:highlight w:val="none"/>
        </w:rPr>
      </w:pPr>
    </w:p>
    <w:p>
      <w:pPr>
        <w:numPr>
          <w:ilvl w:val="0"/>
          <w:numId w:val="23"/>
        </w:numPr>
        <w:spacing w:line="360" w:lineRule="auto"/>
        <w:ind w:firstLine="482" w:firstLineChars="200"/>
        <w:jc w:val="left"/>
        <w:outlineLvl w:val="1"/>
        <w:rPr>
          <w:rFonts w:hint="eastAsia" w:ascii="宋体" w:hAnsi="宋体" w:cs="宋体"/>
          <w:b/>
          <w:color w:val="auto"/>
          <w:sz w:val="24"/>
          <w:highlight w:val="none"/>
        </w:rPr>
      </w:pPr>
      <w:r>
        <w:rPr>
          <w:rFonts w:hint="eastAsia" w:ascii="宋体" w:hAnsi="宋体" w:cs="宋体"/>
          <w:b/>
          <w:color w:val="auto"/>
          <w:sz w:val="24"/>
          <w:highlight w:val="none"/>
        </w:rPr>
        <w:t>收益计算</w:t>
      </w:r>
    </w:p>
    <w:p>
      <w:pPr>
        <w:numPr>
          <w:ilvl w:val="0"/>
          <w:numId w:val="38"/>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计算公式</w:t>
      </w:r>
    </w:p>
    <w:p>
      <w:p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投资者理财收益＝赎回份额×赎回确认日（提前终止日）</w:t>
      </w:r>
      <w:r>
        <w:rPr>
          <w:rFonts w:hint="eastAsia" w:ascii="宋体" w:hAnsi="宋体" w:cs="宋体"/>
          <w:bCs/>
          <w:color w:val="auto"/>
          <w:sz w:val="24"/>
          <w:highlight w:val="none"/>
          <w:lang w:val="en-US" w:eastAsia="zh-CN"/>
        </w:rPr>
        <w:t>前一日</w:t>
      </w:r>
      <w:r>
        <w:rPr>
          <w:rFonts w:hint="eastAsia" w:ascii="宋体" w:hAnsi="宋体" w:cs="宋体"/>
          <w:bCs/>
          <w:color w:val="auto"/>
          <w:sz w:val="24"/>
          <w:highlight w:val="none"/>
        </w:rPr>
        <w:t>单位净值-认购或申购金额+份额持有期间累计分红（如有）</w:t>
      </w:r>
    </w:p>
    <w:p>
      <w:p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份额=认购或申购金额÷认购或申购确认日</w:t>
      </w:r>
      <w:r>
        <w:rPr>
          <w:rFonts w:hint="eastAsia" w:ascii="宋体" w:hAnsi="宋体" w:cs="宋体"/>
          <w:bCs/>
          <w:color w:val="auto"/>
          <w:sz w:val="24"/>
          <w:highlight w:val="none"/>
          <w:lang w:val="en-US" w:eastAsia="zh-CN"/>
        </w:rPr>
        <w:t>前一日</w:t>
      </w:r>
      <w:r>
        <w:rPr>
          <w:rFonts w:hint="eastAsia" w:ascii="宋体" w:hAnsi="宋体" w:cs="宋体"/>
          <w:bCs/>
          <w:color w:val="auto"/>
          <w:sz w:val="24"/>
          <w:highlight w:val="none"/>
        </w:rPr>
        <w:t>单位净值。</w:t>
      </w:r>
    </w:p>
    <w:p>
      <w:p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赎回确认日（提前终止日）</w:t>
      </w:r>
      <w:r>
        <w:rPr>
          <w:rFonts w:hint="eastAsia" w:ascii="宋体" w:hAnsi="宋体" w:cs="宋体"/>
          <w:bCs/>
          <w:color w:val="auto"/>
          <w:sz w:val="24"/>
          <w:highlight w:val="none"/>
          <w:lang w:val="en-US" w:eastAsia="zh-CN"/>
        </w:rPr>
        <w:t>前一日的</w:t>
      </w:r>
      <w:r>
        <w:rPr>
          <w:rFonts w:hint="eastAsia" w:ascii="宋体" w:hAnsi="宋体" w:cs="宋体"/>
          <w:bCs/>
          <w:color w:val="auto"/>
          <w:sz w:val="24"/>
          <w:highlight w:val="none"/>
        </w:rPr>
        <w:t>单位净值为提取相关费用及税费后的单位理财计划份额净值。</w:t>
      </w:r>
    </w:p>
    <w:p>
      <w:pPr>
        <w:numPr>
          <w:ilvl w:val="0"/>
          <w:numId w:val="38"/>
        </w:numPr>
        <w:spacing w:line="360" w:lineRule="auto"/>
        <w:jc w:val="left"/>
        <w:outlineLvl w:val="2"/>
        <w:rPr>
          <w:rFonts w:hint="eastAsia" w:ascii="宋体" w:hAnsi="宋体" w:cs="宋体"/>
          <w:bCs/>
          <w:color w:val="auto"/>
          <w:sz w:val="24"/>
          <w:highlight w:val="none"/>
        </w:rPr>
      </w:pPr>
      <w:r>
        <w:rPr>
          <w:rFonts w:hint="eastAsia" w:ascii="宋体" w:hAnsi="宋体" w:cs="宋体"/>
          <w:b/>
          <w:color w:val="auto"/>
          <w:sz w:val="24"/>
          <w:highlight w:val="none"/>
        </w:rPr>
        <w:t>示例说明</w:t>
      </w:r>
    </w:p>
    <w:p>
      <w:pPr>
        <w:numPr>
          <w:ilvl w:val="0"/>
          <w:numId w:val="0"/>
        </w:numPr>
        <w:spacing w:line="360" w:lineRule="auto"/>
        <w:ind w:left="420" w:leftChars="0"/>
        <w:jc w:val="left"/>
        <w:outlineLvl w:val="9"/>
        <w:rPr>
          <w:rFonts w:hint="eastAsia" w:ascii="宋体" w:hAnsi="宋体" w:cs="宋体"/>
          <w:bCs/>
          <w:color w:val="auto"/>
          <w:sz w:val="24"/>
          <w:highlight w:val="none"/>
        </w:rPr>
      </w:pPr>
      <w:r>
        <w:rPr>
          <w:rFonts w:hint="eastAsia" w:ascii="宋体" w:hAnsi="宋体" w:eastAsia="宋体" w:cs="宋体"/>
          <w:bCs/>
          <w:color w:val="auto"/>
          <w:sz w:val="24"/>
          <w:highlight w:val="none"/>
          <w:lang w:val="en-US" w:eastAsia="zh-CN"/>
        </w:rPr>
        <w:t>以下示例均为假设情况，不构成业绩预测，不代表本理财计划实际投资业绩。</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auto"/>
          <w:kern w:val="2"/>
          <w:sz w:val="24"/>
          <w:szCs w:val="24"/>
        </w:rPr>
      </w:pPr>
      <w:r>
        <w:rPr>
          <w:rFonts w:hint="eastAsia" w:ascii="宋体" w:hAnsi="宋体" w:eastAsia="宋体" w:cs="宋体"/>
          <w:b/>
          <w:bCs/>
          <w:color w:val="auto"/>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auto"/>
          <w:kern w:val="2"/>
          <w:sz w:val="24"/>
          <w:szCs w:val="24"/>
        </w:rPr>
      </w:pPr>
      <w:r>
        <w:rPr>
          <w:rFonts w:hint="eastAsia" w:ascii="宋体" w:hAnsi="宋体" w:eastAsia="宋体" w:cs="宋体"/>
          <w:b/>
          <w:bCs/>
          <w:color w:val="auto"/>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1.0615，此时，(1.0615/1.0000-1)×365/362=6.20%&gt;5.00%，即在〖4.00%-5.00%〗部分的投资收益管理人收取50%作为浮动管理费，超过〖5.00%〗部分的投资收益管理人收取80%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100,000×1.0000×{[（1.0615/1.0000-1）×365/362-5.00%]×80%+(5.00%-4.00%)×50%}×362/365=1,448.77（元）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扣除浮动管理费后，理财计划的单位净值大于1，故理财计划进行现金分红，分红金额为4,701.23元，分红后产品的单位净值为1.0000。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投资者最终收益为：100,000.00×（1.0000-1.0000）+4,701.23=4,701.23（元），理财计划赎回时，投资者获得的实际收益相当于达到年化收益率水平为：4,701.23/100,000.00×365/362=4.74%。</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auto"/>
          <w:kern w:val="2"/>
          <w:sz w:val="24"/>
          <w:szCs w:val="24"/>
        </w:rPr>
      </w:pPr>
      <w:r>
        <w:rPr>
          <w:rFonts w:hint="eastAsia" w:ascii="宋体" w:hAnsi="宋体" w:eastAsia="宋体" w:cs="宋体"/>
          <w:b/>
          <w:bCs/>
          <w:color w:val="auto"/>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auto"/>
          <w:kern w:val="2"/>
          <w:sz w:val="24"/>
          <w:szCs w:val="24"/>
        </w:rPr>
      </w:pPr>
      <w:r>
        <w:rPr>
          <w:rFonts w:hint="eastAsia" w:ascii="宋体" w:hAnsi="宋体" w:eastAsia="宋体" w:cs="宋体"/>
          <w:b/>
          <w:bCs/>
          <w:color w:val="auto"/>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1.0415，此时，(1.0415/1.0000-1)×365/362=4.18%，即投资收益超过〖4.00%〗但未达到〖5.00%〗，则超过〖4.00%〗部分的投资收益管理人收取50%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100,000.00×1.0000×[(1.0415/1.0000-1)×365/362-4.00%]×50%×362/365=91.44（元）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扣除浮动管理费后，理财计划的单位净值大于1，故理财计划进行现金分红，分红金额为4058.56元，分红后产品的单位净值为1.0000。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100,000.00×（1.0000-1.0000）+4058.56 =4058.56（元），理财计划赎回时，投资者获得的实际收益相当于达到年化收益率水平为：4058.56/100,000.00×365/362=4.09%。</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auto"/>
          <w:kern w:val="2"/>
          <w:sz w:val="24"/>
          <w:szCs w:val="24"/>
        </w:rPr>
      </w:pPr>
      <w:r>
        <w:rPr>
          <w:rFonts w:hint="eastAsia" w:ascii="宋体" w:hAnsi="宋体" w:eastAsia="宋体" w:cs="宋体"/>
          <w:b/>
          <w:bCs/>
          <w:color w:val="auto"/>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auto"/>
          <w:kern w:val="2"/>
          <w:sz w:val="24"/>
          <w:szCs w:val="24"/>
        </w:rPr>
      </w:pPr>
      <w:r>
        <w:rPr>
          <w:rFonts w:hint="eastAsia" w:ascii="宋体" w:hAnsi="宋体" w:eastAsia="宋体" w:cs="宋体"/>
          <w:b/>
          <w:bCs/>
          <w:color w:val="auto"/>
          <w:kern w:val="2"/>
          <w:sz w:val="24"/>
          <w:szCs w:val="24"/>
          <w:lang w:val="en-US" w:eastAsia="zh-CN" w:bidi="ar"/>
        </w:rPr>
        <w:t>扣除托管费、固定管理费、销售服务费（如有）后，投资发生未达到〖业绩比较基准下限〗。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1.0362，此时，(1.0362/1.0000-1)×365/362=3.65%&lt;4.00%，即投资收益未达到〖4.00%〗，则投资管理人不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理财计划的单位净值大于1，故理财计划进行现金分红，分红金额为3,650.00元，分红后产品的单位净值为1.0000。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100,000.00×（1.0000-1.0000）+3,650.00 =3,650.00（元），理财计划赎回时，投资者获得的实际收益相当于达到年化收益率水平为：3,650.00/100,000.00×365/362=3.68%。</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auto"/>
          <w:kern w:val="2"/>
          <w:sz w:val="24"/>
          <w:szCs w:val="24"/>
        </w:rPr>
      </w:pPr>
      <w:r>
        <w:rPr>
          <w:rFonts w:hint="eastAsia" w:ascii="宋体" w:hAnsi="宋体" w:eastAsia="宋体" w:cs="宋体"/>
          <w:b/>
          <w:bCs/>
          <w:color w:val="auto"/>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auto"/>
          <w:kern w:val="2"/>
          <w:sz w:val="24"/>
          <w:szCs w:val="24"/>
        </w:rPr>
      </w:pPr>
      <w:r>
        <w:rPr>
          <w:rFonts w:hint="eastAsia" w:ascii="宋体" w:hAnsi="宋体" w:eastAsia="宋体" w:cs="宋体"/>
          <w:b/>
          <w:bCs/>
          <w:color w:val="auto"/>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0.9975，则投资管理人不收取浮动管理费，理财计划不分红，投资者最终收益为：100,000.00×（0.9975-1.0000）=-250.00（元）。</w:t>
      </w:r>
    </w:p>
    <w:p>
      <w:pPr>
        <w:numPr>
          <w:ilvl w:val="0"/>
          <w:numId w:val="38"/>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最不利情况分析</w:t>
      </w:r>
    </w:p>
    <w:p>
      <w:p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由于市场波动导致投资资产贬值或者投资资产发生信用风险导致相应损失，使理财计划</w:t>
      </w:r>
      <w:r>
        <w:rPr>
          <w:rFonts w:hint="eastAsia" w:ascii="宋体" w:hAnsi="宋体" w:cs="宋体"/>
          <w:bCs/>
          <w:color w:val="auto"/>
          <w:sz w:val="24"/>
          <w:highlight w:val="none"/>
          <w:lang w:eastAsia="zh-CN"/>
        </w:rPr>
        <w:t>赎回或</w:t>
      </w:r>
      <w:r>
        <w:rPr>
          <w:rFonts w:hint="eastAsia" w:ascii="宋体" w:hAnsi="宋体" w:cs="宋体"/>
          <w:bCs/>
          <w:color w:val="auto"/>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auto"/>
          <w:sz w:val="24"/>
          <w:highlight w:val="none"/>
        </w:rPr>
      </w:pPr>
    </w:p>
    <w:p>
      <w:pPr>
        <w:numPr>
          <w:ilvl w:val="0"/>
          <w:numId w:val="23"/>
        </w:numPr>
        <w:spacing w:line="360" w:lineRule="auto"/>
        <w:ind w:firstLine="482" w:firstLineChars="200"/>
        <w:jc w:val="left"/>
        <w:outlineLvl w:val="1"/>
        <w:rPr>
          <w:rFonts w:hint="eastAsia" w:ascii="宋体" w:hAnsi="宋体" w:cs="宋体"/>
          <w:b/>
          <w:color w:val="auto"/>
          <w:sz w:val="24"/>
          <w:highlight w:val="none"/>
        </w:rPr>
      </w:pPr>
      <w:r>
        <w:rPr>
          <w:rFonts w:hint="eastAsia" w:ascii="宋体" w:hAnsi="宋体" w:cs="宋体"/>
          <w:b/>
          <w:color w:val="auto"/>
          <w:sz w:val="24"/>
          <w:highlight w:val="none"/>
        </w:rPr>
        <w:t>交易规则</w:t>
      </w:r>
    </w:p>
    <w:p>
      <w:pPr>
        <w:numPr>
          <w:ilvl w:val="0"/>
          <w:numId w:val="40"/>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认购</w:t>
      </w:r>
    </w:p>
    <w:p>
      <w:pPr>
        <w:numPr>
          <w:ilvl w:val="0"/>
          <w:numId w:val="41"/>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auto"/>
          <w:sz w:val="24"/>
          <w:highlight w:val="none"/>
          <w:lang w:eastAsia="zh-CN"/>
        </w:rPr>
        <w:t>（具体以销售机构要求为准）</w:t>
      </w:r>
    </w:p>
    <w:p>
      <w:pPr>
        <w:numPr>
          <w:ilvl w:val="0"/>
          <w:numId w:val="41"/>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理财计划认购期内，投资者可以对本理财计划进行认购、追加、撤单，相应投资资金将在投资者指定账户中冻结。</w:t>
      </w:r>
    </w:p>
    <w:p>
      <w:pPr>
        <w:numPr>
          <w:ilvl w:val="0"/>
          <w:numId w:val="41"/>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lang w:eastAsia="zh-CN"/>
        </w:rPr>
        <w:t>如新增认</w:t>
      </w:r>
      <w:r>
        <w:rPr>
          <w:rFonts w:hint="eastAsia" w:ascii="宋体" w:hAnsi="宋体" w:cs="宋体"/>
          <w:bCs/>
          <w:color w:val="auto"/>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0"/>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成立</w:t>
      </w:r>
    </w:p>
    <w:p>
      <w:pPr>
        <w:numPr>
          <w:ilvl w:val="0"/>
          <w:numId w:val="42"/>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销售机构有权以投资者的投资金额为限从投资者理财账户中进行资金扣划，无需投资者另行授权。</w:t>
      </w:r>
    </w:p>
    <w:p>
      <w:pPr>
        <w:numPr>
          <w:ilvl w:val="0"/>
          <w:numId w:val="42"/>
        </w:numPr>
        <w:spacing w:line="360" w:lineRule="auto"/>
        <w:ind w:firstLine="480" w:firstLineChars="200"/>
        <w:jc w:val="left"/>
        <w:rPr>
          <w:rFonts w:hint="eastAsia" w:ascii="宋体" w:hAnsi="宋体" w:cs="宋体"/>
          <w:b/>
          <w:color w:val="auto"/>
          <w:sz w:val="24"/>
          <w:highlight w:val="none"/>
        </w:rPr>
      </w:pPr>
      <w:r>
        <w:rPr>
          <w:rFonts w:hint="eastAsia" w:ascii="宋体" w:hAnsi="宋体" w:cs="宋体"/>
          <w:bCs/>
          <w:color w:val="auto"/>
          <w:sz w:val="24"/>
          <w:highlight w:val="none"/>
        </w:rPr>
        <w:t>管理人将在理财计划成立日对认购期的认购及追加申请进行确认和划款。</w:t>
      </w:r>
    </w:p>
    <w:p>
      <w:pPr>
        <w:numPr>
          <w:ilvl w:val="0"/>
          <w:numId w:val="40"/>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申购及赎回</w:t>
      </w:r>
    </w:p>
    <w:p>
      <w:pPr>
        <w:numPr>
          <w:ilvl w:val="0"/>
          <w:numId w:val="43"/>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交易确认及时间</w:t>
      </w:r>
    </w:p>
    <w:p>
      <w:pPr>
        <w:numPr>
          <w:ilvl w:val="0"/>
          <w:numId w:val="44"/>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本理财计划在每个开放期的开放日工作时间可进行申购</w:t>
      </w:r>
      <w:r>
        <w:rPr>
          <w:rFonts w:hint="eastAsia" w:ascii="宋体" w:hAnsi="宋体" w:cs="宋体"/>
          <w:bCs/>
          <w:color w:val="auto"/>
          <w:sz w:val="24"/>
          <w:highlight w:val="none"/>
          <w:lang w:val="en-US" w:eastAsia="zh-CN"/>
        </w:rPr>
        <w:t>和赎回</w:t>
      </w:r>
      <w:r>
        <w:rPr>
          <w:rFonts w:hint="eastAsia" w:ascii="宋体" w:hAnsi="宋体" w:cs="宋体"/>
          <w:bCs/>
          <w:color w:val="auto"/>
          <w:sz w:val="24"/>
          <w:highlight w:val="none"/>
        </w:rPr>
        <w:t>，申购</w:t>
      </w:r>
      <w:r>
        <w:rPr>
          <w:rFonts w:hint="eastAsia" w:ascii="宋体" w:hAnsi="宋体" w:cs="宋体"/>
          <w:bCs/>
          <w:color w:val="auto"/>
          <w:sz w:val="24"/>
          <w:highlight w:val="none"/>
          <w:lang w:val="en-US" w:eastAsia="zh-CN"/>
        </w:rPr>
        <w:t>和赎回</w:t>
      </w:r>
      <w:r>
        <w:rPr>
          <w:rFonts w:hint="eastAsia" w:ascii="宋体" w:hAnsi="宋体" w:cs="宋体"/>
          <w:bCs/>
          <w:color w:val="auto"/>
          <w:sz w:val="24"/>
          <w:highlight w:val="none"/>
        </w:rPr>
        <w:t>申请将在确认日进行确认，即开放期后的第〖1〗个〖</w:t>
      </w:r>
      <w:r>
        <w:rPr>
          <w:rFonts w:hint="eastAsia" w:ascii="宋体" w:hAnsi="宋体" w:eastAsia="宋体" w:cs="宋体"/>
          <w:bCs/>
          <w:color w:val="auto"/>
          <w:kern w:val="2"/>
          <w:sz w:val="24"/>
          <w:szCs w:val="24"/>
          <w:highlight w:val="none"/>
          <w:lang w:val="en-US" w:eastAsia="zh-CN" w:bidi="ar-SA"/>
        </w:rPr>
        <w:t>工作日</w:t>
      </w:r>
      <w:r>
        <w:rPr>
          <w:rFonts w:hint="eastAsia" w:ascii="宋体" w:hAnsi="宋体" w:cs="宋体"/>
          <w:bCs/>
          <w:color w:val="auto"/>
          <w:sz w:val="24"/>
          <w:highlight w:val="none"/>
        </w:rPr>
        <w:t>〗进行确认。</w:t>
      </w:r>
    </w:p>
    <w:p>
      <w:pPr>
        <w:numPr>
          <w:ilvl w:val="0"/>
          <w:numId w:val="44"/>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工作时间为每个〖</w:t>
      </w:r>
      <w:r>
        <w:rPr>
          <w:rFonts w:hint="eastAsia" w:ascii="宋体" w:hAnsi="宋体" w:eastAsia="宋体" w:cs="宋体"/>
          <w:bCs/>
          <w:color w:val="auto"/>
          <w:kern w:val="2"/>
          <w:sz w:val="24"/>
          <w:szCs w:val="24"/>
          <w:highlight w:val="none"/>
          <w:lang w:val="en-US" w:eastAsia="zh-CN" w:bidi="ar-SA"/>
        </w:rPr>
        <w:t>工作日</w:t>
      </w:r>
      <w:r>
        <w:rPr>
          <w:rFonts w:hint="eastAsia" w:ascii="宋体" w:hAnsi="宋体" w:cs="宋体"/>
          <w:bCs/>
          <w:color w:val="auto"/>
          <w:sz w:val="24"/>
          <w:highlight w:val="none"/>
        </w:rPr>
        <w:t>〗上午〖9:00〗至下午〖17:00〗。</w:t>
      </w:r>
      <w:r>
        <w:rPr>
          <w:rFonts w:hint="eastAsia" w:ascii="宋体" w:hAnsi="宋体" w:cs="宋体"/>
          <w:color w:val="auto"/>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lang w:eastAsia="zh-CN"/>
        </w:rPr>
        <w:t>如新增申</w:t>
      </w:r>
      <w:r>
        <w:rPr>
          <w:rFonts w:hint="eastAsia" w:ascii="宋体" w:hAnsi="宋体" w:cs="宋体"/>
          <w:bCs/>
          <w:color w:val="auto"/>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3"/>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到账时间</w:t>
      </w:r>
    </w:p>
    <w:p>
      <w:p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赎回资金确认后，最快</w:t>
      </w:r>
      <w:r>
        <w:rPr>
          <w:rFonts w:hint="eastAsia" w:ascii="宋体" w:hAnsi="宋体" w:eastAsia="宋体" w:cs="宋体"/>
          <w:bCs/>
          <w:color w:val="auto"/>
          <w:kern w:val="2"/>
          <w:sz w:val="24"/>
          <w:szCs w:val="24"/>
          <w:highlight w:val="none"/>
          <w:lang w:val="en-US" w:eastAsia="zh-CN" w:bidi="ar-SA"/>
        </w:rPr>
        <w:t>〖确认日当日〗</w:t>
      </w:r>
      <w:r>
        <w:rPr>
          <w:rFonts w:hint="eastAsia" w:ascii="宋体" w:hAnsi="宋体" w:cs="宋体"/>
          <w:bCs/>
          <w:color w:val="auto"/>
          <w:sz w:val="24"/>
          <w:highlight w:val="none"/>
        </w:rPr>
        <w:t>，最晚</w:t>
      </w:r>
      <w:r>
        <w:rPr>
          <w:rFonts w:hint="eastAsia" w:ascii="宋体" w:hAnsi="宋体" w:eastAsia="宋体" w:cs="宋体"/>
          <w:bCs/>
          <w:color w:val="auto"/>
          <w:kern w:val="2"/>
          <w:sz w:val="24"/>
          <w:szCs w:val="24"/>
          <w:highlight w:val="none"/>
          <w:lang w:val="en-US" w:eastAsia="zh-CN" w:bidi="ar-SA"/>
        </w:rPr>
        <w:t>确认日后〖2〗个〖工作日〗内</w:t>
      </w:r>
      <w:r>
        <w:rPr>
          <w:rFonts w:hint="eastAsia" w:ascii="宋体" w:hAnsi="宋体" w:cs="宋体"/>
          <w:bCs/>
          <w:color w:val="auto"/>
          <w:sz w:val="24"/>
          <w:highlight w:val="none"/>
        </w:rPr>
        <w:t>（遇节假日顺延）支付。如遇资金在途或法定工作日调整，实际资金到账日以公告为准。</w:t>
      </w:r>
      <w:r>
        <w:rPr>
          <w:rFonts w:hint="eastAsia" w:ascii="宋体" w:hAnsi="宋体" w:cs="宋体"/>
          <w:color w:val="auto"/>
          <w:kern w:val="0"/>
          <w:sz w:val="24"/>
          <w:szCs w:val="24"/>
          <w:highlight w:val="none"/>
        </w:rPr>
        <w:t>（具体以销售机构规定为准）</w:t>
      </w:r>
    </w:p>
    <w:p>
      <w:pPr>
        <w:numPr>
          <w:ilvl w:val="0"/>
          <w:numId w:val="43"/>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巨额赎回处理</w:t>
      </w:r>
    </w:p>
    <w:p>
      <w:pPr>
        <w:numPr>
          <w:ilvl w:val="0"/>
          <w:numId w:val="45"/>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巨额赎回认定</w:t>
      </w:r>
    </w:p>
    <w:p>
      <w:p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理财计划存续期内，若理财计划开放日净赎回申请份额超过上一日日终理财计划总份额〖10%〗时，即构成巨额赎回。</w:t>
      </w:r>
    </w:p>
    <w:p>
      <w:pPr>
        <w:numPr>
          <w:ilvl w:val="0"/>
          <w:numId w:val="45"/>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color w:val="auto"/>
          <w:sz w:val="24"/>
          <w:highlight w:val="none"/>
        </w:rPr>
      </w:pPr>
      <w:r>
        <w:rPr>
          <w:rFonts w:hint="eastAsia" w:ascii="宋体" w:hAnsi="宋体" w:cs="宋体"/>
          <w:bCs/>
          <w:color w:val="auto"/>
          <w:sz w:val="24"/>
          <w:highlight w:val="none"/>
        </w:rPr>
        <w:t>当出现巨额赎回时，管理人可以根据资产组合状况决定采取全额赎回或拒绝超出部分的赎回申请。</w:t>
      </w:r>
      <w:r>
        <w:rPr>
          <w:rFonts w:hint="eastAsia" w:ascii="宋体" w:hAnsi="宋体" w:cs="宋体"/>
          <w:bCs/>
          <w:color w:val="auto"/>
          <w:sz w:val="24"/>
          <w:highlight w:val="none"/>
          <w:lang w:val="en-US" w:eastAsia="zh-CN"/>
        </w:rPr>
        <w:t>如连续2日（含）以上开放日发生巨额赎回，对于已经接受的赎回申请，管理人可以延缓支付赎回款项，但延缓期限不得超过20个工作日。</w:t>
      </w:r>
    </w:p>
    <w:p>
      <w:pPr>
        <w:numPr>
          <w:ilvl w:val="0"/>
          <w:numId w:val="45"/>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全部赎回</w:t>
      </w:r>
    </w:p>
    <w:p>
      <w:p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当管理人认为全额兑付投资者的赎回申请将不会对本理财计划净值造成较大波动或给本理财计划造成重大损失时，按正常赎回程序执行。</w:t>
      </w:r>
    </w:p>
    <w:p>
      <w:pPr>
        <w:numPr>
          <w:ilvl w:val="0"/>
          <w:numId w:val="45"/>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拒绝超出部分的赎回申请</w:t>
      </w:r>
    </w:p>
    <w:p>
      <w:p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5"/>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lang w:eastAsia="zh-CN"/>
        </w:rPr>
        <w:t>在</w:t>
      </w:r>
      <w:r>
        <w:rPr>
          <w:rFonts w:hint="eastAsia" w:ascii="宋体" w:hAnsi="宋体" w:cs="宋体"/>
          <w:bCs/>
          <w:color w:val="auto"/>
          <w:sz w:val="24"/>
          <w:highlight w:val="none"/>
        </w:rPr>
        <w:t>理财计划存续期内，管理人有权根据市场情况调整巨额赎回金额比例，并及时进行对外公告。</w:t>
      </w:r>
    </w:p>
    <w:p>
      <w:pPr>
        <w:numPr>
          <w:ilvl w:val="0"/>
          <w:numId w:val="43"/>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lang w:eastAsia="zh-CN"/>
        </w:rPr>
        <w:t>暂停申购、赎回及延期支付赎回的情形</w:t>
      </w:r>
    </w:p>
    <w:p>
      <w:pPr>
        <w:spacing w:line="360" w:lineRule="auto"/>
        <w:ind w:firstLine="480" w:firstLineChars="200"/>
        <w:jc w:val="left"/>
        <w:rPr>
          <w:rFonts w:hint="eastAsia"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发生以下情形，管理人可暂停接受全部或部分投资者的申购申请：</w:t>
      </w:r>
    </w:p>
    <w:p>
      <w:pPr>
        <w:numPr>
          <w:ilvl w:val="0"/>
          <w:numId w:val="46"/>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理财计划</w:t>
      </w:r>
      <w:r>
        <w:rPr>
          <w:rFonts w:hint="eastAsia" w:ascii="宋体" w:hAnsi="宋体" w:cs="宋体"/>
          <w:bCs/>
          <w:color w:val="auto"/>
          <w:sz w:val="24"/>
          <w:highlight w:val="none"/>
          <w:lang w:val="en-US" w:eastAsia="zh-CN"/>
        </w:rPr>
        <w:t>资产规模过大，继续接受申购可能对理财计划业绩产生负面影响，从而损害现有份额持有人利益的情形时</w:t>
      </w:r>
      <w:r>
        <w:rPr>
          <w:rFonts w:hint="eastAsia" w:ascii="宋体" w:hAnsi="宋体" w:cs="宋体"/>
          <w:bCs/>
          <w:color w:val="auto"/>
          <w:sz w:val="24"/>
          <w:highlight w:val="none"/>
        </w:rPr>
        <w:t>。</w:t>
      </w:r>
    </w:p>
    <w:p>
      <w:pPr>
        <w:numPr>
          <w:ilvl w:val="0"/>
          <w:numId w:val="46"/>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lang w:eastAsia="zh-CN"/>
        </w:rPr>
        <w:t>当</w:t>
      </w:r>
      <w:r>
        <w:rPr>
          <w:rFonts w:hint="eastAsia" w:ascii="宋体" w:hAnsi="宋体" w:cs="宋体"/>
          <w:bCs/>
          <w:color w:val="auto"/>
          <w:sz w:val="24"/>
          <w:highlight w:val="none"/>
          <w:lang w:val="en-US" w:eastAsia="zh-CN"/>
        </w:rPr>
        <w:t>管理人认为某笔申购申请会有损于其他份额持有人利益的情形时。</w:t>
      </w:r>
    </w:p>
    <w:p>
      <w:pPr>
        <w:numPr>
          <w:ilvl w:val="0"/>
          <w:numId w:val="46"/>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lang w:eastAsia="zh-CN"/>
        </w:rPr>
        <w:t>发生产品说明书约定的暂停估值的情形时。</w:t>
      </w:r>
    </w:p>
    <w:p>
      <w:pPr>
        <w:numPr>
          <w:ilvl w:val="0"/>
          <w:numId w:val="46"/>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lang w:eastAsia="zh-CN"/>
        </w:rPr>
        <w:t>法律</w:t>
      </w:r>
      <w:r>
        <w:rPr>
          <w:rFonts w:hint="eastAsia" w:ascii="宋体" w:hAnsi="宋体" w:cs="宋体"/>
          <w:bCs/>
          <w:color w:val="auto"/>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发生以下情形，对超出前一日终理财产品总份额10%的赎回申请，管理人可暂停接受全部或部分、延期办理投资者的赎回申请：</w:t>
      </w:r>
    </w:p>
    <w:p>
      <w:pPr>
        <w:numPr>
          <w:ilvl w:val="0"/>
          <w:numId w:val="47"/>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lang w:val="en-US" w:eastAsia="zh-CN"/>
        </w:rPr>
        <w:t>理财计划发生巨额赎回情形时。</w:t>
      </w:r>
    </w:p>
    <w:p>
      <w:pPr>
        <w:numPr>
          <w:ilvl w:val="0"/>
          <w:numId w:val="47"/>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lang w:val="en-US" w:eastAsia="zh-CN"/>
        </w:rPr>
        <w:t>当继续</w:t>
      </w:r>
      <w:r>
        <w:rPr>
          <w:rFonts w:hint="default" w:ascii="宋体" w:hAnsi="宋体" w:cs="宋体"/>
          <w:bCs/>
          <w:color w:val="auto"/>
          <w:sz w:val="24"/>
          <w:highlight w:val="none"/>
          <w:lang w:val="en-US" w:eastAsia="zh-CN"/>
        </w:rPr>
        <w:t>接受赎回申请将损害存量投资者利益的情形</w:t>
      </w:r>
      <w:r>
        <w:rPr>
          <w:rFonts w:hint="eastAsia" w:ascii="宋体" w:hAnsi="宋体" w:cs="宋体"/>
          <w:bCs/>
          <w:color w:val="auto"/>
          <w:sz w:val="24"/>
          <w:highlight w:val="none"/>
          <w:lang w:val="en-US" w:eastAsia="zh-CN"/>
        </w:rPr>
        <w:t>时。</w:t>
      </w:r>
    </w:p>
    <w:p>
      <w:pPr>
        <w:numPr>
          <w:ilvl w:val="0"/>
          <w:numId w:val="47"/>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lang w:val="en-US" w:eastAsia="zh-CN"/>
        </w:rPr>
        <w:t>当</w:t>
      </w:r>
      <w:r>
        <w:rPr>
          <w:rFonts w:hint="default" w:ascii="宋体" w:hAnsi="宋体" w:cs="宋体"/>
          <w:bCs/>
          <w:color w:val="auto"/>
          <w:sz w:val="24"/>
          <w:highlight w:val="none"/>
          <w:lang w:val="en-US" w:eastAsia="zh-CN"/>
        </w:rPr>
        <w:t>前一估值日</w:t>
      </w:r>
      <w:r>
        <w:rPr>
          <w:rFonts w:hint="eastAsia" w:ascii="宋体" w:hAnsi="宋体" w:cs="宋体"/>
          <w:bCs/>
          <w:color w:val="auto"/>
          <w:sz w:val="24"/>
          <w:highlight w:val="none"/>
          <w:lang w:val="en-US" w:eastAsia="zh-CN"/>
        </w:rPr>
        <w:t>理财计划</w:t>
      </w:r>
      <w:r>
        <w:rPr>
          <w:rFonts w:hint="default" w:ascii="宋体" w:hAnsi="宋体" w:cs="宋体"/>
          <w:bCs/>
          <w:color w:val="auto"/>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auto"/>
          <w:sz w:val="24"/>
          <w:highlight w:val="none"/>
          <w:lang w:val="en-US" w:eastAsia="zh-CN"/>
        </w:rPr>
        <w:t>的情形</w:t>
      </w:r>
      <w:r>
        <w:rPr>
          <w:rFonts w:hint="default" w:ascii="宋体" w:hAnsi="宋体" w:cs="宋体"/>
          <w:bCs/>
          <w:color w:val="auto"/>
          <w:sz w:val="24"/>
          <w:highlight w:val="none"/>
          <w:lang w:val="en-US" w:eastAsia="zh-CN"/>
        </w:rPr>
        <w:t>时</w:t>
      </w:r>
      <w:r>
        <w:rPr>
          <w:rFonts w:hint="eastAsia" w:ascii="宋体" w:hAnsi="宋体" w:cs="宋体"/>
          <w:bCs/>
          <w:color w:val="auto"/>
          <w:sz w:val="24"/>
          <w:highlight w:val="none"/>
          <w:lang w:val="en-US" w:eastAsia="zh-CN"/>
        </w:rPr>
        <w:t>。</w:t>
      </w:r>
    </w:p>
    <w:p>
      <w:pPr>
        <w:numPr>
          <w:ilvl w:val="0"/>
          <w:numId w:val="47"/>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lang w:val="en-US" w:eastAsia="zh-CN"/>
        </w:rPr>
        <w:t>发生</w:t>
      </w:r>
      <w:r>
        <w:rPr>
          <w:rFonts w:hint="eastAsia" w:ascii="宋体" w:hAnsi="宋体" w:cs="宋体"/>
          <w:bCs/>
          <w:color w:val="auto"/>
          <w:sz w:val="24"/>
          <w:highlight w:val="none"/>
          <w:lang w:eastAsia="zh-CN"/>
        </w:rPr>
        <w:t>产品说明书约定的暂停估值的情形时。</w:t>
      </w:r>
    </w:p>
    <w:p>
      <w:pPr>
        <w:numPr>
          <w:ilvl w:val="0"/>
          <w:numId w:val="47"/>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lang w:eastAsia="zh-CN"/>
        </w:rPr>
        <w:t>法律</w:t>
      </w:r>
      <w:r>
        <w:rPr>
          <w:rFonts w:hint="eastAsia" w:ascii="宋体" w:hAnsi="宋体" w:cs="宋体"/>
          <w:bCs/>
          <w:color w:val="auto"/>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发生以下情形，管理人对已接受的赎回申请，可延期支付赎回款项：</w:t>
      </w:r>
    </w:p>
    <w:p>
      <w:pPr>
        <w:numPr>
          <w:ilvl w:val="0"/>
          <w:numId w:val="48"/>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lang w:eastAsia="zh-CN"/>
        </w:rPr>
        <w:t>因</w:t>
      </w:r>
      <w:r>
        <w:rPr>
          <w:rFonts w:hint="eastAsia" w:ascii="宋体" w:hAnsi="宋体" w:cs="宋体"/>
          <w:bCs/>
          <w:color w:val="auto"/>
          <w:sz w:val="24"/>
          <w:highlight w:val="none"/>
          <w:lang w:val="en-US" w:eastAsia="zh-CN"/>
        </w:rPr>
        <w:t>不可抗力等原因，导致管理人接受赎回申请后无法及时兑付的情形时。</w:t>
      </w:r>
    </w:p>
    <w:p>
      <w:pPr>
        <w:numPr>
          <w:ilvl w:val="0"/>
          <w:numId w:val="48"/>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lang w:val="en-US" w:eastAsia="zh-CN"/>
        </w:rPr>
        <w:t>连续</w:t>
      </w:r>
      <w:r>
        <w:rPr>
          <w:rFonts w:hint="default" w:ascii="宋体" w:hAnsi="宋体" w:cs="宋体"/>
          <w:bCs/>
          <w:color w:val="auto"/>
          <w:sz w:val="24"/>
          <w:highlight w:val="none"/>
          <w:lang w:val="en-US" w:eastAsia="zh-CN"/>
        </w:rPr>
        <w:t>2</w:t>
      </w:r>
      <w:r>
        <w:rPr>
          <w:rFonts w:hint="eastAsia" w:ascii="宋体" w:hAnsi="宋体" w:cs="宋体"/>
          <w:bCs/>
          <w:color w:val="auto"/>
          <w:sz w:val="24"/>
          <w:highlight w:val="none"/>
          <w:lang w:val="en-US" w:eastAsia="zh-CN"/>
        </w:rPr>
        <w:t>日</w:t>
      </w:r>
      <w:r>
        <w:rPr>
          <w:rFonts w:hint="default" w:ascii="宋体" w:hAnsi="宋体" w:cs="宋体"/>
          <w:bCs/>
          <w:color w:val="auto"/>
          <w:sz w:val="24"/>
          <w:highlight w:val="none"/>
          <w:lang w:val="en-US" w:eastAsia="zh-CN"/>
        </w:rPr>
        <w:t>（含）以上开放日发生巨额赎回的</w:t>
      </w:r>
      <w:r>
        <w:rPr>
          <w:rFonts w:hint="eastAsia" w:ascii="宋体" w:hAnsi="宋体" w:cs="宋体"/>
          <w:bCs/>
          <w:color w:val="auto"/>
          <w:sz w:val="24"/>
          <w:highlight w:val="none"/>
          <w:lang w:val="en-US" w:eastAsia="zh-CN"/>
        </w:rPr>
        <w:t>情形时。</w:t>
      </w:r>
    </w:p>
    <w:p>
      <w:pPr>
        <w:numPr>
          <w:ilvl w:val="0"/>
          <w:numId w:val="48"/>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lang w:val="en-US" w:eastAsia="zh-CN"/>
        </w:rPr>
        <w:t>当前</w:t>
      </w:r>
      <w:r>
        <w:rPr>
          <w:rFonts w:hint="default" w:ascii="宋体" w:hAnsi="宋体" w:cs="宋体"/>
          <w:bCs/>
          <w:color w:val="auto"/>
          <w:sz w:val="24"/>
          <w:highlight w:val="none"/>
          <w:lang w:val="en-US" w:eastAsia="zh-CN"/>
        </w:rPr>
        <w:t>一估值日</w:t>
      </w:r>
      <w:r>
        <w:rPr>
          <w:rFonts w:hint="eastAsia" w:ascii="宋体" w:hAnsi="宋体" w:cs="宋体"/>
          <w:bCs/>
          <w:color w:val="auto"/>
          <w:sz w:val="24"/>
          <w:highlight w:val="none"/>
          <w:lang w:val="en-US" w:eastAsia="zh-CN"/>
        </w:rPr>
        <w:t>理财计划</w:t>
      </w:r>
      <w:r>
        <w:rPr>
          <w:rFonts w:hint="default" w:ascii="宋体" w:hAnsi="宋体" w:cs="宋体"/>
          <w:bCs/>
          <w:color w:val="auto"/>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auto"/>
          <w:sz w:val="24"/>
          <w:highlight w:val="none"/>
          <w:lang w:val="en-US" w:eastAsia="zh-CN"/>
        </w:rPr>
        <w:t>的情形</w:t>
      </w:r>
      <w:r>
        <w:rPr>
          <w:rFonts w:hint="default" w:ascii="宋体" w:hAnsi="宋体" w:cs="宋体"/>
          <w:bCs/>
          <w:color w:val="auto"/>
          <w:sz w:val="24"/>
          <w:highlight w:val="none"/>
          <w:lang w:val="en-US" w:eastAsia="zh-CN"/>
        </w:rPr>
        <w:t>时</w:t>
      </w:r>
      <w:r>
        <w:rPr>
          <w:rFonts w:hint="eastAsia" w:ascii="宋体" w:hAnsi="宋体" w:cs="宋体"/>
          <w:bCs/>
          <w:color w:val="auto"/>
          <w:sz w:val="24"/>
          <w:highlight w:val="none"/>
          <w:lang w:val="en-US" w:eastAsia="zh-CN"/>
        </w:rPr>
        <w:t>。</w:t>
      </w:r>
    </w:p>
    <w:p>
      <w:pPr>
        <w:numPr>
          <w:ilvl w:val="0"/>
          <w:numId w:val="48"/>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lang w:val="en-US" w:eastAsia="zh-CN"/>
        </w:rPr>
        <w:t>法律法规规定或监管机构认定的其他情形。</w:t>
      </w:r>
    </w:p>
    <w:p>
      <w:pPr>
        <w:numPr>
          <w:ilvl w:val="0"/>
          <w:numId w:val="40"/>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到期清算</w:t>
      </w:r>
    </w:p>
    <w:p>
      <w:p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color w:val="auto"/>
          <w:kern w:val="2"/>
          <w:sz w:val="24"/>
          <w:szCs w:val="24"/>
          <w:highlight w:val="none"/>
          <w:lang w:val="en-US" w:eastAsia="zh-CN" w:bidi="ar-SA"/>
        </w:rPr>
        <w:t>1</w:t>
      </w:r>
      <w:r>
        <w:rPr>
          <w:rFonts w:hint="eastAsia" w:ascii="宋体" w:hAnsi="宋体" w:cs="宋体"/>
          <w:bCs/>
          <w:color w:val="auto"/>
          <w:sz w:val="24"/>
          <w:highlight w:val="none"/>
        </w:rPr>
        <w:t>〗个〖</w:t>
      </w:r>
      <w:r>
        <w:rPr>
          <w:rFonts w:hint="eastAsia" w:ascii="宋体" w:hAnsi="宋体" w:eastAsia="宋体" w:cs="宋体"/>
          <w:bCs/>
          <w:color w:val="auto"/>
          <w:kern w:val="2"/>
          <w:sz w:val="24"/>
          <w:szCs w:val="24"/>
          <w:highlight w:val="none"/>
          <w:lang w:val="en-US" w:eastAsia="zh-CN" w:bidi="ar-SA"/>
        </w:rPr>
        <w:t>工作日</w:t>
      </w:r>
      <w:r>
        <w:rPr>
          <w:rFonts w:hint="eastAsia" w:ascii="宋体" w:hAnsi="宋体" w:cs="宋体"/>
          <w:bCs/>
          <w:color w:val="auto"/>
          <w:sz w:val="24"/>
          <w:highlight w:val="none"/>
        </w:rPr>
        <w:t>〗、最晚〖</w:t>
      </w:r>
      <w:r>
        <w:rPr>
          <w:rFonts w:hint="eastAsia" w:ascii="宋体" w:hAnsi="宋体" w:eastAsia="宋体" w:cs="宋体"/>
          <w:bCs/>
          <w:color w:val="auto"/>
          <w:kern w:val="2"/>
          <w:sz w:val="24"/>
          <w:szCs w:val="24"/>
          <w:highlight w:val="none"/>
          <w:lang w:val="en-US" w:eastAsia="zh-CN" w:bidi="ar-SA"/>
        </w:rPr>
        <w:t>3</w:t>
      </w:r>
      <w:r>
        <w:rPr>
          <w:rFonts w:hint="eastAsia" w:ascii="宋体" w:hAnsi="宋体" w:cs="宋体"/>
          <w:bCs/>
          <w:color w:val="auto"/>
          <w:sz w:val="24"/>
          <w:highlight w:val="none"/>
        </w:rPr>
        <w:t>〗个〖</w:t>
      </w:r>
      <w:r>
        <w:rPr>
          <w:rFonts w:hint="eastAsia" w:ascii="宋体" w:hAnsi="宋体" w:eastAsia="宋体" w:cs="宋体"/>
          <w:bCs/>
          <w:color w:val="auto"/>
          <w:kern w:val="2"/>
          <w:sz w:val="24"/>
          <w:szCs w:val="24"/>
          <w:highlight w:val="none"/>
          <w:lang w:val="en-US" w:eastAsia="zh-CN" w:bidi="ar-SA"/>
        </w:rPr>
        <w:t>工作日</w:t>
      </w:r>
      <w:r>
        <w:rPr>
          <w:rFonts w:hint="eastAsia" w:ascii="宋体" w:hAnsi="宋体" w:cs="宋体"/>
          <w:bCs/>
          <w:color w:val="auto"/>
          <w:sz w:val="24"/>
          <w:highlight w:val="none"/>
        </w:rPr>
        <w:t>〗内（遇节假日顺延）将资金按规定的要求划入投资者授权指定的理财账户。</w:t>
      </w:r>
      <w:r>
        <w:rPr>
          <w:rFonts w:hint="eastAsia" w:ascii="宋体" w:hAnsi="宋体" w:cs="宋体"/>
          <w:color w:val="auto"/>
          <w:kern w:val="0"/>
          <w:sz w:val="24"/>
          <w:szCs w:val="24"/>
          <w:highlight w:val="none"/>
        </w:rPr>
        <w:t>（具体以销售机构规定为准）</w:t>
      </w:r>
    </w:p>
    <w:p>
      <w:pPr>
        <w:numPr>
          <w:ilvl w:val="0"/>
          <w:numId w:val="40"/>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提前终止</w:t>
      </w:r>
    </w:p>
    <w:p>
      <w:p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在理财计划期限内，管理人根据投资情况有提前终止权，于本理财计划提前终止日前</w:t>
      </w:r>
      <w:r>
        <w:rPr>
          <w:rFonts w:hint="eastAsia" w:ascii="宋体" w:hAnsi="宋体" w:cs="宋体"/>
          <w:color w:val="auto"/>
          <w:sz w:val="24"/>
          <w:szCs w:val="24"/>
          <w:highlight w:val="none"/>
        </w:rPr>
        <w:t>〖</w:t>
      </w:r>
      <w:r>
        <w:rPr>
          <w:rFonts w:hint="eastAsia" w:ascii="宋体" w:hAnsi="宋体" w:cs="宋体"/>
          <w:bCs/>
          <w:color w:val="auto"/>
          <w:sz w:val="24"/>
          <w:highlight w:val="none"/>
        </w:rPr>
        <w:t>2〗个〖</w:t>
      </w:r>
      <w:r>
        <w:rPr>
          <w:rFonts w:hint="eastAsia" w:ascii="宋体" w:hAnsi="宋体" w:eastAsia="宋体" w:cs="宋体"/>
          <w:bCs/>
          <w:color w:val="auto"/>
          <w:kern w:val="2"/>
          <w:sz w:val="24"/>
          <w:szCs w:val="24"/>
          <w:highlight w:val="none"/>
          <w:lang w:val="en-US" w:eastAsia="zh-CN" w:bidi="ar-SA"/>
        </w:rPr>
        <w:t>工作日</w:t>
      </w:r>
      <w:r>
        <w:rPr>
          <w:rFonts w:hint="eastAsia" w:ascii="宋体" w:hAnsi="宋体" w:cs="宋体"/>
          <w:bCs/>
          <w:color w:val="auto"/>
          <w:sz w:val="24"/>
          <w:highlight w:val="none"/>
        </w:rPr>
        <w:t>〗通过管理人或销售机构发布提前终止公告，并于终止日后</w:t>
      </w:r>
      <w:r>
        <w:rPr>
          <w:rFonts w:hint="eastAsia" w:ascii="宋体" w:hAnsi="宋体" w:cs="宋体"/>
          <w:color w:val="auto"/>
          <w:sz w:val="24"/>
          <w:szCs w:val="24"/>
          <w:highlight w:val="none"/>
        </w:rPr>
        <w:t>〖</w:t>
      </w:r>
      <w:r>
        <w:rPr>
          <w:rFonts w:hint="eastAsia" w:ascii="宋体" w:hAnsi="宋体" w:cs="宋体"/>
          <w:color w:val="auto"/>
          <w:kern w:val="2"/>
          <w:sz w:val="24"/>
          <w:szCs w:val="24"/>
          <w:highlight w:val="none"/>
          <w:lang w:val="en-US" w:eastAsia="zh-CN" w:bidi="ar-SA"/>
        </w:rPr>
        <w:t>3</w:t>
      </w:r>
      <w:r>
        <w:rPr>
          <w:rFonts w:hint="eastAsia" w:ascii="宋体" w:hAnsi="宋体" w:cs="宋体"/>
          <w:bCs/>
          <w:color w:val="auto"/>
          <w:sz w:val="24"/>
          <w:highlight w:val="none"/>
        </w:rPr>
        <w:t>〗个〖</w:t>
      </w:r>
      <w:r>
        <w:rPr>
          <w:rFonts w:hint="eastAsia" w:ascii="宋体" w:hAnsi="宋体" w:eastAsia="宋体" w:cs="宋体"/>
          <w:bCs/>
          <w:color w:val="auto"/>
          <w:kern w:val="2"/>
          <w:sz w:val="24"/>
          <w:szCs w:val="24"/>
          <w:highlight w:val="none"/>
          <w:lang w:val="en-US" w:eastAsia="zh-CN" w:bidi="ar-SA"/>
        </w:rPr>
        <w:t>工作日</w:t>
      </w:r>
      <w:r>
        <w:rPr>
          <w:rFonts w:hint="eastAsia" w:ascii="宋体" w:hAnsi="宋体" w:cs="宋体"/>
          <w:bCs/>
          <w:color w:val="auto"/>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color w:val="auto"/>
          <w:sz w:val="24"/>
          <w:highlight w:val="none"/>
        </w:rPr>
      </w:pPr>
      <w:r>
        <w:rPr>
          <w:rFonts w:hint="eastAsia" w:ascii="宋体" w:hAnsi="宋体" w:cs="宋体"/>
          <w:b/>
          <w:color w:val="auto"/>
          <w:sz w:val="24"/>
          <w:highlight w:val="none"/>
        </w:rPr>
        <w:t>如发生以下事项时，管理人可对本理财计划行使全部</w:t>
      </w:r>
      <w:r>
        <w:rPr>
          <w:rFonts w:hint="eastAsia" w:ascii="宋体" w:hAnsi="宋体" w:cs="宋体"/>
          <w:b/>
          <w:color w:val="auto"/>
          <w:sz w:val="24"/>
          <w:highlight w:val="none"/>
          <w:lang w:eastAsia="zh-CN"/>
        </w:rPr>
        <w:t>或部分</w:t>
      </w:r>
      <w:r>
        <w:rPr>
          <w:rFonts w:hint="eastAsia" w:ascii="宋体" w:hAnsi="宋体" w:cs="宋体"/>
          <w:b/>
          <w:color w:val="auto"/>
          <w:sz w:val="24"/>
          <w:highlight w:val="none"/>
        </w:rPr>
        <w:t>提前终止权：</w:t>
      </w:r>
    </w:p>
    <w:p>
      <w:pPr>
        <w:numPr>
          <w:ilvl w:val="0"/>
          <w:numId w:val="49"/>
        </w:numPr>
        <w:spacing w:line="360" w:lineRule="auto"/>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如因本理财计划资产运作模式等与法律法规、规章的规定或者监管部门的要求等存在冲突导致理财计划必须提前终止的。</w:t>
      </w:r>
    </w:p>
    <w:p>
      <w:pPr>
        <w:numPr>
          <w:ilvl w:val="0"/>
          <w:numId w:val="49"/>
        </w:numPr>
        <w:spacing w:line="360" w:lineRule="auto"/>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国家有关法律、法规、规章、政策的改变、紧急措施的出台、理财市场环境发生重大变化等导致理财计划必须提前终止的。</w:t>
      </w:r>
    </w:p>
    <w:p>
      <w:pPr>
        <w:numPr>
          <w:ilvl w:val="0"/>
          <w:numId w:val="49"/>
        </w:numPr>
        <w:spacing w:line="360" w:lineRule="auto"/>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因不可抗力因素导致本理财计划必须提前终止的。</w:t>
      </w:r>
    </w:p>
    <w:p>
      <w:pPr>
        <w:numPr>
          <w:ilvl w:val="0"/>
          <w:numId w:val="49"/>
        </w:numPr>
        <w:spacing w:line="360" w:lineRule="auto"/>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理财计划的投资策略已不适合当前的市场环境的。</w:t>
      </w:r>
    </w:p>
    <w:p>
      <w:pPr>
        <w:numPr>
          <w:ilvl w:val="0"/>
          <w:numId w:val="49"/>
        </w:numPr>
        <w:spacing w:line="360" w:lineRule="auto"/>
        <w:ind w:firstLine="482" w:firstLineChars="200"/>
        <w:jc w:val="left"/>
        <w:rPr>
          <w:rFonts w:ascii="宋体" w:hAnsi="宋体" w:cs="宋体"/>
          <w:b/>
          <w:color w:val="auto"/>
          <w:sz w:val="24"/>
          <w:highlight w:val="none"/>
        </w:rPr>
      </w:pPr>
      <w:r>
        <w:rPr>
          <w:rFonts w:hint="eastAsia" w:ascii="宋体" w:hAnsi="宋体" w:cs="宋体"/>
          <w:b/>
          <w:color w:val="auto"/>
          <w:sz w:val="24"/>
          <w:highlight w:val="none"/>
          <w:lang w:eastAsia="zh-CN"/>
        </w:rPr>
        <w:t>融资人行使提前到期或还款权利的。</w:t>
      </w:r>
    </w:p>
    <w:p>
      <w:pPr>
        <w:numPr>
          <w:ilvl w:val="0"/>
          <w:numId w:val="49"/>
        </w:numPr>
        <w:spacing w:line="360" w:lineRule="auto"/>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管理人认为应该提前终止的其他情形。</w:t>
      </w:r>
    </w:p>
    <w:p>
      <w:pPr>
        <w:numPr>
          <w:ilvl w:val="0"/>
          <w:numId w:val="40"/>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延期</w:t>
      </w:r>
    </w:p>
    <w:p>
      <w:p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0"/>
        </w:numPr>
        <w:spacing w:line="360" w:lineRule="auto"/>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预计在理财计划预计到期日，理财计划资产因市场风险、信用风险等原因无法全部变现。</w:t>
      </w:r>
    </w:p>
    <w:p>
      <w:pPr>
        <w:numPr>
          <w:ilvl w:val="0"/>
          <w:numId w:val="50"/>
        </w:numPr>
        <w:spacing w:line="360" w:lineRule="auto"/>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预计理财计划所投资的信托计划、资管计划、私募基金的受托人或管理人不能按时向管理人划付理财计划的本金和收益。</w:t>
      </w:r>
    </w:p>
    <w:p>
      <w:pPr>
        <w:numPr>
          <w:ilvl w:val="0"/>
          <w:numId w:val="50"/>
        </w:numPr>
        <w:spacing w:line="360" w:lineRule="auto"/>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理财计划财产涉及诉讼或仲裁，且预计诉讼或仲裁执行程序于理财计划到期日尚未终结。</w:t>
      </w:r>
    </w:p>
    <w:p>
      <w:pPr>
        <w:numPr>
          <w:ilvl w:val="0"/>
          <w:numId w:val="50"/>
        </w:numPr>
        <w:spacing w:line="360" w:lineRule="auto"/>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管理人与托管人、销售机构协商一致决定延期。</w:t>
      </w:r>
    </w:p>
    <w:p>
      <w:pPr>
        <w:numPr>
          <w:ilvl w:val="0"/>
          <w:numId w:val="50"/>
        </w:numPr>
        <w:spacing w:line="360" w:lineRule="auto"/>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法律法规规定的或管理人认为有必要延期的其他情形。</w:t>
      </w:r>
    </w:p>
    <w:p>
      <w:pPr>
        <w:spacing w:line="360" w:lineRule="auto"/>
        <w:jc w:val="left"/>
        <w:rPr>
          <w:rFonts w:ascii="宋体" w:hAnsi="宋体" w:cs="宋体"/>
          <w:b/>
          <w:color w:val="auto"/>
          <w:sz w:val="24"/>
          <w:highlight w:val="none"/>
        </w:rPr>
      </w:pPr>
    </w:p>
    <w:p>
      <w:pPr>
        <w:numPr>
          <w:ilvl w:val="0"/>
          <w:numId w:val="23"/>
        </w:numPr>
        <w:spacing w:line="360" w:lineRule="auto"/>
        <w:ind w:firstLine="482" w:firstLineChars="200"/>
        <w:jc w:val="left"/>
        <w:outlineLvl w:val="1"/>
        <w:rPr>
          <w:rFonts w:hint="eastAsia" w:ascii="宋体" w:hAnsi="宋体" w:cs="宋体"/>
          <w:b/>
          <w:color w:val="auto"/>
          <w:sz w:val="24"/>
          <w:highlight w:val="none"/>
        </w:rPr>
      </w:pPr>
      <w:r>
        <w:rPr>
          <w:rFonts w:hint="eastAsia" w:ascii="宋体" w:hAnsi="宋体" w:cs="宋体"/>
          <w:b/>
          <w:color w:val="auto"/>
          <w:sz w:val="24"/>
          <w:highlight w:val="none"/>
        </w:rPr>
        <w:t>信息披露</w:t>
      </w:r>
    </w:p>
    <w:p>
      <w:pPr>
        <w:numPr>
          <w:ilvl w:val="0"/>
          <w:numId w:val="51"/>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披露内容及时间</w:t>
      </w:r>
    </w:p>
    <w:p>
      <w:pPr>
        <w:numPr>
          <w:ilvl w:val="0"/>
          <w:numId w:val="52"/>
        </w:numPr>
        <w:spacing w:line="360" w:lineRule="auto"/>
        <w:ind w:firstLine="482" w:firstLineChars="200"/>
        <w:jc w:val="left"/>
        <w:rPr>
          <w:rFonts w:hint="eastAsia" w:ascii="宋体" w:hAnsi="宋体" w:cs="宋体"/>
          <w:b/>
          <w:color w:val="auto"/>
          <w:sz w:val="24"/>
          <w:highlight w:val="none"/>
        </w:rPr>
      </w:pPr>
      <w:r>
        <w:rPr>
          <w:rFonts w:hint="eastAsia" w:ascii="宋体" w:hAnsi="宋体" w:cs="宋体"/>
          <w:b/>
          <w:color w:val="auto"/>
          <w:sz w:val="24"/>
          <w:highlight w:val="none"/>
        </w:rPr>
        <w:t>认购信息披露</w:t>
      </w:r>
    </w:p>
    <w:p>
      <w:pPr>
        <w:numPr>
          <w:ilvl w:val="0"/>
          <w:numId w:val="53"/>
        </w:numPr>
        <w:spacing w:line="360" w:lineRule="auto"/>
        <w:ind w:firstLine="480" w:firstLineChars="200"/>
        <w:rPr>
          <w:rFonts w:hint="eastAsia" w:ascii="宋体" w:hAnsi="宋体" w:cs="宋体"/>
          <w:bCs/>
          <w:color w:val="auto"/>
          <w:sz w:val="24"/>
          <w:highlight w:val="none"/>
        </w:rPr>
      </w:pPr>
      <w:r>
        <w:rPr>
          <w:rFonts w:hint="eastAsia" w:ascii="宋体" w:hAnsi="宋体" w:cs="宋体"/>
          <w:bCs/>
          <w:color w:val="auto"/>
          <w:sz w:val="24"/>
          <w:highlight w:val="none"/>
        </w:rPr>
        <w:t>理财计划合同：管理人应在正式办理理财计划份额认购前披露，包括但不限于</w:t>
      </w:r>
      <w:r>
        <w:rPr>
          <w:rFonts w:hint="eastAsia" w:ascii="宋体" w:hAnsi="宋体" w:cs="宋体"/>
          <w:bCs/>
          <w:color w:val="auto"/>
          <w:sz w:val="24"/>
          <w:highlight w:val="none"/>
          <w:lang w:eastAsia="zh-CN"/>
        </w:rPr>
        <w:t>理财计划</w:t>
      </w:r>
      <w:r>
        <w:rPr>
          <w:rFonts w:hint="eastAsia" w:ascii="宋体" w:hAnsi="宋体" w:cs="宋体"/>
          <w:bCs/>
          <w:color w:val="auto"/>
          <w:sz w:val="24"/>
          <w:highlight w:val="none"/>
        </w:rPr>
        <w:t>风险揭示书、</w:t>
      </w:r>
      <w:r>
        <w:rPr>
          <w:rFonts w:hint="eastAsia" w:ascii="宋体" w:hAnsi="宋体" w:cs="宋体"/>
          <w:bCs/>
          <w:color w:val="auto"/>
          <w:sz w:val="24"/>
          <w:highlight w:val="none"/>
          <w:lang w:eastAsia="zh-CN"/>
        </w:rPr>
        <w:t>理财计划</w:t>
      </w:r>
      <w:r>
        <w:rPr>
          <w:rFonts w:hint="eastAsia" w:ascii="宋体" w:hAnsi="宋体" w:cs="宋体"/>
          <w:bCs/>
          <w:color w:val="auto"/>
          <w:sz w:val="24"/>
          <w:highlight w:val="none"/>
        </w:rPr>
        <w:t>产品说明书、投资者权益须知</w:t>
      </w:r>
      <w:r>
        <w:rPr>
          <w:rFonts w:hint="eastAsia" w:ascii="宋体" w:hAnsi="宋体" w:cs="宋体"/>
          <w:bCs/>
          <w:color w:val="auto"/>
          <w:sz w:val="24"/>
          <w:highlight w:val="none"/>
          <w:lang w:eastAsia="zh-CN"/>
        </w:rPr>
        <w:t>、</w:t>
      </w:r>
      <w:r>
        <w:rPr>
          <w:rFonts w:hint="eastAsia" w:ascii="宋体" w:hAnsi="宋体" w:cs="宋体"/>
          <w:bCs/>
          <w:color w:val="auto"/>
          <w:sz w:val="24"/>
          <w:highlight w:val="none"/>
        </w:rPr>
        <w:t>理财计划投资协议书</w:t>
      </w:r>
      <w:r>
        <w:rPr>
          <w:rFonts w:hint="eastAsia" w:ascii="宋体" w:hAnsi="宋体" w:cs="宋体"/>
          <w:bCs/>
          <w:color w:val="auto"/>
          <w:sz w:val="24"/>
          <w:highlight w:val="none"/>
          <w:lang w:eastAsia="zh-CN"/>
        </w:rPr>
        <w:t>以及理财计划销售协议书</w:t>
      </w:r>
      <w:r>
        <w:rPr>
          <w:rFonts w:hint="eastAsia" w:ascii="宋体" w:hAnsi="宋体" w:cs="宋体"/>
          <w:bCs/>
          <w:color w:val="auto"/>
          <w:sz w:val="24"/>
          <w:highlight w:val="none"/>
        </w:rPr>
        <w:t>。</w:t>
      </w:r>
    </w:p>
    <w:p>
      <w:pPr>
        <w:numPr>
          <w:ilvl w:val="0"/>
          <w:numId w:val="53"/>
        </w:numPr>
        <w:spacing w:line="360" w:lineRule="auto"/>
        <w:ind w:firstLine="480" w:firstLineChars="200"/>
        <w:rPr>
          <w:rFonts w:ascii="宋体" w:hAnsi="宋体" w:cs="宋体"/>
          <w:bCs/>
          <w:color w:val="auto"/>
          <w:sz w:val="24"/>
          <w:highlight w:val="none"/>
        </w:rPr>
      </w:pPr>
      <w:r>
        <w:rPr>
          <w:rFonts w:hint="eastAsia" w:ascii="宋体" w:hAnsi="宋体" w:cs="宋体"/>
          <w:bCs/>
          <w:color w:val="auto"/>
          <w:sz w:val="24"/>
          <w:highlight w:val="none"/>
        </w:rPr>
        <w:t>发行公告：管理人应在理财计划成立日后</w:t>
      </w:r>
      <w:r>
        <w:rPr>
          <w:rFonts w:hint="eastAsia" w:ascii="宋体" w:hAnsi="宋体" w:cs="宋体"/>
          <w:bCs/>
          <w:color w:val="auto"/>
          <w:sz w:val="24"/>
          <w:highlight w:val="none"/>
          <w:lang w:val="en-US" w:eastAsia="zh-CN"/>
        </w:rPr>
        <w:t>5</w:t>
      </w:r>
      <w:r>
        <w:rPr>
          <w:rFonts w:hint="eastAsia" w:ascii="宋体" w:hAnsi="宋体" w:cs="宋体"/>
          <w:bCs/>
          <w:color w:val="auto"/>
          <w:sz w:val="24"/>
          <w:highlight w:val="none"/>
        </w:rPr>
        <w:t>个工作日内披露，包括成立日期、募集规模等信息。</w:t>
      </w:r>
    </w:p>
    <w:p>
      <w:pPr>
        <w:numPr>
          <w:ilvl w:val="0"/>
          <w:numId w:val="52"/>
        </w:numPr>
        <w:spacing w:line="360" w:lineRule="auto"/>
        <w:ind w:firstLine="482" w:firstLineChars="200"/>
        <w:jc w:val="left"/>
        <w:rPr>
          <w:rFonts w:hint="eastAsia" w:ascii="宋体" w:hAnsi="宋体" w:cs="宋体"/>
          <w:b/>
          <w:color w:val="auto"/>
          <w:sz w:val="24"/>
          <w:highlight w:val="none"/>
        </w:rPr>
      </w:pPr>
      <w:r>
        <w:rPr>
          <w:rFonts w:hint="eastAsia" w:ascii="宋体" w:hAnsi="宋体" w:cs="宋体"/>
          <w:b/>
          <w:color w:val="auto"/>
          <w:sz w:val="24"/>
          <w:highlight w:val="none"/>
        </w:rPr>
        <w:t>运作信息披露</w:t>
      </w:r>
    </w:p>
    <w:p>
      <w:pPr>
        <w:numPr>
          <w:ilvl w:val="0"/>
          <w:numId w:val="54"/>
        </w:numPr>
        <w:spacing w:line="360" w:lineRule="auto"/>
        <w:ind w:firstLine="480" w:firstLineChars="200"/>
        <w:rPr>
          <w:rFonts w:hint="eastAsia" w:ascii="宋体" w:hAnsi="宋体" w:cs="宋体"/>
          <w:bCs/>
          <w:color w:val="auto"/>
          <w:sz w:val="24"/>
          <w:highlight w:val="none"/>
        </w:rPr>
      </w:pPr>
      <w:r>
        <w:rPr>
          <w:rFonts w:hint="eastAsia" w:ascii="宋体" w:hAnsi="宋体" w:cs="宋体"/>
          <w:bCs/>
          <w:color w:val="auto"/>
          <w:sz w:val="24"/>
          <w:highlight w:val="none"/>
        </w:rPr>
        <w:t>理财计划净值：管理人应在理财计划成立后，每个开放确认日后</w:t>
      </w:r>
      <w:r>
        <w:rPr>
          <w:rFonts w:hint="eastAsia" w:ascii="宋体" w:hAnsi="宋体" w:cs="宋体"/>
          <w:bCs/>
          <w:color w:val="auto"/>
          <w:sz w:val="24"/>
          <w:highlight w:val="none"/>
          <w:lang w:val="en-US" w:eastAsia="zh-CN"/>
        </w:rPr>
        <w:t>2</w:t>
      </w:r>
      <w:r>
        <w:rPr>
          <w:rFonts w:hint="eastAsia" w:ascii="宋体" w:hAnsi="宋体" w:cs="宋体"/>
          <w:bCs/>
          <w:color w:val="auto"/>
          <w:sz w:val="24"/>
          <w:highlight w:val="none"/>
        </w:rPr>
        <w:t>个工作日内披露本理财计划净值。</w:t>
      </w:r>
      <w:r>
        <w:rPr>
          <w:rFonts w:hint="eastAsia" w:ascii="宋体" w:hAnsi="宋体" w:cs="宋体"/>
          <w:bCs/>
          <w:color w:val="auto"/>
          <w:sz w:val="24"/>
          <w:highlight w:val="none"/>
          <w:lang w:eastAsia="zh-CN"/>
        </w:rPr>
        <w:t>公募开放式产品至少每周披露净值。</w:t>
      </w:r>
    </w:p>
    <w:p>
      <w:pPr>
        <w:numPr>
          <w:ilvl w:val="0"/>
          <w:numId w:val="54"/>
        </w:numPr>
        <w:spacing w:line="360" w:lineRule="auto"/>
        <w:ind w:firstLine="480" w:firstLineChars="200"/>
        <w:rPr>
          <w:rFonts w:hint="eastAsia" w:ascii="宋体" w:hAnsi="宋体" w:cs="宋体"/>
          <w:b/>
          <w:color w:val="auto"/>
          <w:sz w:val="24"/>
          <w:highlight w:val="none"/>
        </w:rPr>
      </w:pPr>
      <w:r>
        <w:rPr>
          <w:rFonts w:hint="eastAsia" w:ascii="宋体" w:hAnsi="宋体" w:cs="宋体"/>
          <w:bCs/>
          <w:color w:val="auto"/>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auto"/>
          <w:sz w:val="24"/>
          <w:highlight w:val="none"/>
          <w:lang w:eastAsia="zh-CN"/>
        </w:rPr>
        <w:t>如本理财计划成立不足</w:t>
      </w:r>
      <w:r>
        <w:rPr>
          <w:rFonts w:hint="eastAsia" w:ascii="宋体" w:hAnsi="宋体" w:cs="宋体"/>
          <w:bCs/>
          <w:color w:val="auto"/>
          <w:sz w:val="24"/>
          <w:highlight w:val="none"/>
          <w:lang w:val="en-US" w:eastAsia="zh-CN"/>
        </w:rPr>
        <w:t>90个工作日或剩余存续期不超过90个工作日的，管理人可不编制当期的季度、半年和年度报告等运行报告。</w:t>
      </w:r>
    </w:p>
    <w:p>
      <w:pPr>
        <w:numPr>
          <w:ilvl w:val="0"/>
          <w:numId w:val="54"/>
        </w:numPr>
        <w:spacing w:line="360" w:lineRule="auto"/>
        <w:ind w:firstLine="480" w:firstLineChars="200"/>
        <w:rPr>
          <w:rFonts w:hint="eastAsia" w:ascii="宋体" w:hAnsi="宋体" w:cs="宋体"/>
          <w:b/>
          <w:color w:val="auto"/>
          <w:sz w:val="24"/>
          <w:highlight w:val="none"/>
        </w:rPr>
      </w:pPr>
      <w:r>
        <w:rPr>
          <w:rFonts w:hint="eastAsia" w:ascii="宋体" w:hAnsi="宋体" w:cs="宋体"/>
          <w:bCs/>
          <w:color w:val="auto"/>
          <w:sz w:val="24"/>
          <w:highlight w:val="none"/>
        </w:rPr>
        <w:t>到期报告：管理人应在理财计划到期后5个工作日内披露，包括存续期限、到期兑付净值、收益分配情况等信息。</w:t>
      </w:r>
    </w:p>
    <w:p>
      <w:pPr>
        <w:numPr>
          <w:ilvl w:val="0"/>
          <w:numId w:val="52"/>
        </w:numPr>
        <w:spacing w:line="360" w:lineRule="auto"/>
        <w:ind w:firstLine="482" w:firstLineChars="200"/>
        <w:jc w:val="left"/>
        <w:rPr>
          <w:rFonts w:hint="eastAsia" w:ascii="宋体" w:hAnsi="宋体" w:cs="宋体"/>
          <w:b/>
          <w:color w:val="auto"/>
          <w:sz w:val="24"/>
          <w:highlight w:val="none"/>
        </w:rPr>
      </w:pPr>
      <w:r>
        <w:rPr>
          <w:rFonts w:hint="eastAsia" w:ascii="宋体" w:hAnsi="宋体" w:cs="宋体"/>
          <w:b/>
          <w:color w:val="auto"/>
          <w:sz w:val="24"/>
          <w:highlight w:val="none"/>
        </w:rPr>
        <w:t>临时信息披露</w:t>
      </w:r>
    </w:p>
    <w:p>
      <w:pPr>
        <w:numPr>
          <w:ilvl w:val="0"/>
          <w:numId w:val="55"/>
        </w:numPr>
        <w:spacing w:line="360" w:lineRule="auto"/>
        <w:ind w:firstLine="480" w:firstLineChars="200"/>
        <w:rPr>
          <w:rFonts w:hint="eastAsia" w:ascii="宋体" w:hAnsi="宋体" w:cs="宋体"/>
          <w:bCs/>
          <w:color w:val="auto"/>
          <w:sz w:val="24"/>
          <w:highlight w:val="none"/>
        </w:rPr>
      </w:pPr>
      <w:r>
        <w:rPr>
          <w:rFonts w:hint="eastAsia" w:ascii="宋体" w:hAnsi="宋体" w:cs="宋体"/>
          <w:bCs/>
          <w:color w:val="auto"/>
          <w:sz w:val="24"/>
          <w:highlight w:val="none"/>
        </w:rPr>
        <w:t>重大事项公告：</w:t>
      </w:r>
      <w:r>
        <w:rPr>
          <w:rFonts w:hint="eastAsia" w:ascii="宋体" w:hAnsi="宋体" w:cs="宋体"/>
          <w:bCs/>
          <w:color w:val="auto"/>
          <w:sz w:val="24"/>
          <w:highlight w:val="none"/>
          <w:lang w:eastAsia="zh-CN"/>
        </w:rPr>
        <w:t>管理人应在运用</w:t>
      </w:r>
      <w:r>
        <w:rPr>
          <w:rFonts w:hint="eastAsia" w:ascii="宋体" w:hAnsi="宋体" w:cs="宋体"/>
          <w:bCs/>
          <w:color w:val="auto"/>
          <w:sz w:val="24"/>
          <w:highlight w:val="none"/>
        </w:rPr>
        <w:t>收取短期赎回费、摆动定价等措施后，3个交易日内</w:t>
      </w:r>
      <w:r>
        <w:rPr>
          <w:rFonts w:hint="eastAsia" w:ascii="宋体" w:hAnsi="宋体" w:cs="宋体"/>
          <w:bCs/>
          <w:color w:val="auto"/>
          <w:sz w:val="24"/>
          <w:highlight w:val="none"/>
          <w:lang w:eastAsia="zh-CN"/>
        </w:rPr>
        <w:t>发布相关事项公告；应在</w:t>
      </w:r>
      <w:r>
        <w:rPr>
          <w:rFonts w:hint="eastAsia" w:ascii="宋体" w:hAnsi="宋体" w:cs="宋体"/>
          <w:bCs/>
          <w:color w:val="auto"/>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auto"/>
          <w:sz w:val="24"/>
          <w:highlight w:val="none"/>
        </w:rPr>
        <w:t>3个交易日内</w:t>
      </w:r>
      <w:r>
        <w:rPr>
          <w:rFonts w:hint="eastAsia" w:ascii="宋体" w:hAnsi="宋体" w:cs="宋体"/>
          <w:bCs/>
          <w:color w:val="auto"/>
          <w:sz w:val="24"/>
          <w:highlight w:val="none"/>
          <w:lang w:eastAsia="zh-CN"/>
        </w:rPr>
        <w:t>发布相关事项公告，</w:t>
      </w:r>
      <w:r>
        <w:rPr>
          <w:rFonts w:hint="eastAsia" w:ascii="宋体" w:hAnsi="宋体" w:cs="宋体"/>
          <w:bCs/>
          <w:color w:val="auto"/>
          <w:sz w:val="24"/>
          <w:highlight w:val="none"/>
          <w:lang w:val="en-US" w:eastAsia="zh-CN"/>
        </w:rPr>
        <w:t>说明运用相关措施的原因、拟采取的应对安排等；</w:t>
      </w:r>
      <w:r>
        <w:rPr>
          <w:rFonts w:hint="eastAsia" w:ascii="宋体" w:hAnsi="宋体" w:cs="宋体"/>
          <w:bCs/>
          <w:color w:val="auto"/>
          <w:sz w:val="24"/>
          <w:highlight w:val="none"/>
          <w:lang w:eastAsia="zh-CN"/>
        </w:rPr>
        <w:t>应在发生可能对理财计划投资者或者理财计划收益产</w:t>
      </w:r>
      <w:r>
        <w:rPr>
          <w:rFonts w:hint="eastAsia" w:ascii="宋体" w:hAnsi="宋体" w:cs="宋体"/>
          <w:bCs/>
          <w:color w:val="auto"/>
          <w:sz w:val="24"/>
          <w:highlight w:val="none"/>
        </w:rPr>
        <w:t>生重大事项的事件后2个工作日内发布重大事项公告。</w:t>
      </w:r>
    </w:p>
    <w:p>
      <w:pPr>
        <w:numPr>
          <w:ilvl w:val="0"/>
          <w:numId w:val="55"/>
        </w:numPr>
        <w:spacing w:line="360" w:lineRule="auto"/>
        <w:ind w:firstLine="480" w:firstLineChars="200"/>
        <w:rPr>
          <w:rFonts w:hint="eastAsia" w:ascii="宋体" w:hAnsi="宋体" w:cs="宋体"/>
          <w:b/>
          <w:color w:val="auto"/>
          <w:sz w:val="24"/>
          <w:highlight w:val="none"/>
        </w:rPr>
      </w:pPr>
      <w:r>
        <w:rPr>
          <w:rFonts w:hint="eastAsia" w:ascii="宋体" w:hAnsi="宋体" w:cs="宋体"/>
          <w:bCs/>
          <w:color w:val="auto"/>
          <w:sz w:val="24"/>
          <w:highlight w:val="none"/>
        </w:rPr>
        <w:t>临时公告：管理人应当及时披露除重大事项以外的其他信息，包括但不限于理财计划终止、更</w:t>
      </w:r>
      <w:r>
        <w:rPr>
          <w:rFonts w:hint="eastAsia" w:ascii="宋体" w:hAnsi="宋体" w:cs="宋体"/>
          <w:bCs/>
          <w:color w:val="auto"/>
          <w:sz w:val="24"/>
          <w:highlight w:val="none"/>
          <w:lang w:eastAsia="zh-CN"/>
        </w:rPr>
        <w:t>换</w:t>
      </w:r>
      <w:r>
        <w:rPr>
          <w:rFonts w:hint="eastAsia" w:ascii="宋体" w:hAnsi="宋体" w:cs="宋体"/>
          <w:bCs/>
          <w:color w:val="auto"/>
          <w:sz w:val="24"/>
          <w:highlight w:val="none"/>
        </w:rPr>
        <w:t>理财计划管理人和托管人、涉及理财计划管理业务的重大诉讼、涉及费率相关事项的变动、理财计划延期兑付等。</w:t>
      </w:r>
    </w:p>
    <w:p>
      <w:pPr>
        <w:numPr>
          <w:ilvl w:val="0"/>
          <w:numId w:val="51"/>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披露方式</w:t>
      </w:r>
    </w:p>
    <w:p>
      <w:pPr>
        <w:spacing w:line="360" w:lineRule="auto"/>
        <w:ind w:firstLine="480" w:firstLineChars="200"/>
        <w:rPr>
          <w:rFonts w:hint="eastAsia" w:ascii="宋体" w:hAnsi="宋体" w:cs="宋体"/>
          <w:bCs/>
          <w:color w:val="auto"/>
          <w:sz w:val="24"/>
          <w:highlight w:val="none"/>
        </w:rPr>
      </w:pPr>
      <w:r>
        <w:rPr>
          <w:rFonts w:hint="eastAsia" w:ascii="宋体" w:hAnsi="宋体" w:cs="宋体"/>
          <w:bCs/>
          <w:color w:val="auto"/>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color w:val="auto"/>
          <w:sz w:val="24"/>
          <w:highlight w:val="none"/>
        </w:rPr>
      </w:pPr>
    </w:p>
    <w:p>
      <w:pPr>
        <w:numPr>
          <w:ilvl w:val="0"/>
          <w:numId w:val="23"/>
        </w:numPr>
        <w:spacing w:line="360" w:lineRule="auto"/>
        <w:ind w:firstLine="482" w:firstLineChars="200"/>
        <w:jc w:val="left"/>
        <w:outlineLvl w:val="1"/>
        <w:rPr>
          <w:rFonts w:hint="eastAsia" w:ascii="宋体" w:hAnsi="宋体" w:cs="宋体"/>
          <w:b/>
          <w:color w:val="auto"/>
          <w:sz w:val="24"/>
          <w:highlight w:val="none"/>
        </w:rPr>
      </w:pPr>
      <w:r>
        <w:rPr>
          <w:rFonts w:hint="eastAsia" w:ascii="宋体" w:hAnsi="宋体" w:cs="宋体"/>
          <w:b/>
          <w:color w:val="auto"/>
          <w:sz w:val="24"/>
          <w:highlight w:val="none"/>
        </w:rPr>
        <w:t>其他</w:t>
      </w:r>
    </w:p>
    <w:p>
      <w:pPr>
        <w:numPr>
          <w:ilvl w:val="0"/>
          <w:numId w:val="56"/>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追索条款</w:t>
      </w:r>
    </w:p>
    <w:p>
      <w:pPr>
        <w:spacing w:line="360" w:lineRule="auto"/>
        <w:ind w:firstLine="480" w:firstLineChars="200"/>
        <w:rPr>
          <w:rFonts w:hint="eastAsia" w:ascii="宋体" w:hAnsi="宋体" w:cs="宋体"/>
          <w:b/>
          <w:color w:val="auto"/>
          <w:sz w:val="24"/>
          <w:highlight w:val="none"/>
        </w:rPr>
      </w:pPr>
      <w:r>
        <w:rPr>
          <w:rFonts w:hint="eastAsia" w:ascii="宋体" w:hAnsi="宋体" w:cs="宋体"/>
          <w:bCs/>
          <w:color w:val="auto"/>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6"/>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信息安全</w:t>
      </w:r>
    </w:p>
    <w:p>
      <w:pPr>
        <w:spacing w:line="360" w:lineRule="auto"/>
        <w:ind w:firstLine="480" w:firstLineChars="200"/>
        <w:rPr>
          <w:rFonts w:hint="eastAsia" w:ascii="宋体" w:hAnsi="宋体" w:cs="宋体"/>
          <w:b/>
          <w:color w:val="auto"/>
          <w:sz w:val="24"/>
          <w:highlight w:val="none"/>
        </w:rPr>
      </w:pPr>
      <w:r>
        <w:rPr>
          <w:rFonts w:hint="eastAsia" w:ascii="宋体" w:hAnsi="宋体" w:cs="宋体"/>
          <w:bCs/>
          <w:color w:val="auto"/>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auto"/>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auto"/>
          <w:sz w:val="24"/>
          <w:highlight w:val="none"/>
          <w:lang w:eastAsia="zh-CN"/>
        </w:rPr>
        <w:t>，</w:t>
      </w:r>
      <w:r>
        <w:rPr>
          <w:rFonts w:hint="eastAsia" w:ascii="宋体" w:hAnsi="宋体" w:cs="宋体"/>
          <w:b/>
          <w:bCs w:val="0"/>
          <w:color w:val="auto"/>
          <w:sz w:val="24"/>
          <w:highlight w:val="none"/>
          <w:lang w:val="en-US" w:eastAsia="zh-CN"/>
        </w:rPr>
        <w:t>授权使用时限与履行相关法律法规和监管要求的必要时限一致</w:t>
      </w:r>
      <w:r>
        <w:rPr>
          <w:rFonts w:hint="eastAsia" w:ascii="宋体" w:hAnsi="宋体" w:cs="宋体"/>
          <w:b/>
          <w:bCs w:val="0"/>
          <w:color w:val="auto"/>
          <w:sz w:val="24"/>
          <w:highlight w:val="none"/>
        </w:rPr>
        <w:t>。</w:t>
      </w:r>
    </w:p>
    <w:p>
      <w:pPr>
        <w:numPr>
          <w:ilvl w:val="0"/>
          <w:numId w:val="56"/>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争议解决</w:t>
      </w:r>
    </w:p>
    <w:p>
      <w:pPr>
        <w:spacing w:line="360" w:lineRule="auto"/>
        <w:ind w:firstLine="480" w:firstLineChars="200"/>
        <w:rPr>
          <w:rFonts w:hint="eastAsia" w:ascii="宋体" w:hAnsi="宋体" w:cs="宋体"/>
          <w:bCs/>
          <w:color w:val="auto"/>
          <w:sz w:val="24"/>
          <w:highlight w:val="none"/>
        </w:rPr>
      </w:pPr>
      <w:r>
        <w:rPr>
          <w:rFonts w:hint="eastAsia" w:ascii="宋体" w:hAnsi="宋体" w:cs="宋体"/>
          <w:bCs/>
          <w:color w:val="auto"/>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auto"/>
          <w:sz w:val="24"/>
          <w:highlight w:val="none"/>
          <w:lang w:val="en-US" w:eastAsia="zh-CN"/>
        </w:rPr>
        <w:t>被告人</w:t>
      </w:r>
      <w:r>
        <w:rPr>
          <w:rFonts w:hint="eastAsia" w:ascii="宋体" w:hAnsi="宋体" w:cs="宋体"/>
          <w:bCs/>
          <w:color w:val="auto"/>
          <w:sz w:val="24"/>
          <w:highlight w:val="none"/>
        </w:rPr>
        <w:t>所在地有管辖权的人民法院诉讼解决。</w:t>
      </w:r>
    </w:p>
    <w:p>
      <w:pPr>
        <w:numPr>
          <w:ilvl w:val="0"/>
          <w:numId w:val="56"/>
        </w:numPr>
        <w:spacing w:line="360" w:lineRule="auto"/>
        <w:ind w:firstLine="482" w:firstLineChars="200"/>
        <w:jc w:val="left"/>
        <w:outlineLvl w:val="2"/>
        <w:rPr>
          <w:rFonts w:hint="eastAsia" w:ascii="宋体" w:hAnsi="宋体" w:cs="宋体"/>
          <w:b/>
          <w:color w:val="auto"/>
          <w:sz w:val="24"/>
          <w:highlight w:val="none"/>
        </w:rPr>
      </w:pPr>
      <w:r>
        <w:rPr>
          <w:rFonts w:hint="eastAsia" w:ascii="宋体" w:hAnsi="宋体" w:cs="宋体"/>
          <w:b/>
          <w:color w:val="auto"/>
          <w:sz w:val="24"/>
          <w:highlight w:val="none"/>
        </w:rPr>
        <w:t>特别提示</w:t>
      </w:r>
    </w:p>
    <w:p>
      <w:pPr>
        <w:spacing w:line="360" w:lineRule="auto"/>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auto"/>
          <w:sz w:val="44"/>
          <w:szCs w:val="44"/>
          <w:highlight w:val="none"/>
        </w:rPr>
      </w:pPr>
      <w:r>
        <w:rPr>
          <w:rFonts w:hint="eastAsia" w:ascii="宋体" w:hAnsi="宋体" w:cs="宋体"/>
          <w:bCs/>
          <w:color w:val="auto"/>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spacing w:line="360" w:lineRule="auto"/>
        <w:jc w:val="left"/>
        <w:rPr>
          <w:rFonts w:ascii="宋体" w:hAnsi="宋体" w:cs="宋体"/>
          <w:bCs/>
          <w:color w:val="auto"/>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DFFE6DAD"/>
    <w:multiLevelType w:val="multilevel"/>
    <w:tmpl w:val="DFFE6DAD"/>
    <w:lvl w:ilvl="0" w:tentative="0">
      <w:start w:val="1"/>
      <w:numFmt w:val="decimal"/>
      <w:suff w:val="nothing"/>
      <w:lvlText w:val="%1．"/>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8DD71ED"/>
    <w:multiLevelType w:val="multilevel"/>
    <w:tmpl w:val="F8DD71ED"/>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0">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1">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2">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3">
    <w:nsid w:val="084A6179"/>
    <w:multiLevelType w:val="singleLevel"/>
    <w:tmpl w:val="084A6179"/>
    <w:lvl w:ilvl="0" w:tentative="0">
      <w:start w:val="1"/>
      <w:numFmt w:val="decimal"/>
      <w:suff w:val="nothing"/>
      <w:lvlText w:val="（%1）"/>
      <w:lvlJc w:val="left"/>
      <w:rPr>
        <w:rFonts w:hint="default"/>
        <w:highlight w:val="none"/>
      </w:rPr>
    </w:lvl>
  </w:abstractNum>
  <w:abstractNum w:abstractNumId="34">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6">
    <w:nsid w:val="167B0BB4"/>
    <w:multiLevelType w:val="singleLevel"/>
    <w:tmpl w:val="167B0BB4"/>
    <w:lvl w:ilvl="0" w:tentative="0">
      <w:start w:val="1"/>
      <w:numFmt w:val="decimal"/>
      <w:suff w:val="nothing"/>
      <w:lvlText w:val="（%1）"/>
      <w:lvlJc w:val="left"/>
    </w:lvl>
  </w:abstractNum>
  <w:abstractNum w:abstractNumId="37">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8">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9">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0">
    <w:nsid w:val="2CB63BE6"/>
    <w:multiLevelType w:val="singleLevel"/>
    <w:tmpl w:val="2CB63BE6"/>
    <w:lvl w:ilvl="0" w:tentative="0">
      <w:start w:val="1"/>
      <w:numFmt w:val="decimal"/>
      <w:suff w:val="nothing"/>
      <w:lvlText w:val="（%1）"/>
      <w:lvlJc w:val="left"/>
      <w:rPr>
        <w:rFonts w:hint="default"/>
        <w:b w:val="0"/>
        <w:bCs w:val="0"/>
      </w:rPr>
    </w:lvl>
  </w:abstractNum>
  <w:abstractNum w:abstractNumId="41">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6">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1">
    <w:nsid w:val="5BA91325"/>
    <w:multiLevelType w:val="singleLevel"/>
    <w:tmpl w:val="5BA91325"/>
    <w:lvl w:ilvl="0" w:tentative="0">
      <w:start w:val="1"/>
      <w:numFmt w:val="decimal"/>
      <w:suff w:val="nothing"/>
      <w:lvlText w:val="（%1）"/>
      <w:lvlJc w:val="left"/>
    </w:lvl>
  </w:abstractNum>
  <w:abstractNum w:abstractNumId="52">
    <w:nsid w:val="61F30F62"/>
    <w:multiLevelType w:val="singleLevel"/>
    <w:tmpl w:val="61F30F62"/>
    <w:lvl w:ilvl="0" w:tentative="0">
      <w:start w:val="1"/>
      <w:numFmt w:val="decimal"/>
      <w:suff w:val="nothing"/>
      <w:lvlText w:val="（%1）"/>
      <w:lvlJc w:val="left"/>
      <w:rPr>
        <w:rFonts w:hint="default"/>
        <w:b w:val="0"/>
        <w:bCs w:val="0"/>
      </w:rPr>
    </w:lvl>
  </w:abstractNum>
  <w:abstractNum w:abstractNumId="53">
    <w:nsid w:val="69C07A9C"/>
    <w:multiLevelType w:val="singleLevel"/>
    <w:tmpl w:val="69C07A9C"/>
    <w:lvl w:ilvl="0" w:tentative="0">
      <w:start w:val="1"/>
      <w:numFmt w:val="lowerLetter"/>
      <w:suff w:val="space"/>
      <w:lvlText w:val="%1."/>
      <w:lvlJc w:val="left"/>
    </w:lvl>
  </w:abstractNum>
  <w:abstractNum w:abstractNumId="54">
    <w:nsid w:val="6BA7AFBC"/>
    <w:multiLevelType w:val="singleLevel"/>
    <w:tmpl w:val="6BA7AFBC"/>
    <w:lvl w:ilvl="0" w:tentative="0">
      <w:start w:val="1"/>
      <w:numFmt w:val="chineseCounting"/>
      <w:suff w:val="nothing"/>
      <w:lvlText w:val="（%1）"/>
      <w:lvlJc w:val="left"/>
      <w:pPr>
        <w:ind w:left="0" w:firstLine="420"/>
      </w:pPr>
      <w:rPr>
        <w:rFonts w:hint="eastAsia"/>
      </w:rPr>
    </w:lvl>
  </w:abstractNum>
  <w:abstractNum w:abstractNumId="55">
    <w:nsid w:val="6FFB1D5F"/>
    <w:multiLevelType w:val="multilevel"/>
    <w:tmpl w:val="6FFB1D5F"/>
    <w:lvl w:ilvl="0" w:tentative="0">
      <w:start w:val="2"/>
      <w:numFmt w:val="decimal"/>
      <w:suff w:val="nothing"/>
      <w:lvlText w:val="%1．"/>
      <w:lvlJc w:val="left"/>
      <w:pPr>
        <w:ind w:left="0" w:firstLine="403"/>
      </w:pPr>
      <w:rPr>
        <w:rFonts w:hint="eastAsia" w:ascii="宋体" w:hAnsi="宋体" w:eastAsia="宋体" w:cs="宋体"/>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49"/>
  </w:num>
  <w:num w:numId="2">
    <w:abstractNumId w:val="45"/>
  </w:num>
  <w:num w:numId="3">
    <w:abstractNumId w:val="30"/>
  </w:num>
  <w:num w:numId="4">
    <w:abstractNumId w:val="26"/>
  </w:num>
  <w:num w:numId="5">
    <w:abstractNumId w:val="34"/>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1"/>
  </w:num>
  <w:num w:numId="14">
    <w:abstractNumId w:val="21"/>
  </w:num>
  <w:num w:numId="15">
    <w:abstractNumId w:val="55"/>
  </w:num>
  <w:num w:numId="16">
    <w:abstractNumId w:val="44"/>
  </w:num>
  <w:num w:numId="17">
    <w:abstractNumId w:val="28"/>
  </w:num>
  <w:num w:numId="18">
    <w:abstractNumId w:val="46"/>
  </w:num>
  <w:num w:numId="19">
    <w:abstractNumId w:val="51"/>
  </w:num>
  <w:num w:numId="20">
    <w:abstractNumId w:val="53"/>
  </w:num>
  <w:num w:numId="21">
    <w:abstractNumId w:val="39"/>
  </w:num>
  <w:num w:numId="22">
    <w:abstractNumId w:val="15"/>
  </w:num>
  <w:num w:numId="23">
    <w:abstractNumId w:val="38"/>
  </w:num>
  <w:num w:numId="24">
    <w:abstractNumId w:val="18"/>
  </w:num>
  <w:num w:numId="25">
    <w:abstractNumId w:val="5"/>
  </w:num>
  <w:num w:numId="26">
    <w:abstractNumId w:val="48"/>
  </w:num>
  <w:num w:numId="27">
    <w:abstractNumId w:val="4"/>
  </w:num>
  <w:num w:numId="28">
    <w:abstractNumId w:val="33"/>
  </w:num>
  <w:num w:numId="29">
    <w:abstractNumId w:val="37"/>
  </w:num>
  <w:num w:numId="30">
    <w:abstractNumId w:val="54"/>
  </w:num>
  <w:num w:numId="31">
    <w:abstractNumId w:val="32"/>
  </w:num>
  <w:num w:numId="32">
    <w:abstractNumId w:val="17"/>
  </w:num>
  <w:num w:numId="33">
    <w:abstractNumId w:val="41"/>
  </w:num>
  <w:num w:numId="34">
    <w:abstractNumId w:val="0"/>
  </w:num>
  <w:num w:numId="35">
    <w:abstractNumId w:val="20"/>
  </w:num>
  <w:num w:numId="36">
    <w:abstractNumId w:val="43"/>
  </w:num>
  <w:num w:numId="37">
    <w:abstractNumId w:val="2"/>
  </w:num>
  <w:num w:numId="38">
    <w:abstractNumId w:val="22"/>
  </w:num>
  <w:num w:numId="39">
    <w:abstractNumId w:val="29"/>
  </w:num>
  <w:num w:numId="40">
    <w:abstractNumId w:val="47"/>
  </w:num>
  <w:num w:numId="41">
    <w:abstractNumId w:val="35"/>
  </w:num>
  <w:num w:numId="42">
    <w:abstractNumId w:val="14"/>
  </w:num>
  <w:num w:numId="43">
    <w:abstractNumId w:val="27"/>
  </w:num>
  <w:num w:numId="44">
    <w:abstractNumId w:val="23"/>
  </w:num>
  <w:num w:numId="45">
    <w:abstractNumId w:val="24"/>
  </w:num>
  <w:num w:numId="46">
    <w:abstractNumId w:val="52"/>
  </w:num>
  <w:num w:numId="47">
    <w:abstractNumId w:val="40"/>
  </w:num>
  <w:num w:numId="48">
    <w:abstractNumId w:val="1"/>
  </w:num>
  <w:num w:numId="49">
    <w:abstractNumId w:val="50"/>
  </w:num>
  <w:num w:numId="50">
    <w:abstractNumId w:val="11"/>
  </w:num>
  <w:num w:numId="51">
    <w:abstractNumId w:val="9"/>
  </w:num>
  <w:num w:numId="52">
    <w:abstractNumId w:val="12"/>
  </w:num>
  <w:num w:numId="53">
    <w:abstractNumId w:val="36"/>
  </w:num>
  <w:num w:numId="54">
    <w:abstractNumId w:val="19"/>
  </w:num>
  <w:num w:numId="55">
    <w:abstractNumId w:val="3"/>
  </w:num>
  <w:num w:numId="5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12C3821"/>
    <w:rsid w:val="0159200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885007C"/>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E5F4050"/>
    <w:rsid w:val="5F04726A"/>
    <w:rsid w:val="5F6D37D2"/>
    <w:rsid w:val="5F9C081D"/>
    <w:rsid w:val="5FAE36BE"/>
    <w:rsid w:val="606677EA"/>
    <w:rsid w:val="60F34C3C"/>
    <w:rsid w:val="617668BD"/>
    <w:rsid w:val="61D01645"/>
    <w:rsid w:val="63723353"/>
    <w:rsid w:val="64164D78"/>
    <w:rsid w:val="64993141"/>
    <w:rsid w:val="659F27EB"/>
    <w:rsid w:val="659F600E"/>
    <w:rsid w:val="65ED28A3"/>
    <w:rsid w:val="66E459E8"/>
    <w:rsid w:val="67CE6661"/>
    <w:rsid w:val="680A5A06"/>
    <w:rsid w:val="68B9403E"/>
    <w:rsid w:val="68D511B9"/>
    <w:rsid w:val="68FA6041"/>
    <w:rsid w:val="69827CEE"/>
    <w:rsid w:val="699E5049"/>
    <w:rsid w:val="6BDE71F2"/>
    <w:rsid w:val="6C9577EB"/>
    <w:rsid w:val="6CB10E46"/>
    <w:rsid w:val="6CBA3A99"/>
    <w:rsid w:val="6D3A1203"/>
    <w:rsid w:val="6D7F6733"/>
    <w:rsid w:val="6E9C369D"/>
    <w:rsid w:val="6EF41B11"/>
    <w:rsid w:val="6FAB028B"/>
    <w:rsid w:val="6FB17196"/>
    <w:rsid w:val="702573F3"/>
    <w:rsid w:val="706E8E93"/>
    <w:rsid w:val="70B57531"/>
    <w:rsid w:val="70FA499F"/>
    <w:rsid w:val="730C182D"/>
    <w:rsid w:val="73FC9A3F"/>
    <w:rsid w:val="751974A1"/>
    <w:rsid w:val="758B30E4"/>
    <w:rsid w:val="75F42331"/>
    <w:rsid w:val="761F7C3C"/>
    <w:rsid w:val="76683D2A"/>
    <w:rsid w:val="76C62D9E"/>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F365A97"/>
    <w:rsid w:val="7F5F887D"/>
    <w:rsid w:val="7FA95972"/>
    <w:rsid w:val="7FAF35E2"/>
    <w:rsid w:val="7FAF3BBC"/>
    <w:rsid w:val="7FCC7D05"/>
    <w:rsid w:val="7FEF42B8"/>
    <w:rsid w:val="7FFF0B3B"/>
    <w:rsid w:val="8FDF62B9"/>
    <w:rsid w:val="96BDDFD1"/>
    <w:rsid w:val="9FD01BC3"/>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CFD0BD5"/>
    <w:rsid w:val="FD7F9463"/>
    <w:rsid w:val="FD9DAB08"/>
    <w:rsid w:val="FDFC361F"/>
    <w:rsid w:val="FDFD5128"/>
    <w:rsid w:val="FE8FD80F"/>
    <w:rsid w:val="FEAED78B"/>
    <w:rsid w:val="FF4BD653"/>
    <w:rsid w:val="FF6C6882"/>
    <w:rsid w:val="FFAB45F8"/>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39493</Words>
  <Characters>42309</Characters>
  <Lines>1</Lines>
  <Paragraphs>1</Paragraphs>
  <TotalTime>1</TotalTime>
  <ScaleCrop>false</ScaleCrop>
  <LinksUpToDate>false</LinksUpToDate>
  <CharactersWithSpaces>42698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Administrator</dc:creator>
  <cp:lastModifiedBy>hccb</cp:lastModifiedBy>
  <dcterms:modified xsi:type="dcterms:W3CDTF">2026-05-28T08:27:05Z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4AAD87F27A22209FE4AAFE6951E7BCFE_43</vt:lpwstr>
  </property>
  <property fmtid="{D5CDD505-2E9C-101B-9397-08002B2CF9AE}" pid="3" name="KSOProductBuildVer">
    <vt:lpwstr>2052-11.8.2.8411</vt:lpwstr>
  </property>
</Properties>
</file>