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16" w:name="_GoBack"/>
      <w:bookmarkEnd w:id="16"/>
      <w:r>
        <w:rPr>
          <w:rFonts w:hint="eastAsia" w:ascii="宋体" w:hAnsi="宋体" w:cs="宋体"/>
          <w:b/>
          <w:bCs/>
          <w:sz w:val="44"/>
          <w:szCs w:val="44"/>
          <w:highlight w:val="none"/>
          <w:lang w:eastAsia="zh-CN"/>
        </w:rPr>
        <w:t>幸福99添益(灵动)180天持有期1期理财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〖Z7002226000049〗</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3"/>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3"/>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3"/>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23"/>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3"/>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3"/>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3"/>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3"/>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3"/>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幸福99添益(灵动)180天持有期1期理财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3"/>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幸福99添益(灵动)180天持有期1期理财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3"/>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幸福99添益(灵动)180天持有期1期理财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3"/>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幸福99添益(灵动)180天持有期1期理财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3"/>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指作为幸福99添益(灵动)180天持有期1期理财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3"/>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3"/>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幸福99添益(灵动)180天持有期1期理财</w:t>
      </w:r>
      <w:r>
        <w:rPr>
          <w:rFonts w:hint="eastAsia" w:ascii="宋体" w:hAnsi="宋体" w:cs="宋体"/>
          <w:bCs/>
          <w:highlight w:val="none"/>
        </w:rPr>
        <w:t>。</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3"/>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3"/>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3"/>
        <w:numPr>
          <w:ilvl w:val="0"/>
          <w:numId w:val="7"/>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持有期：</w:t>
      </w:r>
      <w:r>
        <w:rPr>
          <w:rFonts w:hint="eastAsia" w:ascii="宋体" w:hAnsi="宋体" w:cs="宋体"/>
          <w:b w:val="0"/>
          <w:bCs/>
          <w:color w:val="auto"/>
          <w:kern w:val="2"/>
          <w:highlight w:val="none"/>
          <w:lang w:eastAsia="zh-CN"/>
        </w:rPr>
        <w:t>指投资者认购或申购后，需</w:t>
      </w:r>
      <w:r>
        <w:rPr>
          <w:rFonts w:hint="eastAsia" w:ascii="宋体" w:hAnsi="宋体" w:cs="宋体"/>
          <w:bCs/>
          <w:color w:val="auto"/>
          <w:kern w:val="2"/>
          <w:highlight w:val="none"/>
        </w:rPr>
        <w:t>持有固定期限后才可进行赎回。</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3"/>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3"/>
        <w:numPr>
          <w:ilvl w:val="0"/>
          <w:numId w:val="7"/>
        </w:numPr>
        <w:adjustRightInd/>
        <w:spacing w:line="360" w:lineRule="auto"/>
        <w:ind w:firstLine="482" w:firstLineChars="200"/>
        <w:rPr>
          <w:rFonts w:hint="eastAsia" w:ascii="宋体" w:hAnsi="宋体" w:cs="宋体"/>
          <w:b/>
          <w:bCs/>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3"/>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3"/>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3"/>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3"/>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3"/>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3"/>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3"/>
        <w:numPr>
          <w:ilvl w:val="0"/>
          <w:numId w:val="0"/>
        </w:numPr>
        <w:adjustRightInd/>
        <w:spacing w:line="360" w:lineRule="auto"/>
        <w:rPr>
          <w:rFonts w:hint="eastAsia" w:ascii="宋体" w:hAnsi="宋体" w:cs="宋体"/>
          <w:b/>
          <w:color w:val="auto"/>
          <w:kern w:val="2"/>
          <w:highlight w:val="none"/>
        </w:rPr>
      </w:pPr>
    </w:p>
    <w:p>
      <w:pPr>
        <w:pStyle w:val="23"/>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3"/>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tcPr>
          <w:p>
            <w:pPr>
              <w:pStyle w:val="23"/>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tcPr>
          <w:p>
            <w:pPr>
              <w:pStyle w:val="23"/>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tcPr>
          <w:p>
            <w:pPr>
              <w:pStyle w:val="23"/>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3"/>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3"/>
        <w:adjustRightInd/>
        <w:spacing w:line="360" w:lineRule="auto"/>
        <w:rPr>
          <w:rFonts w:hint="eastAsia" w:ascii="宋体" w:hAnsi="宋体" w:cs="宋体"/>
          <w:b/>
          <w:color w:val="auto"/>
          <w:kern w:val="2"/>
          <w:highlight w:val="none"/>
        </w:rPr>
      </w:pPr>
    </w:p>
    <w:p>
      <w:pPr>
        <w:pStyle w:val="23"/>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vAlign w:val="center"/>
          </w:tcPr>
          <w:p>
            <w:pPr>
              <w:widowControl/>
              <w:spacing w:line="360" w:lineRule="auto"/>
              <w:contextualSpacing/>
              <w:rPr>
                <w:rFonts w:hint="eastAsia" w:ascii="宋体" w:hAnsi="宋体" w:eastAsia="宋体" w:cs="宋体"/>
                <w:color w:val="000000"/>
                <w:sz w:val="21"/>
                <w:szCs w:val="21"/>
                <w:highlight w:val="none"/>
                <w:lang w:eastAsia="zh-CN"/>
              </w:rPr>
            </w:pPr>
            <w:r>
              <w:rPr>
                <w:rFonts w:hint="eastAsia" w:ascii="宋体" w:hAnsi="宋体" w:cs="宋体"/>
                <w:sz w:val="21"/>
                <w:szCs w:val="21"/>
                <w:highlight w:val="none"/>
                <w:lang w:eastAsia="zh-CN"/>
              </w:rPr>
              <w:t>幸福99添益(灵动)180天持有期1期理财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eastAsia="zh-CN"/>
              </w:rPr>
              <w:t>添益(</w:t>
            </w:r>
            <w:r>
              <w:rPr>
                <w:rFonts w:hint="eastAsia" w:ascii="宋体" w:hAnsi="宋体" w:cs="宋体"/>
                <w:sz w:val="21"/>
                <w:szCs w:val="21"/>
                <w:highlight w:val="none"/>
                <w:lang w:val="en-US" w:eastAsia="zh-CN"/>
              </w:rPr>
              <w:t>灵动</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180</w:t>
            </w:r>
            <w:r>
              <w:rPr>
                <w:rFonts w:hint="eastAsia" w:ascii="宋体" w:hAnsi="宋体" w:cs="宋体"/>
                <w:sz w:val="21"/>
                <w:szCs w:val="21"/>
                <w:highlight w:val="none"/>
                <w:lang w:eastAsia="zh-CN"/>
              </w:rPr>
              <w:t>天</w:t>
            </w:r>
            <w:r>
              <w:rPr>
                <w:rFonts w:hint="eastAsia" w:ascii="宋体" w:hAnsi="宋体" w:cs="宋体"/>
                <w:sz w:val="21"/>
                <w:szCs w:val="21"/>
                <w:highlight w:val="none"/>
                <w:lang w:val="en-US" w:eastAsia="zh-CN"/>
              </w:rPr>
              <w:t>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TYGZC2609</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cs="宋体"/>
                <w:sz w:val="21"/>
                <w:szCs w:val="21"/>
                <w:highlight w:val="none"/>
              </w:rPr>
              <w:t>Z7002226000049</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vAlign w:val="center"/>
          </w:tcPr>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cs="宋体"/>
                <w:b/>
                <w:sz w:val="21"/>
                <w:szCs w:val="21"/>
                <w:highlight w:val="none"/>
              </w:rPr>
              <w:t>〖</w:t>
            </w:r>
            <w:r>
              <w:rPr>
                <w:rFonts w:hint="eastAsia" w:ascii="宋体" w:hAnsi="宋体" w:cs="宋体"/>
                <w:b/>
                <w:color w:val="000000"/>
                <w:sz w:val="21"/>
                <w:szCs w:val="21"/>
                <w:highlight w:val="none"/>
              </w:rPr>
              <w:t>机构投资者</w:t>
            </w:r>
            <w:r>
              <w:rPr>
                <w:rFonts w:hint="eastAsia" w:ascii="宋体" w:hAnsi="宋体" w:cs="宋体"/>
                <w:b/>
                <w:sz w:val="21"/>
                <w:szCs w:val="21"/>
                <w:highlight w:val="none"/>
              </w:rPr>
              <w:t>〗</w:t>
            </w:r>
            <w:r>
              <w:rPr>
                <w:rFonts w:hint="eastAsia" w:ascii="宋体" w:hAnsi="宋体" w:cs="宋体"/>
                <w:b/>
                <w:color w:val="000000"/>
                <w:sz w:val="21"/>
                <w:szCs w:val="21"/>
                <w:highlight w:val="none"/>
              </w:rPr>
              <w:t>以及</w:t>
            </w:r>
            <w:r>
              <w:rPr>
                <w:rFonts w:hint="eastAsia" w:ascii="宋体" w:hAnsi="宋体" w:cs="宋体"/>
                <w:b/>
                <w:sz w:val="21"/>
                <w:szCs w:val="21"/>
                <w:highlight w:val="none"/>
              </w:rPr>
              <w:t>〖稳健型、平衡型、成长型、进取型〗</w:t>
            </w:r>
            <w:r>
              <w:rPr>
                <w:rFonts w:hint="eastAsia" w:ascii="宋体" w:hAnsi="宋体" w:cs="宋体"/>
                <w:b/>
                <w:color w:val="000000"/>
                <w:sz w:val="21"/>
                <w:szCs w:val="21"/>
                <w:highlight w:val="none"/>
              </w:rPr>
              <w:t>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b w:val="0"/>
                <w:bCs/>
                <w:color w:val="000000"/>
                <w:sz w:val="21"/>
                <w:szCs w:val="21"/>
                <w:highlight w:val="none"/>
                <w:lang w:eastAsia="zh-CN"/>
              </w:rPr>
            </w:pPr>
            <w:r>
              <w:rPr>
                <w:rFonts w:hint="eastAsia" w:ascii="宋体" w:hAnsi="宋体" w:cs="宋体"/>
                <w:b w:val="0"/>
                <w:bCs/>
                <w:color w:val="000000"/>
                <w:sz w:val="21"/>
                <w:szCs w:val="21"/>
                <w:highlight w:val="none"/>
                <w:lang w:eastAsia="zh-CN"/>
              </w:rPr>
              <w:t>其中：</w:t>
            </w:r>
          </w:p>
          <w:p>
            <w:pPr>
              <w:widowControl/>
              <w:spacing w:line="360" w:lineRule="auto"/>
              <w:contextualSpacing/>
              <w:rPr>
                <w:rFonts w:hint="eastAsia" w:ascii="宋体" w:hAnsi="宋体" w:cs="宋体"/>
                <w:b w:val="0"/>
                <w:bCs/>
                <w:color w:val="auto"/>
                <w:sz w:val="21"/>
                <w:szCs w:val="21"/>
                <w:highlight w:val="none"/>
                <w:lang w:val="en-US" w:eastAsia="zh-CN"/>
              </w:rPr>
            </w:pPr>
            <w:r>
              <w:rPr>
                <w:rFonts w:hint="eastAsia" w:ascii="宋体" w:hAnsi="宋体" w:cs="宋体"/>
                <w:bCs/>
                <w:color w:val="auto"/>
                <w:sz w:val="21"/>
                <w:szCs w:val="21"/>
                <w:highlight w:val="none"/>
                <w:lang w:val="en-US" w:eastAsia="zh-CN"/>
              </w:rPr>
              <w:t>A份额（销售代码</w:t>
            </w:r>
            <w:r>
              <w:rPr>
                <w:rFonts w:hint="eastAsia" w:ascii="宋体" w:hAnsi="宋体" w:cs="宋体"/>
                <w:bCs/>
                <w:color w:val="auto"/>
                <w:sz w:val="21"/>
                <w:szCs w:val="21"/>
                <w:highlight w:val="none"/>
              </w:rPr>
              <w:t>〖</w:t>
            </w:r>
            <w:r>
              <w:rPr>
                <w:rFonts w:hint="eastAsia" w:ascii="宋体" w:hAnsi="宋体" w:cs="宋体"/>
                <w:color w:val="000000"/>
                <w:sz w:val="21"/>
                <w:szCs w:val="21"/>
                <w:highlight w:val="none"/>
                <w:lang w:val="en-US" w:eastAsia="zh-CN"/>
              </w:rPr>
              <w:t>TYGZC2609A</w:t>
            </w:r>
            <w:r>
              <w:rPr>
                <w:rFonts w:hint="eastAsia" w:ascii="宋体" w:hAnsi="宋体" w:cs="宋体"/>
                <w:bCs/>
                <w:color w:val="auto"/>
                <w:sz w:val="21"/>
                <w:szCs w:val="21"/>
                <w:highlight w:val="none"/>
              </w:rPr>
              <w:t>〗</w:t>
            </w:r>
            <w:r>
              <w:rPr>
                <w:rFonts w:hint="eastAsia" w:ascii="宋体" w:hAnsi="宋体" w:cs="宋体"/>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w:t>
            </w:r>
            <w:r>
              <w:rPr>
                <w:rFonts w:hint="eastAsia" w:ascii="宋体" w:hAnsi="宋体" w:cs="宋体"/>
                <w:b w:val="0"/>
                <w:bCs/>
                <w:color w:val="auto"/>
                <w:sz w:val="21"/>
                <w:szCs w:val="21"/>
                <w:highlight w:val="none"/>
                <w:lang w:val="en-US" w:eastAsia="zh-CN"/>
              </w:rPr>
              <w:t>投资者</w:t>
            </w:r>
            <w:r>
              <w:rPr>
                <w:rFonts w:hint="eastAsia" w:ascii="宋体" w:hAnsi="宋体" w:cs="宋体"/>
                <w:b w:val="0"/>
                <w:bCs/>
                <w:color w:val="auto"/>
                <w:sz w:val="21"/>
                <w:szCs w:val="21"/>
                <w:highlight w:val="none"/>
                <w:lang w:eastAsia="zh-CN"/>
              </w:rPr>
              <w:t>和机构</w:t>
            </w:r>
            <w:r>
              <w:rPr>
                <w:rFonts w:hint="eastAsia" w:ascii="宋体" w:hAnsi="宋体" w:cs="宋体"/>
                <w:b w:val="0"/>
                <w:bCs/>
                <w:color w:val="auto"/>
                <w:sz w:val="21"/>
                <w:szCs w:val="21"/>
                <w:highlight w:val="none"/>
                <w:lang w:val="en-US" w:eastAsia="zh-CN"/>
              </w:rPr>
              <w:t>投资者</w:t>
            </w:r>
            <w:r>
              <w:rPr>
                <w:rFonts w:hint="eastAsia" w:ascii="宋体" w:hAnsi="宋体" w:cs="宋体"/>
                <w:b w:val="0"/>
                <w:bCs/>
                <w:color w:val="auto"/>
                <w:sz w:val="21"/>
                <w:szCs w:val="21"/>
                <w:highlight w:val="none"/>
                <w:lang w:eastAsia="zh-CN"/>
              </w:rPr>
              <w:t>〗发售</w:t>
            </w:r>
            <w:r>
              <w:rPr>
                <w:rFonts w:hint="eastAsia" w:ascii="宋体" w:hAnsi="宋体" w:cs="宋体"/>
                <w:b w:val="0"/>
                <w:bCs/>
                <w:color w:val="auto"/>
                <w:sz w:val="21"/>
                <w:szCs w:val="21"/>
                <w:highlight w:val="none"/>
                <w:lang w:val="en-US" w:eastAsia="zh-CN"/>
              </w:rPr>
              <w:t>。</w:t>
            </w:r>
          </w:p>
          <w:p>
            <w:pPr>
              <w:widowControl/>
              <w:spacing w:line="360" w:lineRule="auto"/>
              <w:contextualSpacing/>
              <w:rPr>
                <w:rFonts w:hint="default" w:ascii="宋体" w:hAnsi="宋体" w:cs="宋体"/>
                <w:b w:val="0"/>
                <w:bCs/>
                <w:color w:val="auto"/>
                <w:sz w:val="21"/>
                <w:szCs w:val="21"/>
                <w:highlight w:val="none"/>
                <w:lang w:val="en-US" w:eastAsia="zh-CN"/>
              </w:rPr>
            </w:pPr>
            <w:r>
              <w:rPr>
                <w:rFonts w:hint="eastAsia" w:ascii="宋体" w:hAnsi="宋体" w:cs="宋体"/>
                <w:bCs/>
                <w:color w:val="auto"/>
                <w:sz w:val="21"/>
                <w:szCs w:val="21"/>
                <w:highlight w:val="none"/>
                <w:lang w:val="en-US" w:eastAsia="zh-CN"/>
              </w:rPr>
              <w:t>C份额（销售代码</w:t>
            </w:r>
            <w:r>
              <w:rPr>
                <w:rFonts w:hint="eastAsia" w:ascii="宋体" w:hAnsi="宋体" w:cs="宋体"/>
                <w:bCs/>
                <w:color w:val="auto"/>
                <w:sz w:val="21"/>
                <w:szCs w:val="21"/>
                <w:highlight w:val="none"/>
              </w:rPr>
              <w:t>〖</w:t>
            </w:r>
            <w:r>
              <w:rPr>
                <w:rFonts w:hint="eastAsia" w:ascii="宋体" w:hAnsi="宋体" w:cs="宋体"/>
                <w:color w:val="000000"/>
                <w:sz w:val="21"/>
                <w:szCs w:val="21"/>
                <w:highlight w:val="none"/>
                <w:lang w:val="en-US" w:eastAsia="zh-CN"/>
              </w:rPr>
              <w:t>TYGZC2609C</w:t>
            </w:r>
            <w:r>
              <w:rPr>
                <w:rFonts w:hint="eastAsia" w:ascii="宋体" w:hAnsi="宋体" w:cs="宋体"/>
                <w:bCs/>
                <w:color w:val="auto"/>
                <w:sz w:val="21"/>
                <w:szCs w:val="21"/>
                <w:highlight w:val="none"/>
              </w:rPr>
              <w:t>〗</w:t>
            </w:r>
            <w:r>
              <w:rPr>
                <w:rFonts w:hint="eastAsia" w:ascii="宋体" w:hAnsi="宋体" w:cs="宋体"/>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w:t>
            </w:r>
            <w:r>
              <w:rPr>
                <w:rFonts w:hint="eastAsia" w:ascii="宋体" w:hAnsi="宋体" w:cs="宋体"/>
                <w:b w:val="0"/>
                <w:bCs/>
                <w:color w:val="auto"/>
                <w:sz w:val="21"/>
                <w:szCs w:val="21"/>
                <w:highlight w:val="none"/>
                <w:lang w:val="en-US" w:eastAsia="zh-CN"/>
              </w:rPr>
              <w:t>投资者</w:t>
            </w:r>
            <w:r>
              <w:rPr>
                <w:rFonts w:hint="eastAsia" w:ascii="宋体" w:hAnsi="宋体" w:cs="宋体"/>
                <w:b w:val="0"/>
                <w:bCs/>
                <w:color w:val="auto"/>
                <w:sz w:val="21"/>
                <w:szCs w:val="21"/>
                <w:highlight w:val="none"/>
                <w:lang w:eastAsia="zh-CN"/>
              </w:rPr>
              <w:t>和机构</w:t>
            </w:r>
            <w:r>
              <w:rPr>
                <w:rFonts w:hint="eastAsia" w:ascii="宋体" w:hAnsi="宋体" w:cs="宋体"/>
                <w:b w:val="0"/>
                <w:bCs/>
                <w:color w:val="auto"/>
                <w:sz w:val="21"/>
                <w:szCs w:val="21"/>
                <w:highlight w:val="none"/>
                <w:lang w:val="en-US" w:eastAsia="zh-CN"/>
              </w:rPr>
              <w:t>投资者</w:t>
            </w:r>
            <w:r>
              <w:rPr>
                <w:rFonts w:hint="eastAsia" w:ascii="宋体" w:hAnsi="宋体" w:cs="宋体"/>
                <w:b w:val="0"/>
                <w:bCs/>
                <w:color w:val="auto"/>
                <w:sz w:val="21"/>
                <w:szCs w:val="21"/>
                <w:highlight w:val="none"/>
                <w:lang w:eastAsia="zh-CN"/>
              </w:rPr>
              <w:t>〗发售。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固定收益</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vAlign w:val="center"/>
          </w:tcPr>
          <w:p>
            <w:pPr>
              <w:widowControl/>
              <w:spacing w:line="360" w:lineRule="auto"/>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w:t>
            </w:r>
            <w:r>
              <w:rPr>
                <w:rFonts w:hint="eastAsia" w:ascii="宋体" w:hAnsi="宋体" w:cs="宋体"/>
                <w:sz w:val="21"/>
                <w:szCs w:val="21"/>
                <w:highlight w:val="none"/>
              </w:rPr>
              <w:t>〖</w:t>
            </w:r>
            <w:r>
              <w:rPr>
                <w:rFonts w:hint="eastAsia" w:ascii="宋体" w:hAnsi="宋体" w:cs="宋体"/>
                <w:color w:val="000000"/>
                <w:sz w:val="21"/>
                <w:szCs w:val="21"/>
                <w:highlight w:val="none"/>
              </w:rPr>
              <w:t>营业网点、网上银行、手机银行</w:t>
            </w:r>
            <w:r>
              <w:rPr>
                <w:rFonts w:hint="eastAsia" w:ascii="宋体" w:hAnsi="宋体" w:cs="宋体"/>
                <w:sz w:val="21"/>
                <w:szCs w:val="21"/>
                <w:highlight w:val="none"/>
              </w:rPr>
              <w:t>〗</w:t>
            </w:r>
            <w:r>
              <w:rPr>
                <w:rFonts w:hint="eastAsia" w:ascii="宋体" w:hAnsi="宋体" w:cs="宋体"/>
                <w:color w:val="000000"/>
                <w:sz w:val="21"/>
                <w:szCs w:val="21"/>
                <w:highlight w:val="none"/>
              </w:rPr>
              <w:t>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100</w:t>
            </w:r>
            <w:r>
              <w:rPr>
                <w:rFonts w:hint="eastAsia" w:ascii="宋体" w:hAnsi="宋体" w:cs="宋体"/>
                <w:color w:val="000000"/>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2026</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2026</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10</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2026</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11</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2026</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2026</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16</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bCs/>
                <w:color w:val="auto"/>
                <w:sz w:val="21"/>
                <w:szCs w:val="21"/>
                <w:highlight w:val="none"/>
                <w:lang w:val="en-US" w:eastAsia="zh-CN"/>
              </w:rPr>
              <w:t>A份额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0.01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sz w:val="21"/>
                <w:szCs w:val="21"/>
                <w:highlight w:val="none"/>
              </w:rPr>
              <w:t>〖</w:t>
            </w:r>
            <w:r>
              <w:rPr>
                <w:rFonts w:hint="eastAsia" w:ascii="宋体" w:hAnsi="宋体" w:cs="宋体"/>
                <w:bCs/>
                <w:color w:val="auto"/>
                <w:sz w:val="21"/>
                <w:szCs w:val="21"/>
                <w:highlight w:val="none"/>
                <w:lang w:val="en-US" w:eastAsia="zh-CN"/>
              </w:rPr>
              <w:t>C份额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0.01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sz w:val="21"/>
                <w:szCs w:val="21"/>
                <w:highlight w:val="none"/>
                <w:lang w:val="en-US" w:eastAsia="zh-CN"/>
              </w:rPr>
              <w:t>100</w:t>
            </w:r>
            <w:r>
              <w:rPr>
                <w:rFonts w:hint="eastAsia" w:ascii="宋体" w:hAnsi="宋体" w:cs="宋体"/>
                <w:sz w:val="21"/>
                <w:szCs w:val="21"/>
                <w:highlight w:val="none"/>
              </w:rPr>
              <w:t>〗</w:t>
            </w:r>
            <w:r>
              <w:rPr>
                <w:rFonts w:hint="eastAsia" w:ascii="宋体" w:hAnsi="宋体" w:cs="宋体"/>
                <w:color w:val="000000"/>
                <w:sz w:val="21"/>
                <w:szCs w:val="21"/>
                <w:highlight w:val="none"/>
              </w:rPr>
              <w:t>万元，则管理人可宣布本理财计划不成立并在原定理财计划成立日后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vAlign w:val="center"/>
          </w:tcPr>
          <w:p>
            <w:pPr>
              <w:widowControl/>
              <w:spacing w:line="360" w:lineRule="auto"/>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本</w:t>
            </w:r>
            <w:r>
              <w:rPr>
                <w:rFonts w:hint="eastAsia" w:ascii="宋体" w:hAnsi="宋体" w:cs="宋体"/>
                <w:color w:val="000000"/>
                <w:sz w:val="21"/>
                <w:szCs w:val="21"/>
                <w:highlight w:val="none"/>
              </w:rPr>
              <w:t>理财计划</w:t>
            </w:r>
            <w:r>
              <w:rPr>
                <w:rFonts w:hint="eastAsia" w:ascii="宋体" w:hAnsi="宋体" w:cs="宋体"/>
                <w:color w:val="000000"/>
                <w:sz w:val="21"/>
                <w:szCs w:val="21"/>
                <w:highlight w:val="none"/>
                <w:lang w:val="en-US" w:eastAsia="zh-CN"/>
              </w:rPr>
              <w:t>的开放期为</w:t>
            </w:r>
            <w:r>
              <w:rPr>
                <w:rFonts w:hint="eastAsia" w:ascii="宋体" w:hAnsi="宋体" w:cs="宋体"/>
                <w:sz w:val="21"/>
                <w:szCs w:val="21"/>
                <w:highlight w:val="none"/>
              </w:rPr>
              <w:t>〖封闭期后的每个交易日〗</w:t>
            </w:r>
            <w:r>
              <w:rPr>
                <w:rFonts w:hint="eastAsia" w:ascii="宋体" w:hAnsi="宋体" w:cs="宋体"/>
                <w:sz w:val="21"/>
                <w:szCs w:val="21"/>
                <w:highlight w:val="none"/>
                <w:lang w:eastAsia="zh-CN"/>
              </w:rPr>
              <w:t>。</w:t>
            </w:r>
            <w:r>
              <w:rPr>
                <w:rFonts w:hint="eastAsia" w:ascii="宋体" w:hAnsi="宋体" w:cs="宋体"/>
                <w:color w:val="000000"/>
                <w:sz w:val="21"/>
                <w:szCs w:val="21"/>
                <w:highlight w:val="none"/>
                <w:lang w:val="en-US" w:eastAsia="zh-CN"/>
              </w:rPr>
              <w:t>如遇开放确认日为非</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交易日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。如遇特殊情况，则以管理人公告为准。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持有期</w:t>
            </w:r>
          </w:p>
        </w:tc>
        <w:tc>
          <w:tcPr>
            <w:tcW w:w="7185" w:type="dxa"/>
            <w:vAlign w:val="center"/>
          </w:tcPr>
          <w:p>
            <w:pPr>
              <w:widowControl/>
              <w:spacing w:line="360" w:lineRule="auto"/>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本理财计划的持有期为</w:t>
            </w:r>
            <w:r>
              <w:rPr>
                <w:rFonts w:hint="eastAsia" w:ascii="宋体" w:hAnsi="宋体" w:cs="宋体"/>
                <w:sz w:val="21"/>
                <w:szCs w:val="21"/>
                <w:highlight w:val="none"/>
              </w:rPr>
              <w:t>〖</w:t>
            </w:r>
            <w:r>
              <w:rPr>
                <w:rFonts w:hint="eastAsia" w:ascii="宋体" w:hAnsi="宋体" w:cs="宋体"/>
                <w:sz w:val="21"/>
                <w:szCs w:val="21"/>
                <w:highlight w:val="none"/>
                <w:lang w:val="en-US" w:eastAsia="zh-CN"/>
              </w:rPr>
              <w:t>180</w:t>
            </w:r>
            <w:r>
              <w:rPr>
                <w:rFonts w:hint="eastAsia" w:ascii="宋体" w:hAnsi="宋体" w:cs="宋体"/>
                <w:sz w:val="21"/>
                <w:szCs w:val="21"/>
                <w:highlight w:val="none"/>
              </w:rPr>
              <w:t>〗</w:t>
            </w:r>
            <w:r>
              <w:rPr>
                <w:rFonts w:hint="eastAsia" w:ascii="宋体" w:hAnsi="宋体" w:cs="宋体"/>
                <w:sz w:val="21"/>
                <w:szCs w:val="21"/>
                <w:highlight w:val="none"/>
                <w:lang w:val="en-US" w:eastAsia="zh-CN"/>
              </w:rPr>
              <w:t>天，投资者认购/申购份额确认成功后，每一笔份额需自理财计划成立日（含）/确认日（含）起最低持有满</w:t>
            </w:r>
            <w:r>
              <w:rPr>
                <w:rFonts w:hint="eastAsia" w:ascii="宋体" w:hAnsi="宋体" w:cs="宋体"/>
                <w:sz w:val="21"/>
                <w:szCs w:val="21"/>
                <w:highlight w:val="none"/>
              </w:rPr>
              <w:t>〖</w:t>
            </w:r>
            <w:r>
              <w:rPr>
                <w:rFonts w:hint="eastAsia" w:ascii="宋体" w:hAnsi="宋体" w:cs="宋体"/>
                <w:sz w:val="21"/>
                <w:szCs w:val="21"/>
                <w:highlight w:val="none"/>
                <w:lang w:val="en-US" w:eastAsia="zh-CN"/>
              </w:rPr>
              <w:t>180</w:t>
            </w:r>
            <w:r>
              <w:rPr>
                <w:rFonts w:hint="eastAsia" w:ascii="宋体" w:hAnsi="宋体" w:cs="宋体"/>
                <w:sz w:val="21"/>
                <w:szCs w:val="21"/>
                <w:highlight w:val="none"/>
              </w:rPr>
              <w:t>〗</w:t>
            </w:r>
            <w:r>
              <w:rPr>
                <w:rFonts w:hint="eastAsia" w:ascii="宋体" w:hAnsi="宋体" w:cs="宋体"/>
                <w:sz w:val="21"/>
                <w:szCs w:val="21"/>
                <w:highlight w:val="none"/>
                <w:lang w:val="en-US" w:eastAsia="zh-CN"/>
              </w:rPr>
              <w:t>天后方可按规则申请赎回。如投资者多次购买理财计划，其中持有</w:t>
            </w:r>
            <w:r>
              <w:rPr>
                <w:rFonts w:hint="eastAsia" w:ascii="宋体" w:hAnsi="宋体" w:cs="宋体"/>
                <w:sz w:val="21"/>
                <w:szCs w:val="21"/>
                <w:highlight w:val="none"/>
              </w:rPr>
              <w:t>〖</w:t>
            </w:r>
            <w:r>
              <w:rPr>
                <w:rFonts w:hint="eastAsia" w:ascii="宋体" w:hAnsi="宋体" w:cs="宋体"/>
                <w:sz w:val="21"/>
                <w:szCs w:val="21"/>
                <w:highlight w:val="none"/>
                <w:lang w:val="en-US" w:eastAsia="zh-CN"/>
              </w:rPr>
              <w:t>180</w:t>
            </w:r>
            <w:r>
              <w:rPr>
                <w:rFonts w:hint="eastAsia" w:ascii="宋体" w:hAnsi="宋体" w:cs="宋体"/>
                <w:sz w:val="21"/>
                <w:szCs w:val="21"/>
                <w:highlight w:val="none"/>
              </w:rPr>
              <w:t>〗</w:t>
            </w:r>
            <w:r>
              <w:rPr>
                <w:rFonts w:hint="eastAsia" w:ascii="宋体" w:hAnsi="宋体" w:cs="宋体"/>
                <w:sz w:val="21"/>
                <w:szCs w:val="21"/>
                <w:highlight w:val="none"/>
                <w:lang w:val="en-US" w:eastAsia="zh-CN"/>
              </w:rPr>
              <w:t>天及以上的份额，可申请赎回；持有</w:t>
            </w:r>
            <w:r>
              <w:rPr>
                <w:rFonts w:hint="eastAsia" w:ascii="宋体" w:hAnsi="宋体" w:cs="宋体"/>
                <w:sz w:val="21"/>
                <w:szCs w:val="21"/>
                <w:highlight w:val="none"/>
              </w:rPr>
              <w:t>〖</w:t>
            </w:r>
            <w:r>
              <w:rPr>
                <w:rFonts w:hint="eastAsia" w:ascii="宋体" w:hAnsi="宋体" w:cs="宋体"/>
                <w:sz w:val="21"/>
                <w:szCs w:val="21"/>
                <w:highlight w:val="none"/>
                <w:lang w:val="en-US" w:eastAsia="zh-CN"/>
              </w:rPr>
              <w:t>180</w:t>
            </w:r>
            <w:r>
              <w:rPr>
                <w:rFonts w:hint="eastAsia" w:ascii="宋体" w:hAnsi="宋体" w:cs="宋体"/>
                <w:sz w:val="21"/>
                <w:szCs w:val="21"/>
                <w:highlight w:val="none"/>
              </w:rPr>
              <w:t>〗</w:t>
            </w:r>
            <w:r>
              <w:rPr>
                <w:rFonts w:hint="eastAsia" w:ascii="宋体" w:hAnsi="宋体" w:cs="宋体"/>
                <w:sz w:val="21"/>
                <w:szCs w:val="21"/>
                <w:highlight w:val="none"/>
                <w:lang w:val="en-US" w:eastAsia="zh-CN"/>
              </w:rPr>
              <w:t>天以内的份额，不可申请赎回。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1.本理财计划在每个开放期的开放日工作时间均可进行申购，申购申请将在确认日，即</w:t>
            </w:r>
            <w:r>
              <w:rPr>
                <w:rFonts w:hint="eastAsia" w:ascii="宋体" w:hAnsi="宋体" w:cs="宋体"/>
                <w:color w:val="000000"/>
                <w:sz w:val="21"/>
                <w:szCs w:val="21"/>
                <w:highlight w:val="none"/>
                <w:lang w:val="en-US" w:eastAsia="zh-CN"/>
              </w:rPr>
              <w:t>申购申请日</w:t>
            </w:r>
            <w:r>
              <w:rPr>
                <w:rFonts w:hint="eastAsia" w:ascii="宋体" w:hAnsi="宋体" w:cs="宋体"/>
                <w:color w:val="000000"/>
                <w:sz w:val="21"/>
                <w:szCs w:val="21"/>
                <w:highlight w:val="none"/>
              </w:rPr>
              <w:t>后的第</w:t>
            </w:r>
            <w:r>
              <w:rPr>
                <w:rFonts w:hint="eastAsia" w:ascii="宋体" w:hAnsi="宋体" w:cs="宋体"/>
                <w:sz w:val="21"/>
                <w:szCs w:val="21"/>
                <w:highlight w:val="none"/>
              </w:rPr>
              <w:t>〖1〗个〖</w:t>
            </w:r>
            <w:r>
              <w:rPr>
                <w:rFonts w:hint="eastAsia" w:ascii="宋体" w:hAnsi="宋体" w:cs="宋体"/>
                <w:bCs/>
                <w:sz w:val="21"/>
                <w:szCs w:val="21"/>
                <w:highlight w:val="none"/>
                <w:lang w:val="en-US" w:eastAsia="zh-CN"/>
              </w:rPr>
              <w:t>交易</w:t>
            </w:r>
            <w:r>
              <w:rPr>
                <w:rFonts w:hint="eastAsia" w:ascii="宋体" w:hAnsi="宋体" w:cs="宋体"/>
                <w:bCs/>
                <w:sz w:val="21"/>
                <w:szCs w:val="21"/>
                <w:highlight w:val="none"/>
              </w:rPr>
              <w:t>日</w:t>
            </w:r>
            <w:r>
              <w:rPr>
                <w:rFonts w:hint="eastAsia" w:ascii="宋体" w:hAnsi="宋体" w:cs="宋体"/>
                <w:sz w:val="21"/>
                <w:szCs w:val="21"/>
                <w:highlight w:val="none"/>
              </w:rPr>
              <w:t>〗</w:t>
            </w:r>
            <w:r>
              <w:rPr>
                <w:rFonts w:hint="eastAsia" w:ascii="宋体" w:hAnsi="宋体" w:cs="宋体"/>
                <w:bCs/>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cs="宋体"/>
                <w:sz w:val="21"/>
                <w:szCs w:val="21"/>
                <w:highlight w:val="none"/>
              </w:rPr>
              <w:t>〖</w:t>
            </w:r>
            <w:r>
              <w:rPr>
                <w:rFonts w:hint="eastAsia" w:ascii="宋体" w:hAnsi="宋体" w:cs="宋体"/>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满足最低持有期后，本理财计划在每个开放期的开放日工作时间均可进行赎回，赎回申请将在确认日，即赎回申请日后的第</w:t>
            </w:r>
            <w:r>
              <w:rPr>
                <w:rFonts w:hint="eastAsia" w:ascii="宋体" w:hAnsi="宋体" w:cs="宋体"/>
                <w:sz w:val="21"/>
                <w:szCs w:val="21"/>
                <w:highlight w:val="none"/>
              </w:rPr>
              <w:t>〖1〗个〖</w:t>
            </w:r>
            <w:r>
              <w:rPr>
                <w:rFonts w:hint="eastAsia" w:ascii="宋体" w:hAnsi="宋体" w:cs="宋体"/>
                <w:bCs/>
                <w:sz w:val="21"/>
                <w:szCs w:val="21"/>
                <w:highlight w:val="none"/>
                <w:lang w:val="en-US" w:eastAsia="zh-CN"/>
              </w:rPr>
              <w:t>交易</w:t>
            </w:r>
            <w:r>
              <w:rPr>
                <w:rFonts w:hint="eastAsia" w:ascii="宋体" w:hAnsi="宋体" w:cs="宋体"/>
                <w:bCs/>
                <w:sz w:val="21"/>
                <w:szCs w:val="21"/>
                <w:highlight w:val="none"/>
              </w:rPr>
              <w:t>日</w:t>
            </w:r>
            <w:r>
              <w:rPr>
                <w:rFonts w:hint="eastAsia" w:ascii="宋体" w:hAnsi="宋体" w:cs="宋体"/>
                <w:sz w:val="21"/>
                <w:szCs w:val="21"/>
                <w:highlight w:val="none"/>
              </w:rPr>
              <w:t>〗</w:t>
            </w:r>
            <w:r>
              <w:rPr>
                <w:rFonts w:hint="eastAsia" w:ascii="宋体" w:hAnsi="宋体" w:cs="宋体"/>
                <w:bCs/>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工作时间为每个〖</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日〗上午〖9:00〗至下午〖17:00〗。确认日如遇非〖</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4.在</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的</w:t>
            </w:r>
            <w:r>
              <w:rPr>
                <w:rFonts w:hint="eastAsia" w:ascii="宋体" w:hAnsi="宋体" w:cs="宋体"/>
                <w:color w:val="000000"/>
                <w:sz w:val="21"/>
                <w:szCs w:val="21"/>
                <w:highlight w:val="none"/>
              </w:rPr>
              <w:t>〖17:00〗</w:t>
            </w:r>
            <w:r>
              <w:rPr>
                <w:rFonts w:hint="eastAsia" w:ascii="宋体" w:hAnsi="宋体" w:cs="宋体"/>
                <w:bCs/>
                <w:color w:val="000000"/>
                <w:sz w:val="21"/>
                <w:szCs w:val="21"/>
                <w:highlight w:val="none"/>
                <w:lang w:val="en-US" w:eastAsia="zh-CN"/>
              </w:rPr>
              <w:t>之前提交的申购和赎回申请，申请日为提出申请当日；在</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bCs/>
                <w:color w:val="000000"/>
                <w:sz w:val="21"/>
                <w:szCs w:val="21"/>
                <w:highlight w:val="none"/>
                <w:lang w:val="en-US" w:eastAsia="zh-CN"/>
              </w:rPr>
              <w:t>的</w:t>
            </w:r>
            <w:r>
              <w:rPr>
                <w:rFonts w:hint="eastAsia" w:ascii="宋体" w:hAnsi="宋体" w:cs="宋体"/>
                <w:color w:val="000000"/>
                <w:sz w:val="21"/>
                <w:szCs w:val="21"/>
                <w:highlight w:val="none"/>
              </w:rPr>
              <w:t>〖17:00〗</w:t>
            </w:r>
            <w:r>
              <w:rPr>
                <w:rFonts w:hint="eastAsia" w:ascii="宋体" w:hAnsi="宋体" w:cs="宋体"/>
                <w:bCs/>
                <w:color w:val="000000"/>
                <w:sz w:val="21"/>
                <w:szCs w:val="21"/>
                <w:highlight w:val="none"/>
                <w:lang w:val="en-US" w:eastAsia="zh-CN"/>
              </w:rPr>
              <w:t>之后提交的申购和赎回申请，申请日为提出申请日的</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5.募集期/开放期内提交的交易申请，在理财计划成立日/确认日前一日下午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6.上述交易安排如有调整，请以管理人公告为准。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bookmarkStart w:id="0" w:name="OLE_LINK5"/>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bookmarkEnd w:id="0"/>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bCs/>
                <w:sz w:val="21"/>
                <w:szCs w:val="21"/>
                <w:highlight w:val="none"/>
              </w:rPr>
              <w:t>的单位净值</w:t>
            </w:r>
            <w:r>
              <w:rPr>
                <w:rFonts w:hint="eastAsia" w:ascii="宋体" w:hAnsi="宋体" w:cs="宋体"/>
                <w:bCs/>
                <w:sz w:val="21"/>
                <w:szCs w:val="21"/>
                <w:highlight w:val="none"/>
                <w:lang w:val="en-US" w:eastAsia="zh-CN"/>
              </w:rPr>
              <w:t>-浮动管理费（如有）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cs="宋体"/>
                <w:color w:val="000000"/>
                <w:sz w:val="21"/>
                <w:szCs w:val="21"/>
                <w:highlight w:val="none"/>
                <w:lang w:val="en-US" w:eastAsia="zh-CN"/>
              </w:rPr>
              <w:t>于确认日当日，</w:t>
            </w:r>
            <w:r>
              <w:rPr>
                <w:rFonts w:hint="eastAsia" w:ascii="宋体" w:hAnsi="宋体" w:cs="宋体"/>
                <w:color w:val="000000"/>
                <w:sz w:val="21"/>
                <w:szCs w:val="21"/>
                <w:highlight w:val="none"/>
              </w:rPr>
              <w:t>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2</w:t>
            </w:r>
            <w:r>
              <w:rPr>
                <w:rFonts w:hint="eastAsia" w:ascii="宋体" w:hAnsi="宋体" w:cs="宋体"/>
                <w:sz w:val="21"/>
                <w:szCs w:val="21"/>
                <w:highlight w:val="none"/>
              </w:rPr>
              <w:t>〗</w:t>
            </w:r>
            <w:r>
              <w:rPr>
                <w:rFonts w:hint="eastAsia" w:ascii="宋体" w:hAnsi="宋体" w:cs="宋体"/>
                <w:color w:val="000000"/>
                <w:sz w:val="21"/>
                <w:szCs w:val="21"/>
                <w:highlight w:val="none"/>
              </w:rPr>
              <w:t>个</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cs="宋体"/>
                <w:color w:val="000000"/>
                <w:sz w:val="21"/>
                <w:szCs w:val="21"/>
                <w:highlight w:val="none"/>
                <w:lang w:val="en-US" w:eastAsia="zh-CN"/>
              </w:rPr>
              <w:t>于确认日当日，</w:t>
            </w:r>
            <w:r>
              <w:rPr>
                <w:rFonts w:hint="eastAsia" w:ascii="宋体" w:hAnsi="宋体" w:cs="宋体"/>
                <w:color w:val="000000"/>
                <w:sz w:val="21"/>
                <w:szCs w:val="21"/>
                <w:highlight w:val="none"/>
              </w:rPr>
              <w:t>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2</w:t>
            </w:r>
            <w:r>
              <w:rPr>
                <w:rFonts w:hint="eastAsia" w:ascii="宋体" w:hAnsi="宋体" w:cs="宋体"/>
                <w:sz w:val="21"/>
                <w:szCs w:val="21"/>
                <w:highlight w:val="none"/>
              </w:rPr>
              <w:t>〗</w:t>
            </w:r>
            <w:r>
              <w:rPr>
                <w:rFonts w:hint="eastAsia" w:ascii="宋体" w:hAnsi="宋体" w:cs="宋体"/>
                <w:color w:val="000000"/>
                <w:sz w:val="21"/>
                <w:szCs w:val="21"/>
                <w:highlight w:val="none"/>
              </w:rPr>
              <w:t>个</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交易</w:t>
            </w:r>
            <w:r>
              <w:rPr>
                <w:rFonts w:hint="eastAsia" w:ascii="宋体" w:hAnsi="宋体" w:cs="宋体"/>
                <w:color w:val="000000"/>
                <w:sz w:val="21"/>
                <w:szCs w:val="21"/>
                <w:highlight w:val="none"/>
              </w:rPr>
              <w:t>日</w:t>
            </w:r>
            <w:r>
              <w:rPr>
                <w:rFonts w:hint="eastAsia" w:ascii="宋体" w:hAnsi="宋体" w:cs="宋体"/>
                <w:sz w:val="21"/>
                <w:szCs w:val="21"/>
                <w:highlight w:val="none"/>
              </w:rPr>
              <w:t>〗</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vAlign w:val="center"/>
          </w:tcPr>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sz w:val="21"/>
                <w:szCs w:val="21"/>
                <w:highlight w:val="none"/>
              </w:rPr>
              <w:t>本理财计划业绩比较基准为〖9</w:t>
            </w:r>
            <w:r>
              <w:rPr>
                <w:rFonts w:hint="eastAsia" w:ascii="宋体" w:hAnsi="宋体" w:cs="宋体"/>
                <w:sz w:val="21"/>
                <w:szCs w:val="21"/>
                <w:highlight w:val="none"/>
                <w:lang w:val="en-US" w:eastAsia="zh-CN"/>
              </w:rPr>
              <w:t>7</w:t>
            </w:r>
            <w:r>
              <w:rPr>
                <w:rFonts w:hint="eastAsia" w:ascii="宋体" w:hAnsi="宋体" w:cs="宋体"/>
                <w:sz w:val="21"/>
                <w:szCs w:val="21"/>
                <w:highlight w:val="none"/>
              </w:rPr>
              <w:t>%×中债-总财富（1-3年）指数</w:t>
            </w:r>
            <w:r>
              <w:rPr>
                <w:rFonts w:hint="eastAsia" w:ascii="宋体" w:hAnsi="宋体" w:cs="宋体"/>
                <w:sz w:val="21"/>
                <w:szCs w:val="21"/>
                <w:highlight w:val="none"/>
                <w:lang w:val="en-US" w:eastAsia="zh-CN"/>
              </w:rPr>
              <w:t>(CBA00321.CS)</w:t>
            </w:r>
            <w:r>
              <w:rPr>
                <w:rFonts w:hint="eastAsia" w:ascii="宋体" w:hAnsi="宋体" w:cs="宋体"/>
                <w:sz w:val="21"/>
                <w:szCs w:val="21"/>
                <w:highlight w:val="none"/>
              </w:rPr>
              <w:t>+</w:t>
            </w:r>
            <w:r>
              <w:rPr>
                <w:rFonts w:hint="eastAsia" w:ascii="宋体" w:hAnsi="宋体" w:cs="宋体"/>
                <w:sz w:val="21"/>
                <w:szCs w:val="21"/>
                <w:highlight w:val="none"/>
                <w:lang w:val="en-US" w:eastAsia="zh-CN"/>
              </w:rPr>
              <w:t>2</w:t>
            </w:r>
            <w:r>
              <w:rPr>
                <w:rFonts w:hint="eastAsia" w:ascii="宋体" w:hAnsi="宋体" w:cs="宋体"/>
                <w:sz w:val="21"/>
                <w:szCs w:val="21"/>
                <w:highlight w:val="none"/>
              </w:rPr>
              <w:t>%×沪深300指数</w:t>
            </w:r>
            <w:r>
              <w:rPr>
                <w:rFonts w:hint="eastAsia" w:ascii="宋体" w:hAnsi="宋体" w:cs="宋体"/>
                <w:sz w:val="21"/>
                <w:szCs w:val="21"/>
                <w:highlight w:val="none"/>
                <w:lang w:val="en-US" w:eastAsia="zh-CN"/>
              </w:rPr>
              <w:t>(000300.SH)</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%×黄金AU99.99收盘价收益率</w:t>
            </w:r>
            <w:r>
              <w:rPr>
                <w:rFonts w:hint="eastAsia" w:ascii="宋体" w:hAnsi="宋体" w:cs="宋体"/>
                <w:sz w:val="21"/>
                <w:szCs w:val="21"/>
                <w:highlight w:val="none"/>
                <w:lang w:val="en-US" w:eastAsia="zh-CN"/>
              </w:rPr>
              <w:t>(AU9999.SGE)</w:t>
            </w:r>
            <w:r>
              <w:rPr>
                <w:rFonts w:hint="eastAsia" w:ascii="宋体" w:hAnsi="宋体" w:cs="宋体"/>
                <w:sz w:val="21"/>
                <w:szCs w:val="21"/>
                <w:highlight w:val="none"/>
              </w:rPr>
              <w:t>〗（年化）（相关指数详情可登录中国债券信息网及万得资讯查询）。</w:t>
            </w:r>
          </w:p>
          <w:p>
            <w:pPr>
              <w:widowControl/>
              <w:spacing w:line="360" w:lineRule="auto"/>
              <w:contextualSpacing/>
              <w:rPr>
                <w:rFonts w:hint="eastAsia" w:ascii="宋体" w:hAnsi="宋体" w:cs="宋体"/>
                <w:b/>
                <w:bCs/>
                <w:sz w:val="21"/>
                <w:szCs w:val="21"/>
                <w:highlight w:val="none"/>
              </w:rPr>
            </w:pPr>
            <w:r>
              <w:rPr>
                <w:rFonts w:hint="eastAsia" w:ascii="宋体" w:hAnsi="宋体" w:cs="宋体"/>
                <w:b/>
                <w:bCs/>
                <w:sz w:val="21"/>
                <w:szCs w:val="21"/>
                <w:highlight w:val="none"/>
              </w:rPr>
              <w:t>业绩基准测算依据：本理财计划主要投资于固定收益类资产、权益类资产及其他类资产，权益类及其他类资产配置比例不超过</w:t>
            </w:r>
            <w:r>
              <w:rPr>
                <w:rFonts w:hint="eastAsia" w:ascii="宋体" w:hAnsi="宋体" w:cs="宋体"/>
                <w:b/>
                <w:bCs/>
                <w:sz w:val="21"/>
                <w:szCs w:val="21"/>
                <w:highlight w:val="none"/>
                <w:lang w:val="en-US" w:eastAsia="zh-CN"/>
              </w:rPr>
              <w:t>1</w:t>
            </w:r>
            <w:r>
              <w:rPr>
                <w:rFonts w:hint="eastAsia" w:ascii="宋体" w:hAnsi="宋体" w:cs="宋体"/>
                <w:b/>
                <w:bCs/>
                <w:sz w:val="21"/>
                <w:szCs w:val="21"/>
                <w:highlight w:val="none"/>
              </w:rPr>
              <w:t>0%。业绩比较基准根据理财计划投资策略、市场环境及综合费率等因素得出，可较为客观地衡量主动管理水平。</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vAlign w:val="center"/>
          </w:tcPr>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cs="宋体"/>
                <w:sz w:val="21"/>
                <w:szCs w:val="21"/>
                <w:highlight w:val="none"/>
              </w:rPr>
              <w:t>〖</w:t>
            </w:r>
            <w:r>
              <w:rPr>
                <w:rFonts w:hint="eastAsia" w:ascii="宋体" w:hAnsi="宋体" w:cs="宋体"/>
                <w:bCs/>
                <w:color w:val="auto"/>
                <w:sz w:val="21"/>
                <w:szCs w:val="21"/>
                <w:highlight w:val="none"/>
                <w:lang w:val="en-US" w:eastAsia="zh-CN"/>
              </w:rPr>
              <w:t>A份额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0.40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bCs/>
                <w:color w:val="auto"/>
                <w:sz w:val="21"/>
                <w:szCs w:val="21"/>
                <w:highlight w:val="none"/>
                <w:lang w:val="en-US" w:eastAsia="zh-CN"/>
              </w:rPr>
              <w:t>C份额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0.40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管理人根据理财计划投资情况计算浮动管理费，本理财计划</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A份额</w:t>
            </w:r>
            <w:r>
              <w:rPr>
                <w:rFonts w:hint="eastAsia" w:ascii="宋体" w:hAnsi="宋体" w:cs="宋体"/>
                <w:sz w:val="21"/>
                <w:szCs w:val="21"/>
                <w:highlight w:val="none"/>
              </w:rPr>
              <w:t>〗</w:t>
            </w:r>
            <w:bookmarkStart w:id="1" w:name="OLE_LINK4"/>
            <w:r>
              <w:rPr>
                <w:rFonts w:hint="eastAsia" w:ascii="宋体" w:hAnsi="宋体" w:cs="宋体"/>
                <w:color w:val="000000"/>
                <w:sz w:val="21"/>
                <w:szCs w:val="21"/>
                <w:highlight w:val="none"/>
                <w:lang w:val="en-US" w:eastAsia="zh-CN"/>
              </w:rPr>
              <w:t>投资者赎回份额</w:t>
            </w:r>
            <w:bookmarkStart w:id="2" w:name="OLE_LINK17"/>
            <w:r>
              <w:rPr>
                <w:rFonts w:hint="eastAsia" w:ascii="宋体" w:hAnsi="宋体" w:cs="宋体"/>
                <w:bCs/>
                <w:color w:val="000000"/>
                <w:sz w:val="21"/>
                <w:szCs w:val="21"/>
                <w:highlight w:val="none"/>
                <w:lang w:val="en-US" w:eastAsia="zh-CN"/>
              </w:rPr>
              <w:t>或持有至理财计划到期</w:t>
            </w:r>
            <w:bookmarkEnd w:id="2"/>
            <w:r>
              <w:rPr>
                <w:rFonts w:hint="eastAsia" w:ascii="宋体" w:hAnsi="宋体" w:cs="宋体"/>
                <w:color w:val="000000"/>
                <w:sz w:val="21"/>
                <w:szCs w:val="21"/>
                <w:highlight w:val="none"/>
                <w:lang w:val="en-US" w:eastAsia="zh-CN"/>
              </w:rPr>
              <w:t>对应的持有区间</w:t>
            </w:r>
            <w:r>
              <w:rPr>
                <w:rFonts w:hint="eastAsia" w:ascii="宋体" w:hAnsi="宋体" w:cs="宋体"/>
                <w:color w:val="000000"/>
                <w:sz w:val="21"/>
                <w:szCs w:val="21"/>
                <w:highlight w:val="none"/>
              </w:rPr>
              <w:t>的</w:t>
            </w:r>
            <w:bookmarkEnd w:id="1"/>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sz w:val="21"/>
                <w:szCs w:val="21"/>
                <w:highlight w:val="none"/>
                <w:lang w:val="en-US" w:eastAsia="zh-CN"/>
              </w:rPr>
              <w:t>3.50</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40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color w:val="000000"/>
                <w:sz w:val="21"/>
                <w:szCs w:val="21"/>
                <w:highlight w:val="none"/>
              </w:rPr>
              <w:t>本理财计划</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color w:val="000000"/>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投资者赎回份额</w:t>
            </w:r>
            <w:r>
              <w:rPr>
                <w:rFonts w:hint="eastAsia" w:ascii="宋体" w:hAnsi="宋体" w:cs="宋体"/>
                <w:bCs/>
                <w:color w:val="000000"/>
                <w:sz w:val="21"/>
                <w:szCs w:val="21"/>
                <w:highlight w:val="none"/>
                <w:lang w:val="en-US" w:eastAsia="zh-CN"/>
              </w:rPr>
              <w:t>或持有至理财计划到期</w:t>
            </w:r>
            <w:r>
              <w:rPr>
                <w:rFonts w:hint="eastAsia" w:ascii="宋体" w:hAnsi="宋体" w:cs="宋体"/>
                <w:color w:val="000000"/>
                <w:sz w:val="21"/>
                <w:szCs w:val="21"/>
                <w:highlight w:val="none"/>
                <w:lang w:val="en-US" w:eastAsia="zh-CN"/>
              </w:rPr>
              <w:t>对应的持有区间</w:t>
            </w:r>
            <w:r>
              <w:rPr>
                <w:rFonts w:hint="eastAsia" w:ascii="宋体" w:hAnsi="宋体" w:cs="宋体"/>
                <w:color w:val="000000"/>
                <w:sz w:val="21"/>
                <w:szCs w:val="21"/>
                <w:highlight w:val="none"/>
              </w:rPr>
              <w:t>的</w:t>
            </w:r>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sz w:val="21"/>
                <w:szCs w:val="21"/>
                <w:highlight w:val="none"/>
                <w:lang w:val="en-US" w:eastAsia="zh-CN"/>
              </w:rPr>
              <w:t>3.50</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40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color w:val="00000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vAlign w:val="center"/>
          </w:tcPr>
          <w:p>
            <w:pPr>
              <w:spacing w:line="360" w:lineRule="auto"/>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w:t>
      </w:r>
      <w:r>
        <w:rPr>
          <w:rFonts w:hint="eastAsia" w:ascii="宋体" w:hAnsi="宋体" w:cs="宋体"/>
          <w:bCs/>
          <w:color w:val="auto"/>
          <w:kern w:val="2"/>
          <w:sz w:val="24"/>
          <w:szCs w:val="24"/>
          <w:highlight w:val="none"/>
          <w:lang w:val="en-US" w:eastAsia="zh-CN" w:bidi="ar-SA"/>
        </w:rPr>
        <w:t>3</w:t>
      </w:r>
      <w:r>
        <w:rPr>
          <w:rFonts w:hint="eastAsia" w:ascii="宋体" w:hAnsi="宋体" w:eastAsia="宋体" w:cs="宋体"/>
          <w:bCs/>
          <w:color w:val="auto"/>
          <w:kern w:val="2"/>
          <w:sz w:val="24"/>
          <w:szCs w:val="24"/>
          <w:highlight w:val="none"/>
          <w:lang w:val="en-US" w:eastAsia="zh-CN" w:bidi="ar-SA"/>
        </w:rPr>
        <w:t>〗个月为建仓期，管理人应当在建仓期结束前使各项投资比例符合约定。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固定收益类资产：包括但不限于存款、货币市场金融工具、质押式买断式回购等高流动性资产以及各类债券、债券型基金、其他符合监管要求的固定收益类资产及资产管理产品。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w:t>
      </w:r>
      <w:r>
        <w:rPr>
          <w:rFonts w:hint="eastAsia" w:ascii="宋体" w:hAnsi="宋体" w:cs="宋体"/>
          <w:bCs/>
          <w:highlight w:val="none"/>
        </w:rPr>
        <w:t>包括国内发行上市的股票型基金、混合型基金、优先股、上市公司股票以及其他符合监管要求的权益类资产及资产管理产品</w:t>
      </w:r>
      <w:r>
        <w:rPr>
          <w:rFonts w:hint="eastAsia" w:ascii="宋体" w:hAnsi="宋体" w:cs="宋体"/>
          <w:bCs/>
          <w:sz w:val="24"/>
          <w:highlight w:val="none"/>
        </w:rPr>
        <w:t>（不包括未上市企业股权）。</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其他类资产：</w:t>
      </w:r>
      <w:r>
        <w:rPr>
          <w:rFonts w:hint="eastAsia" w:ascii="宋体" w:hAnsi="宋体" w:cs="宋体"/>
          <w:bCs/>
          <w:highlight w:val="none"/>
        </w:rPr>
        <w:t>包括其他符合监管要求的资产及资产管理产品。</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tcPr>
          <w:p>
            <w:pPr>
              <w:spacing w:line="360" w:lineRule="auto"/>
              <w:rPr>
                <w:rFonts w:ascii="宋体" w:hAnsi="宋体" w:cs="宋体"/>
                <w:bCs/>
                <w:sz w:val="21"/>
                <w:szCs w:val="21"/>
                <w:highlight w:val="none"/>
              </w:rPr>
            </w:pPr>
          </w:p>
        </w:tc>
        <w:tc>
          <w:tcPr>
            <w:tcW w:w="4740" w:type="dxa"/>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投资资产</w:t>
            </w:r>
          </w:p>
        </w:tc>
        <w:tc>
          <w:tcPr>
            <w:tcW w:w="1996" w:type="dxa"/>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大类资产类型</w:t>
            </w:r>
          </w:p>
        </w:tc>
        <w:tc>
          <w:tcPr>
            <w:tcW w:w="4740" w:type="dxa"/>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固定收益类资产</w:t>
            </w:r>
          </w:p>
        </w:tc>
        <w:tc>
          <w:tcPr>
            <w:tcW w:w="1996" w:type="dxa"/>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lang w:val="en-US" w:eastAsia="zh-CN"/>
              </w:rPr>
              <w:t>95</w:t>
            </w:r>
            <w:r>
              <w:rPr>
                <w:rFonts w:hint="eastAsia" w:ascii="宋体" w:hAnsi="宋体" w:cs="宋体"/>
                <w:bCs/>
                <w:sz w:val="21"/>
                <w:szCs w:val="21"/>
                <w:highlight w:val="none"/>
              </w:rPr>
              <w:t>%-</w:t>
            </w:r>
            <w:r>
              <w:rPr>
                <w:rFonts w:hint="eastAsia" w:ascii="宋体" w:hAnsi="宋体" w:cs="宋体"/>
                <w:bCs/>
                <w:sz w:val="21"/>
                <w:szCs w:val="21"/>
                <w:highlight w:val="none"/>
                <w:lang w:val="en-US" w:eastAsia="zh-CN"/>
              </w:rPr>
              <w:t>100</w:t>
            </w:r>
            <w:r>
              <w:rPr>
                <w:rFonts w:hint="eastAsia" w:ascii="宋体" w:hAnsi="宋体" w:cs="宋体"/>
                <w:bCs/>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vAlign w:val="center"/>
          </w:tcPr>
          <w:p>
            <w:pPr>
              <w:spacing w:line="360" w:lineRule="auto"/>
              <w:jc w:val="left"/>
              <w:rPr>
                <w:rFonts w:ascii="宋体" w:hAnsi="宋体" w:cs="宋体"/>
                <w:bCs/>
                <w:sz w:val="21"/>
                <w:szCs w:val="21"/>
                <w:highlight w:val="none"/>
              </w:rPr>
            </w:pPr>
          </w:p>
        </w:tc>
        <w:tc>
          <w:tcPr>
            <w:tcW w:w="4740" w:type="dxa"/>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权益类</w:t>
            </w:r>
            <w:r>
              <w:rPr>
                <w:rFonts w:hint="eastAsia" w:ascii="宋体" w:hAnsi="宋体" w:cs="宋体"/>
                <w:bCs/>
                <w:sz w:val="21"/>
                <w:szCs w:val="21"/>
                <w:highlight w:val="none"/>
                <w:lang w:val="en-US" w:eastAsia="zh-CN"/>
              </w:rPr>
              <w:t>及其他类</w:t>
            </w:r>
            <w:r>
              <w:rPr>
                <w:rFonts w:hint="eastAsia" w:ascii="宋体" w:hAnsi="宋体" w:cs="宋体"/>
                <w:bCs/>
                <w:sz w:val="21"/>
                <w:szCs w:val="21"/>
                <w:highlight w:val="none"/>
              </w:rPr>
              <w:t>资产</w:t>
            </w:r>
          </w:p>
        </w:tc>
        <w:tc>
          <w:tcPr>
            <w:tcW w:w="1996" w:type="dxa"/>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lang w:val="en-US" w:eastAsia="zh-CN"/>
              </w:rPr>
              <w:t>0</w:t>
            </w:r>
            <w:r>
              <w:rPr>
                <w:rFonts w:hint="eastAsia" w:ascii="宋体" w:hAnsi="宋体" w:cs="宋体"/>
                <w:bCs/>
                <w:sz w:val="21"/>
                <w:szCs w:val="21"/>
                <w:highlight w:val="none"/>
              </w:rPr>
              <w:t>%-</w:t>
            </w:r>
            <w:r>
              <w:rPr>
                <w:rFonts w:hint="eastAsia" w:ascii="宋体" w:hAnsi="宋体" w:cs="宋体"/>
                <w:bCs/>
                <w:sz w:val="21"/>
                <w:szCs w:val="21"/>
                <w:highlight w:val="none"/>
                <w:lang w:val="en-US" w:eastAsia="zh-CN"/>
              </w:rPr>
              <w:t>5</w:t>
            </w:r>
            <w:r>
              <w:rPr>
                <w:rFonts w:hint="eastAsia" w:ascii="宋体" w:hAnsi="宋体" w:cs="宋体"/>
                <w:bCs/>
                <w:sz w:val="21"/>
                <w:szCs w:val="21"/>
                <w:highlight w:val="none"/>
              </w:rPr>
              <w:t>%</w:t>
            </w:r>
          </w:p>
        </w:tc>
      </w:tr>
    </w:tbl>
    <w:p>
      <w:pPr>
        <w:pStyle w:val="23"/>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3"/>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3"/>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3"/>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23"/>
        <w:numPr>
          <w:ilvl w:val="0"/>
          <w:numId w:val="15"/>
        </w:numPr>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资产配置策略</w:t>
      </w:r>
    </w:p>
    <w:p>
      <w:pPr>
        <w:pStyle w:val="2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以风险平价模型为基础，</w:t>
      </w:r>
      <w:r>
        <w:rPr>
          <w:rFonts w:hint="eastAsia" w:ascii="宋体" w:hAnsi="宋体" w:cs="宋体"/>
          <w:bCs/>
          <w:color w:val="auto"/>
          <w:kern w:val="2"/>
          <w:highlight w:val="none"/>
        </w:rPr>
        <w:t>基于周期判断和相对性价比，从股、债、商品相对波动率角度，分配大类资产权重，确定资产配置的基础方案，降低波动率上行的资产的比例</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从而实现资产组合在不同市场环境下，均能获得较高的风险调整收益的投资目标</w:t>
      </w:r>
      <w:r>
        <w:rPr>
          <w:rFonts w:hint="eastAsia" w:ascii="宋体" w:hAnsi="宋体" w:cs="宋体"/>
          <w:bCs/>
          <w:color w:val="auto"/>
          <w:kern w:val="2"/>
          <w:highlight w:val="none"/>
        </w:rPr>
        <w:t>。</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固定收益类资产</w:t>
      </w:r>
      <w:r>
        <w:rPr>
          <w:rFonts w:hint="eastAsia" w:ascii="宋体" w:hAnsi="宋体" w:cs="宋体"/>
          <w:bCs/>
          <w:sz w:val="24"/>
          <w:highlight w:val="none"/>
        </w:rPr>
        <w:t>投资策略</w:t>
      </w:r>
    </w:p>
    <w:p>
      <w:pPr>
        <w:pStyle w:val="23"/>
        <w:adjustRightInd/>
        <w:spacing w:line="360" w:lineRule="auto"/>
        <w:ind w:firstLine="480" w:firstLineChars="200"/>
        <w:rPr>
          <w:rFonts w:hint="eastAsia" w:ascii="宋体" w:hAnsi="宋体" w:cs="宋体"/>
          <w:bCs/>
          <w:color w:val="auto"/>
          <w:kern w:val="2"/>
          <w:highlight w:val="none"/>
        </w:rPr>
      </w:pPr>
      <w:r>
        <w:rPr>
          <w:rFonts w:hint="eastAsia" w:ascii="宋体" w:hAnsi="宋体" w:eastAsia="宋体" w:cs="宋体"/>
          <w:bCs/>
          <w:color w:val="auto"/>
          <w:kern w:val="2"/>
          <w:sz w:val="24"/>
          <w:szCs w:val="24"/>
          <w:highlight w:val="none"/>
        </w:rPr>
        <w:t>通过利率-信用轮动框架进行投资。持续跟踪各项基本面和量价指标，结合市场流动性、风险偏好等因子对债券的久期、品种和仓位进行灵活调整，以获取超额收益</w:t>
      </w:r>
      <w:r>
        <w:rPr>
          <w:rFonts w:hint="eastAsia" w:ascii="宋体" w:hAnsi="宋体" w:cs="宋体"/>
          <w:bCs/>
          <w:color w:val="auto"/>
          <w:kern w:val="2"/>
          <w:highlight w:val="none"/>
        </w:rPr>
        <w:t>。</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权益类及其他类资产</w:t>
      </w:r>
      <w:r>
        <w:rPr>
          <w:rFonts w:hint="eastAsia" w:ascii="宋体" w:hAnsi="宋体" w:cs="宋体"/>
          <w:bCs/>
          <w:sz w:val="24"/>
          <w:highlight w:val="none"/>
        </w:rPr>
        <w:t>投资策略</w:t>
      </w:r>
    </w:p>
    <w:p>
      <w:pPr>
        <w:spacing w:line="360" w:lineRule="auto"/>
        <w:ind w:firstLine="480" w:firstLineChars="200"/>
        <w:jc w:val="left"/>
        <w:rPr>
          <w:rFonts w:hint="eastAsia" w:ascii="宋体" w:hAnsi="宋体" w:eastAsia="宋体" w:cs="宋体"/>
          <w:bCs/>
          <w:sz w:val="24"/>
          <w:highlight w:val="none"/>
          <w:lang w:val="en-US" w:eastAsia="zh-CN"/>
        </w:rPr>
      </w:pPr>
      <w:r>
        <w:rPr>
          <w:rFonts w:hint="eastAsia" w:ascii="宋体" w:hAnsi="宋体" w:eastAsia="宋体" w:cs="宋体"/>
          <w:bCs/>
          <w:color w:val="auto"/>
          <w:kern w:val="2"/>
          <w:highlight w:val="none"/>
        </w:rPr>
        <w:t>以风险预算策略给出的权益及其他类资产仓位为基础，结合基本面研究、量价研究，对权益及其他资产的比例和标的进行选择。权益及其他类资产投资范围主要包括中国及海外市场指数ETF、黄金ETF等</w:t>
      </w:r>
      <w:r>
        <w:rPr>
          <w:rFonts w:hint="eastAsia" w:ascii="宋体" w:hAnsi="宋体" w:cs="宋体"/>
          <w:bCs/>
          <w:sz w:val="24"/>
          <w:highlight w:val="none"/>
          <w:lang w:eastAsia="zh-CN"/>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 xml:space="preserve">a、c </w:t>
      </w:r>
      <w:r>
        <w:rPr>
          <w:rFonts w:hint="eastAsia" w:ascii="宋体" w:hAnsi="宋体" w:cs="宋体"/>
          <w:bCs/>
          <w:color w:val="000000"/>
          <w:sz w:val="24"/>
          <w:highlight w:val="none"/>
        </w:rPr>
        <w:t>】</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20"/>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托管人名称</w:t>
            </w:r>
          </w:p>
        </w:tc>
        <w:tc>
          <w:tcPr>
            <w:tcW w:w="5790" w:type="dxa"/>
          </w:tcPr>
          <w:p>
            <w:pPr>
              <w:spacing w:line="360" w:lineRule="auto"/>
              <w:jc w:val="left"/>
              <w:rPr>
                <w:rFonts w:ascii="宋体" w:hAnsi="宋体" w:cs="宋体"/>
                <w:bCs/>
                <w:sz w:val="21"/>
                <w:szCs w:val="21"/>
                <w:highlight w:val="none"/>
              </w:rPr>
            </w:pPr>
            <w:r>
              <w:rPr>
                <w:rFonts w:hint="eastAsia" w:ascii="宋体" w:hAnsi="宋体" w:cs="宋体"/>
                <w:bCs/>
                <w:sz w:val="21"/>
                <w:szCs w:val="21"/>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08" w:hRule="atLeast"/>
        </w:trPr>
        <w:tc>
          <w:tcPr>
            <w:tcW w:w="1740" w:type="dxa"/>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托管人住所</w:t>
            </w:r>
          </w:p>
        </w:tc>
        <w:tc>
          <w:tcPr>
            <w:tcW w:w="5790" w:type="dxa"/>
          </w:tcPr>
          <w:p>
            <w:pPr>
              <w:spacing w:line="360" w:lineRule="auto"/>
              <w:jc w:val="left"/>
              <w:rPr>
                <w:rFonts w:hint="eastAsia" w:ascii="宋体" w:hAnsi="宋体" w:cs="宋体"/>
                <w:bCs/>
                <w:sz w:val="21"/>
                <w:szCs w:val="21"/>
                <w:highlight w:val="none"/>
              </w:rPr>
            </w:pPr>
            <w:r>
              <w:rPr>
                <w:rFonts w:hint="eastAsia" w:ascii="宋体" w:hAnsi="宋体" w:cs="宋体"/>
                <w:bCs/>
                <w:sz w:val="21"/>
                <w:szCs w:val="21"/>
                <w:highlight w:val="none"/>
              </w:rPr>
              <w:t>杭州市</w:t>
            </w:r>
            <w:r>
              <w:rPr>
                <w:rFonts w:hint="eastAsia" w:ascii="宋体" w:hAnsi="宋体" w:cs="宋体"/>
                <w:bCs/>
                <w:sz w:val="21"/>
                <w:szCs w:val="21"/>
                <w:highlight w:val="none"/>
                <w:lang w:val="en-US" w:eastAsia="zh-CN"/>
              </w:rPr>
              <w:t>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托管人职责</w:t>
            </w:r>
          </w:p>
        </w:tc>
        <w:tc>
          <w:tcPr>
            <w:tcW w:w="5790" w:type="dxa"/>
          </w:tcPr>
          <w:p>
            <w:pPr>
              <w:spacing w:line="360" w:lineRule="auto"/>
              <w:jc w:val="left"/>
              <w:rPr>
                <w:rFonts w:hint="eastAsia" w:ascii="宋体" w:hAnsi="宋体" w:cs="宋体"/>
                <w:bCs/>
                <w:sz w:val="21"/>
                <w:szCs w:val="21"/>
                <w:highlight w:val="none"/>
              </w:rPr>
            </w:pPr>
            <w:r>
              <w:rPr>
                <w:rFonts w:hint="eastAsia" w:ascii="宋体" w:hAnsi="宋体" w:cs="宋体"/>
                <w:bCs/>
                <w:sz w:val="21"/>
                <w:szCs w:val="21"/>
                <w:highlight w:val="none"/>
              </w:rPr>
              <w:t>主要提供包括账户开立、资金保管、资金结算、估值核对等理财产品托管服务。</w:t>
            </w:r>
          </w:p>
        </w:tc>
      </w:tr>
    </w:tbl>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802" w:type="dxa"/>
        <w:tblInd w:w="3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2475"/>
        <w:gridCol w:w="1155"/>
        <w:gridCol w:w="3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vMerge w:val="restart"/>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销售机构信息</w:t>
            </w:r>
          </w:p>
        </w:tc>
        <w:tc>
          <w:tcPr>
            <w:tcW w:w="2475" w:type="dxa"/>
            <w:vMerge w:val="restart"/>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杭州银行股份有限公司</w:t>
            </w:r>
          </w:p>
        </w:tc>
        <w:tc>
          <w:tcPr>
            <w:tcW w:w="1155" w:type="dxa"/>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住所</w:t>
            </w:r>
          </w:p>
        </w:tc>
        <w:tc>
          <w:tcPr>
            <w:tcW w:w="3210" w:type="dxa"/>
            <w:vAlign w:val="center"/>
          </w:tcPr>
          <w:p>
            <w:pPr>
              <w:spacing w:line="360" w:lineRule="auto"/>
              <w:jc w:val="left"/>
              <w:rPr>
                <w:rFonts w:hint="eastAsia" w:ascii="宋体" w:hAnsi="宋体" w:cs="宋体"/>
                <w:bCs/>
                <w:sz w:val="21"/>
                <w:szCs w:val="21"/>
                <w:highlight w:val="none"/>
              </w:rPr>
            </w:pPr>
            <w:r>
              <w:rPr>
                <w:rFonts w:hint="eastAsia" w:ascii="宋体" w:hAnsi="宋体" w:cs="宋体"/>
                <w:bCs/>
                <w:sz w:val="21"/>
                <w:szCs w:val="21"/>
                <w:highlight w:val="none"/>
              </w:rPr>
              <w:t>杭州市</w:t>
            </w:r>
            <w:r>
              <w:rPr>
                <w:rFonts w:hint="eastAsia" w:ascii="宋体" w:hAnsi="宋体" w:cs="宋体"/>
                <w:bCs/>
                <w:sz w:val="21"/>
                <w:szCs w:val="21"/>
                <w:highlight w:val="none"/>
                <w:lang w:val="en-US" w:eastAsia="zh-CN"/>
              </w:rPr>
              <w:t>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vMerge w:val="continue"/>
          </w:tcPr>
          <w:p>
            <w:pPr>
              <w:spacing w:line="360" w:lineRule="auto"/>
              <w:jc w:val="left"/>
              <w:rPr>
                <w:rFonts w:hint="eastAsia" w:ascii="宋体" w:hAnsi="宋体" w:cs="宋体"/>
                <w:bCs/>
                <w:sz w:val="21"/>
                <w:szCs w:val="21"/>
                <w:highlight w:val="none"/>
              </w:rPr>
            </w:pPr>
          </w:p>
        </w:tc>
        <w:tc>
          <w:tcPr>
            <w:tcW w:w="2475" w:type="dxa"/>
            <w:vMerge w:val="continue"/>
            <w:vAlign w:val="center"/>
          </w:tcPr>
          <w:p>
            <w:pPr>
              <w:spacing w:line="360" w:lineRule="auto"/>
              <w:jc w:val="center"/>
              <w:rPr>
                <w:rFonts w:hint="eastAsia" w:ascii="宋体" w:hAnsi="宋体" w:cs="宋体"/>
                <w:bCs/>
                <w:sz w:val="21"/>
                <w:szCs w:val="21"/>
                <w:highlight w:val="none"/>
              </w:rPr>
            </w:pPr>
          </w:p>
        </w:tc>
        <w:tc>
          <w:tcPr>
            <w:tcW w:w="1155" w:type="dxa"/>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客服热线</w:t>
            </w:r>
          </w:p>
        </w:tc>
        <w:tc>
          <w:tcPr>
            <w:tcW w:w="3210" w:type="dxa"/>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vMerge w:val="continue"/>
          </w:tcPr>
          <w:p>
            <w:pPr>
              <w:spacing w:line="360" w:lineRule="auto"/>
              <w:jc w:val="left"/>
              <w:rPr>
                <w:rFonts w:hint="eastAsia" w:ascii="宋体" w:hAnsi="宋体" w:cs="宋体"/>
                <w:bCs/>
                <w:sz w:val="21"/>
                <w:szCs w:val="21"/>
                <w:highlight w:val="none"/>
              </w:rPr>
            </w:pPr>
          </w:p>
        </w:tc>
        <w:tc>
          <w:tcPr>
            <w:tcW w:w="2475" w:type="dxa"/>
            <w:vMerge w:val="restart"/>
            <w:vAlign w:val="center"/>
          </w:tcPr>
          <w:p>
            <w:pPr>
              <w:spacing w:line="360" w:lineRule="auto"/>
              <w:jc w:val="center"/>
              <w:rPr>
                <w:rFonts w:hint="eastAsia" w:ascii="宋体" w:hAnsi="宋体" w:cs="宋体"/>
                <w:bCs/>
                <w:sz w:val="21"/>
                <w:szCs w:val="21"/>
                <w:highlight w:val="none"/>
              </w:rPr>
            </w:pPr>
            <w:r>
              <w:rPr>
                <w:rFonts w:hint="eastAsia" w:ascii="宋体" w:hAnsi="宋体" w:cs="宋体"/>
                <w:bCs/>
                <w:sz w:val="21"/>
                <w:szCs w:val="18"/>
                <w:highlight w:val="none"/>
              </w:rPr>
              <w:t>杭银理财有限责任公司</w:t>
            </w:r>
          </w:p>
        </w:tc>
        <w:tc>
          <w:tcPr>
            <w:tcW w:w="1155" w:type="dxa"/>
            <w:vAlign w:val="center"/>
          </w:tcPr>
          <w:p>
            <w:pPr>
              <w:spacing w:line="360" w:lineRule="auto"/>
              <w:jc w:val="center"/>
              <w:rPr>
                <w:rFonts w:hint="eastAsia" w:ascii="宋体" w:hAnsi="宋体" w:cs="宋体"/>
                <w:bCs/>
                <w:sz w:val="21"/>
                <w:szCs w:val="21"/>
                <w:highlight w:val="none"/>
              </w:rPr>
            </w:pPr>
            <w:r>
              <w:rPr>
                <w:rFonts w:hint="eastAsia" w:ascii="宋体" w:hAnsi="宋体" w:cs="宋体"/>
                <w:bCs/>
                <w:sz w:val="21"/>
                <w:szCs w:val="18"/>
                <w:highlight w:val="none"/>
              </w:rPr>
              <w:t>住所</w:t>
            </w:r>
          </w:p>
        </w:tc>
        <w:tc>
          <w:tcPr>
            <w:tcW w:w="3210" w:type="dxa"/>
            <w:vAlign w:val="center"/>
          </w:tcPr>
          <w:p>
            <w:pPr>
              <w:spacing w:line="360" w:lineRule="auto"/>
              <w:jc w:val="center"/>
              <w:rPr>
                <w:rFonts w:hint="eastAsia" w:ascii="宋体" w:hAnsi="宋体" w:cs="宋体"/>
                <w:bCs/>
                <w:sz w:val="21"/>
                <w:szCs w:val="21"/>
                <w:highlight w:val="none"/>
              </w:rPr>
            </w:pPr>
            <w:r>
              <w:rPr>
                <w:rFonts w:hint="eastAsia" w:ascii="宋体" w:hAnsi="宋体" w:cs="宋体"/>
                <w:bCs/>
                <w:sz w:val="21"/>
                <w:szCs w:val="18"/>
                <w:highlight w:val="none"/>
              </w:rPr>
              <w:t>杭州市拱墅区庆春路38号金龙财富中心</w:t>
            </w:r>
            <w:r>
              <w:rPr>
                <w:rFonts w:hint="eastAsia" w:ascii="宋体" w:hAnsi="宋体" w:cs="宋体"/>
                <w:bCs/>
                <w:sz w:val="21"/>
                <w:szCs w:val="18"/>
                <w:highlight w:val="none"/>
                <w:lang w:val="en-US" w:eastAsia="zh-CN"/>
              </w:rPr>
              <w:t>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vMerge w:val="continue"/>
          </w:tcPr>
          <w:p>
            <w:pPr>
              <w:spacing w:line="360" w:lineRule="auto"/>
              <w:jc w:val="left"/>
              <w:rPr>
                <w:rFonts w:hint="eastAsia" w:ascii="宋体" w:hAnsi="宋体" w:cs="宋体"/>
                <w:bCs/>
                <w:sz w:val="21"/>
                <w:szCs w:val="21"/>
                <w:highlight w:val="none"/>
              </w:rPr>
            </w:pPr>
          </w:p>
        </w:tc>
        <w:tc>
          <w:tcPr>
            <w:tcW w:w="2475" w:type="dxa"/>
            <w:vMerge w:val="continue"/>
            <w:vAlign w:val="center"/>
          </w:tcPr>
          <w:p>
            <w:pPr>
              <w:spacing w:line="360" w:lineRule="auto"/>
              <w:jc w:val="center"/>
              <w:rPr>
                <w:rFonts w:hint="eastAsia" w:ascii="宋体" w:hAnsi="宋体" w:cs="宋体"/>
                <w:bCs/>
                <w:sz w:val="21"/>
                <w:szCs w:val="21"/>
                <w:highlight w:val="none"/>
              </w:rPr>
            </w:pPr>
          </w:p>
        </w:tc>
        <w:tc>
          <w:tcPr>
            <w:tcW w:w="1155" w:type="dxa"/>
            <w:vAlign w:val="center"/>
          </w:tcPr>
          <w:p>
            <w:pPr>
              <w:spacing w:line="360" w:lineRule="auto"/>
              <w:jc w:val="center"/>
              <w:rPr>
                <w:rFonts w:hint="eastAsia" w:ascii="宋体" w:hAnsi="宋体" w:cs="宋体"/>
                <w:bCs/>
                <w:sz w:val="21"/>
                <w:szCs w:val="21"/>
                <w:highlight w:val="none"/>
              </w:rPr>
            </w:pPr>
            <w:r>
              <w:rPr>
                <w:rFonts w:hint="eastAsia" w:ascii="宋体" w:hAnsi="宋体" w:cs="宋体"/>
                <w:bCs/>
                <w:sz w:val="21"/>
                <w:szCs w:val="18"/>
                <w:highlight w:val="none"/>
              </w:rPr>
              <w:t>客服热线</w:t>
            </w:r>
          </w:p>
        </w:tc>
        <w:tc>
          <w:tcPr>
            <w:tcW w:w="3210" w:type="dxa"/>
            <w:vAlign w:val="center"/>
          </w:tcPr>
          <w:p>
            <w:pPr>
              <w:spacing w:line="360" w:lineRule="auto"/>
              <w:jc w:val="center"/>
              <w:rPr>
                <w:rFonts w:hint="eastAsia" w:ascii="宋体" w:hAnsi="宋体" w:cs="宋体"/>
                <w:bCs/>
                <w:sz w:val="21"/>
                <w:szCs w:val="21"/>
                <w:highlight w:val="none"/>
              </w:rPr>
            </w:pPr>
            <w:r>
              <w:rPr>
                <w:rFonts w:hint="eastAsia" w:ascii="宋体" w:hAnsi="宋体" w:cs="宋体"/>
                <w:bCs/>
                <w:sz w:val="21"/>
                <w:szCs w:val="18"/>
                <w:highlight w:val="none"/>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vAlign w:val="center"/>
          </w:tcPr>
          <w:p>
            <w:pPr>
              <w:spacing w:line="360" w:lineRule="auto"/>
              <w:jc w:val="center"/>
              <w:rPr>
                <w:rFonts w:ascii="宋体" w:hAnsi="宋体" w:cs="宋体"/>
                <w:bCs/>
                <w:sz w:val="21"/>
                <w:szCs w:val="21"/>
                <w:highlight w:val="none"/>
              </w:rPr>
            </w:pPr>
            <w:r>
              <w:rPr>
                <w:rFonts w:hint="eastAsia" w:ascii="宋体" w:hAnsi="宋体" w:cs="宋体"/>
                <w:bCs/>
                <w:sz w:val="21"/>
                <w:szCs w:val="21"/>
                <w:highlight w:val="none"/>
              </w:rPr>
              <w:t>销售机构职责</w:t>
            </w:r>
          </w:p>
        </w:tc>
        <w:tc>
          <w:tcPr>
            <w:tcW w:w="6840" w:type="dxa"/>
            <w:gridSpan w:val="3"/>
          </w:tcPr>
          <w:p>
            <w:pPr>
              <w:spacing w:line="360" w:lineRule="auto"/>
              <w:jc w:val="left"/>
              <w:rPr>
                <w:rFonts w:hint="eastAsia" w:ascii="宋体" w:hAnsi="宋体" w:cs="宋体"/>
                <w:bCs/>
                <w:sz w:val="21"/>
                <w:szCs w:val="21"/>
                <w:highlight w:val="none"/>
              </w:rPr>
            </w:pPr>
            <w:r>
              <w:rPr>
                <w:rFonts w:hint="eastAsia" w:ascii="宋体" w:hAnsi="宋体" w:cs="宋体"/>
                <w:bCs/>
                <w:sz w:val="21"/>
                <w:szCs w:val="21"/>
                <w:highlight w:val="none"/>
              </w:rPr>
              <w:t>主要负责理财计划推广、投资者风险承受能力评估、投资者适当性管理、理财计划份额认购、申购及赎回办理。</w:t>
            </w:r>
          </w:p>
          <w:p>
            <w:pPr>
              <w:spacing w:line="360" w:lineRule="auto"/>
              <w:jc w:val="left"/>
              <w:rPr>
                <w:rFonts w:ascii="宋体" w:hAnsi="宋体" w:cs="宋体"/>
                <w:bCs/>
                <w:sz w:val="21"/>
                <w:szCs w:val="21"/>
                <w:highlight w:val="none"/>
              </w:rPr>
            </w:pPr>
            <w:r>
              <w:rPr>
                <w:rFonts w:hint="eastAsia" w:ascii="宋体" w:hAnsi="宋体" w:cs="宋体"/>
                <w:bCs/>
                <w:sz w:val="21"/>
                <w:szCs w:val="21"/>
                <w:highlight w:val="none"/>
              </w:rPr>
              <w:t>协助管理人负责与投资者签订理财计划合同、与投资者沟通及进行信息披露、接受投资者咨询和维护等销售服务。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3"/>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3"/>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3"/>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3"/>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3"/>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理财计划财产的年化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理财计划财产的年化固定管理费率为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0.40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0.40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3"/>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33"/>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bookmarkStart w:id="3" w:name="OLE_LINK13"/>
      <w:bookmarkStart w:id="4" w:name="OLE_LINK11"/>
      <w:bookmarkStart w:id="5" w:name="OLE_LINK2"/>
      <w:r>
        <w:rPr>
          <w:rFonts w:hint="eastAsia" w:ascii="宋体" w:hAnsi="宋体" w:cs="宋体"/>
          <w:bCs/>
          <w:color w:val="000000"/>
          <w:sz w:val="24"/>
          <w:highlight w:val="none"/>
        </w:rPr>
        <w:t>理财管理人根据理财计划投资情况计算浮动管理费，本理财计划</w:t>
      </w:r>
      <w:r>
        <w:rPr>
          <w:rFonts w:hint="eastAsia" w:ascii="宋体" w:hAnsi="宋体" w:cs="宋体"/>
          <w:szCs w:val="21"/>
          <w:highlight w:val="none"/>
        </w:rPr>
        <w:t>〖</w:t>
      </w:r>
      <w:r>
        <w:rPr>
          <w:rFonts w:hint="eastAsia" w:ascii="宋体" w:hAnsi="宋体" w:cs="宋体"/>
          <w:szCs w:val="21"/>
          <w:highlight w:val="none"/>
          <w:lang w:val="en-US" w:eastAsia="zh-CN"/>
        </w:rPr>
        <w:t>A份额</w:t>
      </w:r>
      <w:r>
        <w:rPr>
          <w:rFonts w:hint="eastAsia" w:ascii="宋体" w:hAnsi="宋体" w:cs="宋体"/>
          <w:szCs w:val="21"/>
          <w:highlight w:val="none"/>
        </w:rPr>
        <w:t>〗</w:t>
      </w:r>
      <w:bookmarkStart w:id="6" w:name="OLE_LINK7"/>
      <w:r>
        <w:rPr>
          <w:rFonts w:hint="eastAsia" w:ascii="宋体" w:hAnsi="宋体" w:cs="宋体"/>
          <w:bCs/>
          <w:color w:val="000000"/>
          <w:sz w:val="24"/>
          <w:highlight w:val="none"/>
          <w:lang w:val="en-US" w:eastAsia="zh-CN"/>
        </w:rPr>
        <w:t>投资者赎回份额</w:t>
      </w:r>
      <w:bookmarkStart w:id="7" w:name="OLE_LINK12"/>
      <w:r>
        <w:rPr>
          <w:rFonts w:hint="eastAsia" w:ascii="宋体" w:hAnsi="宋体" w:cs="宋体"/>
          <w:bCs/>
          <w:color w:val="000000"/>
          <w:sz w:val="24"/>
          <w:highlight w:val="none"/>
          <w:lang w:val="en-US" w:eastAsia="zh-CN"/>
        </w:rPr>
        <w:t>或持有至理财计划到期</w:t>
      </w:r>
      <w:bookmarkEnd w:id="7"/>
      <w:r>
        <w:rPr>
          <w:rFonts w:hint="eastAsia" w:ascii="宋体" w:hAnsi="宋体" w:cs="宋体"/>
          <w:bCs/>
          <w:color w:val="000000"/>
          <w:sz w:val="24"/>
          <w:highlight w:val="none"/>
          <w:lang w:val="en-US" w:eastAsia="zh-CN"/>
        </w:rPr>
        <w:t>对应的持有区间</w:t>
      </w:r>
      <w:r>
        <w:rPr>
          <w:rFonts w:hint="eastAsia" w:ascii="宋体" w:hAnsi="宋体" w:cs="宋体"/>
          <w:bCs/>
          <w:color w:val="000000"/>
          <w:sz w:val="24"/>
          <w:highlight w:val="none"/>
        </w:rPr>
        <w:t>的</w:t>
      </w:r>
      <w:bookmarkEnd w:id="6"/>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szCs w:val="21"/>
          <w:highlight w:val="none"/>
          <w:lang w:val="en-US" w:eastAsia="zh-CN"/>
        </w:rPr>
        <w:t>3.50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40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w:t>
      </w:r>
      <w:bookmarkStart w:id="8" w:name="OLE_LINK8"/>
      <w:r>
        <w:rPr>
          <w:rFonts w:hint="eastAsia" w:ascii="宋体" w:hAnsi="宋体" w:cs="宋体"/>
          <w:bCs/>
          <w:color w:val="000000"/>
          <w:sz w:val="24"/>
          <w:highlight w:val="none"/>
          <w:lang w:val="en-US" w:eastAsia="zh-CN"/>
        </w:rPr>
        <w:t>份额赎回</w:t>
      </w:r>
      <w:bookmarkStart w:id="9" w:name="OLE_LINK18"/>
      <w:r>
        <w:rPr>
          <w:rFonts w:hint="eastAsia" w:ascii="宋体" w:hAnsi="宋体" w:cs="宋体"/>
          <w:bCs/>
          <w:color w:val="000000"/>
          <w:sz w:val="24"/>
          <w:highlight w:val="none"/>
          <w:lang w:val="en-US" w:eastAsia="zh-CN"/>
        </w:rPr>
        <w:t>或理财计划到期</w:t>
      </w:r>
      <w:bookmarkEnd w:id="9"/>
      <w:r>
        <w:rPr>
          <w:rFonts w:hint="eastAsia" w:ascii="宋体" w:hAnsi="宋体" w:cs="宋体"/>
          <w:bCs/>
          <w:color w:val="000000"/>
          <w:sz w:val="24"/>
          <w:highlight w:val="none"/>
        </w:rPr>
        <w:t>后收取</w:t>
      </w:r>
      <w:bookmarkEnd w:id="8"/>
      <w:r>
        <w:rPr>
          <w:rFonts w:hint="eastAsia" w:ascii="宋体" w:hAnsi="宋体" w:cs="宋体"/>
          <w:bCs/>
          <w:color w:val="000000"/>
          <w:sz w:val="24"/>
          <w:highlight w:val="none"/>
        </w:rPr>
        <w:t>。</w:t>
      </w:r>
      <w:bookmarkStart w:id="10" w:name="OLE_LINK9"/>
      <w:r>
        <w:rPr>
          <w:rFonts w:hint="eastAsia" w:ascii="宋体" w:hAnsi="宋体" w:cs="宋体"/>
          <w:bCs/>
          <w:color w:val="000000"/>
          <w:sz w:val="24"/>
          <w:highlight w:val="none"/>
          <w:lang w:val="en-US" w:eastAsia="zh-CN"/>
        </w:rPr>
        <w:t>若持有区间</w:t>
      </w:r>
      <w:bookmarkEnd w:id="10"/>
      <w:r>
        <w:rPr>
          <w:rFonts w:hint="eastAsia" w:ascii="宋体" w:hAnsi="宋体" w:cs="宋体"/>
          <w:bCs/>
          <w:color w:val="000000"/>
          <w:sz w:val="24"/>
          <w:highlight w:val="none"/>
        </w:rPr>
        <w:t>的折合年化收益率若小于或等于</w:t>
      </w:r>
      <w:r>
        <w:rPr>
          <w:rFonts w:hint="eastAsia" w:ascii="宋体" w:hAnsi="宋体" w:cs="宋体"/>
          <w:szCs w:val="21"/>
          <w:highlight w:val="none"/>
        </w:rPr>
        <w:t>〖</w:t>
      </w:r>
      <w:r>
        <w:rPr>
          <w:rFonts w:hint="eastAsia" w:ascii="宋体" w:hAnsi="宋体" w:cs="宋体"/>
          <w:szCs w:val="21"/>
          <w:highlight w:val="none"/>
          <w:lang w:val="en-US" w:eastAsia="zh-CN"/>
        </w:rPr>
        <w:t>3.50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以</w:t>
      </w:r>
      <w:r>
        <w:rPr>
          <w:rFonts w:hint="eastAsia" w:ascii="宋体" w:hAnsi="宋体" w:cs="宋体"/>
          <w:sz w:val="24"/>
          <w:szCs w:val="24"/>
          <w:highlight w:val="none"/>
        </w:rPr>
        <w:t>〖</w:t>
      </w:r>
      <w:r>
        <w:rPr>
          <w:rFonts w:hint="eastAsia" w:ascii="宋体" w:hAnsi="宋体" w:cs="宋体"/>
          <w:color w:val="000000"/>
          <w:sz w:val="24"/>
          <w:szCs w:val="24"/>
          <w:highlight w:val="none"/>
          <w:lang w:val="en-US" w:eastAsia="zh-CN"/>
        </w:rPr>
        <w:t>A份额</w:t>
      </w:r>
      <w:r>
        <w:rPr>
          <w:rFonts w:hint="eastAsia" w:ascii="宋体" w:hAnsi="宋体" w:cs="宋体"/>
          <w:sz w:val="24"/>
          <w:szCs w:val="24"/>
          <w:highlight w:val="none"/>
        </w:rPr>
        <w:t>〗</w:t>
      </w:r>
      <w:r>
        <w:rPr>
          <w:rFonts w:hint="eastAsia" w:ascii="宋体" w:hAnsi="宋体" w:cs="宋体"/>
          <w:sz w:val="24"/>
          <w:szCs w:val="24"/>
          <w:highlight w:val="none"/>
          <w:lang w:eastAsia="zh-CN"/>
        </w:rPr>
        <w:t>为例，</w:t>
      </w:r>
      <w:r>
        <w:rPr>
          <w:rFonts w:hint="eastAsia" w:ascii="宋体" w:hAnsi="宋体" w:cs="宋体"/>
          <w:bCs/>
          <w:color w:val="000000"/>
          <w:sz w:val="24"/>
          <w:highlight w:val="none"/>
        </w:rPr>
        <w:t>具体计算方法如下：</w:t>
      </w:r>
      <w:bookmarkEnd w:id="3"/>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40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赎回/理财计划到期</w:t>
      </w:r>
      <w:r>
        <w:rPr>
          <w:rFonts w:hint="eastAsia" w:ascii="宋体" w:hAnsi="宋体" w:cs="宋体"/>
          <w:bCs/>
          <w:color w:val="000000"/>
          <w:sz w:val="24"/>
          <w:highlight w:val="none"/>
        </w:rPr>
        <w:t>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赎回/理财计划到期</w:t>
      </w:r>
      <w:r>
        <w:rPr>
          <w:rFonts w:hint="eastAsia" w:ascii="宋体" w:hAnsi="宋体" w:cs="宋体"/>
          <w:bCs/>
          <w:color w:val="000000"/>
          <w:sz w:val="24"/>
          <w:highlight w:val="none"/>
        </w:rPr>
        <w:t>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K为收取浮动管理费前投资者赎回份额</w:t>
      </w:r>
      <w:bookmarkStart w:id="11" w:name="OLE_LINK14"/>
      <w:r>
        <w:rPr>
          <w:rFonts w:hint="eastAsia" w:ascii="宋体" w:hAnsi="宋体" w:cs="宋体"/>
          <w:bCs/>
          <w:color w:val="000000"/>
          <w:sz w:val="24"/>
          <w:highlight w:val="none"/>
          <w:lang w:val="en-US" w:eastAsia="zh-CN"/>
        </w:rPr>
        <w:t>或持有至理财计划到期</w:t>
      </w:r>
      <w:bookmarkEnd w:id="11"/>
      <w:r>
        <w:rPr>
          <w:rFonts w:hint="eastAsia" w:ascii="宋体" w:hAnsi="宋体" w:cs="宋体"/>
          <w:bCs/>
          <w:color w:val="000000"/>
          <w:sz w:val="24"/>
          <w:highlight w:val="none"/>
        </w:rPr>
        <w:t>对应持有区间折合年化收益率</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bCs/>
          <w:color w:val="000000"/>
          <w:sz w:val="24"/>
          <w:highlight w:val="none"/>
          <w:lang w:val="en-US" w:eastAsia="zh-CN"/>
        </w:rPr>
        <w:t>投资者认/申购份额确认日</w:t>
      </w:r>
      <w:r>
        <w:rPr>
          <w:rFonts w:hint="eastAsia" w:ascii="宋体" w:hAnsi="宋体" w:cs="宋体"/>
          <w:bCs/>
          <w:color w:val="000000"/>
          <w:sz w:val="24"/>
          <w:highlight w:val="none"/>
        </w:rPr>
        <w:t>前一日单位净值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bCs/>
          <w:color w:val="000000"/>
          <w:sz w:val="24"/>
          <w:highlight w:val="none"/>
          <w:lang w:val="en-US" w:eastAsia="zh-CN"/>
        </w:rPr>
        <w:t>投资者赎回份额</w:t>
      </w:r>
      <w:bookmarkStart w:id="12" w:name="OLE_LINK15"/>
      <w:r>
        <w:rPr>
          <w:rFonts w:hint="eastAsia" w:ascii="宋体" w:hAnsi="宋体" w:cs="宋体"/>
          <w:bCs/>
          <w:color w:val="000000"/>
          <w:sz w:val="24"/>
          <w:highlight w:val="none"/>
          <w:lang w:val="en-US" w:eastAsia="zh-CN"/>
        </w:rPr>
        <w:t>/理财计划到期</w:t>
      </w:r>
      <w:bookmarkEnd w:id="12"/>
      <w:r>
        <w:rPr>
          <w:rFonts w:hint="eastAsia" w:ascii="宋体" w:hAnsi="宋体" w:cs="宋体"/>
          <w:bCs/>
          <w:color w:val="000000"/>
          <w:sz w:val="24"/>
          <w:highlight w:val="none"/>
          <w:lang w:val="en-US" w:eastAsia="zh-CN"/>
        </w:rPr>
        <w:t>确认日前一日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R为本次投资周期的</w:t>
      </w:r>
      <w:r>
        <w:rPr>
          <w:rFonts w:hint="eastAsia" w:ascii="宋体" w:hAnsi="宋体" w:cs="宋体"/>
          <w:bCs/>
          <w:color w:val="000000"/>
          <w:sz w:val="24"/>
          <w:highlight w:val="none"/>
          <w:lang w:val="en-US" w:eastAsia="zh-CN"/>
        </w:rPr>
        <w:t>浮动管理费计提基数</w:t>
      </w:r>
    </w:p>
    <w:p>
      <w:pPr>
        <w:spacing w:line="360" w:lineRule="auto"/>
        <w:ind w:firstLine="480" w:firstLineChars="200"/>
        <w:jc w:val="left"/>
        <w:rPr>
          <w:rFonts w:hint="default" w:ascii="宋体" w:hAnsi="宋体" w:eastAsia="宋体" w:cs="宋体"/>
          <w:bCs/>
          <w:color w:val="000000"/>
          <w:sz w:val="24"/>
          <w:highlight w:val="none"/>
          <w:lang w:val="en-US" w:eastAsia="zh-CN"/>
        </w:rPr>
      </w:pPr>
      <w:bookmarkStart w:id="13" w:name="OLE_LINK10"/>
      <w:r>
        <w:rPr>
          <w:rFonts w:hint="eastAsia" w:ascii="宋体" w:hAnsi="宋体" w:cs="宋体"/>
          <w:bCs/>
          <w:color w:val="000000"/>
          <w:sz w:val="24"/>
          <w:highlight w:val="none"/>
        </w:rPr>
        <w:t>N为</w:t>
      </w:r>
      <w:r>
        <w:rPr>
          <w:rFonts w:hint="eastAsia" w:ascii="宋体" w:hAnsi="宋体" w:cs="宋体"/>
          <w:bCs/>
          <w:color w:val="000000"/>
          <w:sz w:val="24"/>
          <w:highlight w:val="none"/>
          <w:lang w:val="en-US" w:eastAsia="zh-CN"/>
        </w:rPr>
        <w:t>赎回份额对应的申购</w:t>
      </w:r>
      <w:r>
        <w:rPr>
          <w:rFonts w:hint="eastAsia" w:ascii="宋体" w:hAnsi="宋体" w:cs="宋体"/>
          <w:bCs/>
          <w:color w:val="000000"/>
          <w:sz w:val="24"/>
          <w:highlight w:val="none"/>
        </w:rPr>
        <w:t>确认日（含）至</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确认日（不含）的实际理财天数</w:t>
      </w:r>
    </w:p>
    <w:bookmarkEnd w:id="13"/>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w:t>
      </w:r>
      <w:r>
        <w:rPr>
          <w:rFonts w:hint="eastAsia" w:ascii="宋体" w:hAnsi="宋体" w:cs="宋体"/>
          <w:bCs/>
          <w:color w:val="000000"/>
          <w:sz w:val="24"/>
          <w:highlight w:val="none"/>
          <w:lang w:val="en-US" w:eastAsia="zh-CN"/>
        </w:rPr>
        <w:t>赎回份额</w:t>
      </w:r>
      <w:bookmarkStart w:id="14" w:name="OLE_LINK16"/>
      <w:r>
        <w:rPr>
          <w:rFonts w:hint="eastAsia" w:ascii="宋体" w:hAnsi="宋体" w:cs="宋体"/>
          <w:bCs/>
          <w:color w:val="000000"/>
          <w:sz w:val="24"/>
          <w:highlight w:val="none"/>
          <w:lang w:val="en-US" w:eastAsia="zh-CN"/>
        </w:rPr>
        <w:t>/理财计划到期</w:t>
      </w:r>
      <w:bookmarkEnd w:id="14"/>
      <w:r>
        <w:rPr>
          <w:rFonts w:hint="eastAsia" w:ascii="宋体" w:hAnsi="宋体" w:cs="宋体"/>
          <w:bCs/>
          <w:color w:val="000000"/>
          <w:sz w:val="24"/>
          <w:highlight w:val="none"/>
          <w:lang w:val="en-US" w:eastAsia="zh-CN"/>
        </w:rPr>
        <w:t>对应的</w:t>
      </w:r>
      <w:r>
        <w:rPr>
          <w:rFonts w:hint="eastAsia" w:ascii="宋体" w:hAnsi="宋体" w:cs="宋体"/>
          <w:bCs/>
          <w:color w:val="000000"/>
          <w:sz w:val="24"/>
          <w:highlight w:val="none"/>
        </w:rPr>
        <w:t>投资周期内每单位份额的实际分红金额的合计（如有）</w:t>
      </w:r>
    </w:p>
    <w:bookmarkEnd w:id="4"/>
    <w:bookmarkEnd w:id="5"/>
    <w:p>
      <w:pPr>
        <w:numPr>
          <w:ilvl w:val="0"/>
          <w:numId w:val="3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8"/>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8"/>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default" w:ascii="宋体" w:hAnsi="宋体" w:eastAsia="宋体" w:cs="宋体"/>
          <w:bCs/>
          <w:color w:val="000000"/>
          <w:sz w:val="24"/>
          <w:highlight w:val="none"/>
          <w:lang w:val="en-US" w:eastAsia="zh-CN"/>
        </w:rPr>
      </w:pPr>
      <w:bookmarkStart w:id="15" w:name="OLE_LINK1"/>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r>
        <w:rPr>
          <w:rFonts w:hint="eastAsia" w:ascii="宋体" w:hAnsi="宋体" w:cs="宋体"/>
          <w:bCs/>
          <w:sz w:val="24"/>
          <w:highlight w:val="none"/>
          <w:lang w:val="en-US" w:eastAsia="zh-CN"/>
        </w:rPr>
        <w:t>-浮动管理费（如有）</w:t>
      </w:r>
    </w:p>
    <w:bookmarkEnd w:id="15"/>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9"/>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浮动管理费计提基数</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元，折算份额为100,000.00份,假设投资理财计划362天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100,000.00份。假设管理人提取超过5.00%的</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0%作为浮动管理费，</w:t>
      </w:r>
      <w:r>
        <w:rPr>
          <w:rFonts w:hint="eastAsia" w:ascii="宋体" w:hAnsi="宋体" w:cs="宋体"/>
          <w:bCs/>
          <w:color w:val="000000"/>
          <w:sz w:val="24"/>
          <w:highlight w:val="none"/>
          <w:lang w:val="en-US" w:eastAsia="zh-CN"/>
        </w:rPr>
        <w:t>即浮动管理费计提基数为5.00%。</w:t>
      </w:r>
      <w:r>
        <w:rPr>
          <w:rFonts w:hint="eastAsia" w:ascii="宋体" w:hAnsi="宋体" w:cs="宋体"/>
          <w:bCs/>
          <w:color w:val="000000"/>
          <w:sz w:val="24"/>
          <w:highlight w:val="none"/>
          <w:lang w:eastAsia="zh-CN"/>
        </w:rPr>
        <w:t>赎回</w:t>
      </w:r>
      <w:r>
        <w:rPr>
          <w:rFonts w:hint="eastAsia" w:ascii="宋体" w:hAnsi="宋体" w:cs="宋体"/>
          <w:bCs/>
          <w:color w:val="000000"/>
          <w:sz w:val="24"/>
          <w:highlight w:val="none"/>
        </w:rPr>
        <w:t>时</w:t>
      </w:r>
      <w:r>
        <w:rPr>
          <w:rFonts w:hint="eastAsia" w:ascii="宋体" w:hAnsi="宋体" w:cs="宋体"/>
          <w:bCs/>
          <w:color w:val="000000"/>
          <w:sz w:val="24"/>
          <w:highlight w:val="none"/>
          <w:lang w:eastAsia="zh-CN"/>
        </w:rPr>
        <w:t>期间无分红，</w:t>
      </w:r>
      <w:r>
        <w:rPr>
          <w:rFonts w:hint="eastAsia" w:ascii="宋体" w:hAnsi="宋体" w:cs="宋体"/>
          <w:bCs/>
          <w:color w:val="000000"/>
          <w:sz w:val="24"/>
          <w:highlight w:val="none"/>
        </w:rPr>
        <w:t>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-1)×365÷362=6.20%&gt;5.00%，即投资收益超过5.00%，则投资管理人对超过5.00%部分收益收取浮动管理费，浮动管理费为：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(1.0615÷1.0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0-1)×365÷362</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5.00%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40%</w:t>
      </w:r>
      <w:r>
        <w:rPr>
          <w:rFonts w:hint="eastAsia" w:ascii="宋体" w:hAnsi="宋体" w:cs="宋体"/>
          <w:bCs/>
          <w:color w:val="000000"/>
          <w:sz w:val="24"/>
          <w:highlight w:val="none"/>
        </w:rPr>
        <w:t>×362÷365</w:t>
      </w:r>
      <w:r>
        <w:rPr>
          <w:rFonts w:hint="eastAsia" w:ascii="宋体" w:hAnsi="宋体" w:cs="宋体"/>
          <w:bCs/>
          <w:color w:val="000000"/>
          <w:sz w:val="24"/>
          <w:highlight w:val="none"/>
          <w:lang w:val="en-US" w:eastAsia="zh-CN"/>
        </w:rPr>
        <w:t>=476.44</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476.44</w:t>
      </w:r>
      <w:r>
        <w:rPr>
          <w:rFonts w:hint="eastAsia" w:ascii="宋体" w:hAnsi="宋体" w:cs="宋体"/>
          <w:bCs/>
          <w:color w:val="000000"/>
          <w:sz w:val="24"/>
          <w:highlight w:val="none"/>
        </w:rPr>
        <w:t xml:space="preserve"> =5,</w:t>
      </w:r>
      <w:r>
        <w:rPr>
          <w:rFonts w:hint="eastAsia" w:ascii="宋体" w:hAnsi="宋体" w:cs="宋体"/>
          <w:bCs/>
          <w:color w:val="000000"/>
          <w:sz w:val="24"/>
          <w:highlight w:val="none"/>
          <w:lang w:val="en-US" w:eastAsia="zh-CN"/>
        </w:rPr>
        <w:t>673.56</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eastAsia="zh-CN"/>
        </w:rPr>
        <w:t>赎回</w:t>
      </w:r>
      <w:r>
        <w:rPr>
          <w:rFonts w:hint="eastAsia" w:ascii="宋体" w:hAnsi="宋体" w:cs="宋体"/>
          <w:bCs/>
          <w:color w:val="000000"/>
          <w:sz w:val="24"/>
          <w:highlight w:val="none"/>
        </w:rPr>
        <w:t>时，投资者获得的实际收益相当于达到年化收益率水平为：5,</w:t>
      </w:r>
      <w:r>
        <w:rPr>
          <w:rFonts w:hint="eastAsia" w:ascii="宋体" w:hAnsi="宋体" w:cs="宋体"/>
          <w:bCs/>
          <w:color w:val="000000"/>
          <w:sz w:val="24"/>
          <w:highlight w:val="none"/>
          <w:lang w:val="en-US" w:eastAsia="zh-CN"/>
        </w:rPr>
        <w:t>673.56</w:t>
      </w:r>
      <w:r>
        <w:rPr>
          <w:rFonts w:hint="eastAsia" w:ascii="宋体" w:hAnsi="宋体" w:cs="宋体"/>
          <w:bCs/>
          <w:color w:val="000000"/>
          <w:sz w:val="24"/>
          <w:highlight w:val="none"/>
        </w:rPr>
        <w:t>÷100,000.00×365÷362=5.</w:t>
      </w:r>
      <w:r>
        <w:rPr>
          <w:rFonts w:hint="eastAsia" w:ascii="宋体" w:hAnsi="宋体" w:cs="宋体"/>
          <w:bCs/>
          <w:color w:val="000000"/>
          <w:sz w:val="24"/>
          <w:highlight w:val="none"/>
          <w:lang w:val="en-US" w:eastAsia="zh-CN"/>
        </w:rPr>
        <w:t>72</w:t>
      </w:r>
      <w:r>
        <w:rPr>
          <w:rFonts w:hint="eastAsia" w:ascii="宋体" w:hAnsi="宋体" w:cs="宋体"/>
          <w:bCs/>
          <w:color w:val="000000"/>
          <w:sz w:val="24"/>
          <w:highlight w:val="none"/>
        </w:rPr>
        <w:t>%。</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浮动管理费计提基数</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元，折算份额为100,000.00份，假设投资理财计划362天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100,000.00份。假设管理人提取超过5.00%的</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0%作为浮动管理费，</w:t>
      </w:r>
      <w:r>
        <w:rPr>
          <w:rFonts w:hint="eastAsia" w:ascii="宋体" w:hAnsi="宋体" w:cs="宋体"/>
          <w:bCs/>
          <w:color w:val="000000"/>
          <w:sz w:val="24"/>
          <w:highlight w:val="none"/>
          <w:lang w:val="en-US" w:eastAsia="zh-CN"/>
        </w:rPr>
        <w:t>即浮动管理费计提基数为5.00%。</w:t>
      </w:r>
      <w:r>
        <w:rPr>
          <w:rFonts w:hint="eastAsia" w:ascii="宋体" w:hAnsi="宋体" w:cs="宋体"/>
          <w:bCs/>
          <w:color w:val="000000"/>
          <w:sz w:val="24"/>
          <w:highlight w:val="none"/>
          <w:lang w:eastAsia="zh-CN"/>
        </w:rPr>
        <w:t>赎回</w:t>
      </w:r>
      <w:r>
        <w:rPr>
          <w:rFonts w:hint="eastAsia" w:ascii="宋体" w:hAnsi="宋体" w:cs="宋体"/>
          <w:bCs/>
          <w:color w:val="000000"/>
          <w:sz w:val="24"/>
          <w:highlight w:val="none"/>
        </w:rPr>
        <w:t>时</w:t>
      </w:r>
      <w:r>
        <w:rPr>
          <w:rFonts w:hint="eastAsia" w:ascii="宋体" w:hAnsi="宋体" w:cs="宋体"/>
          <w:bCs/>
          <w:color w:val="000000"/>
          <w:sz w:val="24"/>
          <w:highlight w:val="none"/>
          <w:lang w:eastAsia="zh-CN"/>
        </w:rPr>
        <w:t>期间无分红，</w:t>
      </w:r>
      <w:r>
        <w:rPr>
          <w:rFonts w:hint="eastAsia" w:ascii="宋体" w:hAnsi="宋体" w:cs="宋体"/>
          <w:bCs/>
          <w:color w:val="000000"/>
          <w:sz w:val="24"/>
          <w:highlight w:val="none"/>
        </w:rPr>
        <w:t>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-1)×365÷362=4.30%&lt;5.00%，即投资收益未达到5.00%，则投资管理人不收取浮动管理费，投资者最终收益为：100,000.00×(1.0426-1.00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）=4,260.00（元）</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元，折算份额为100,000.00份，假设投资理财计划362天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100,000.00份。假设管理人提取超过5.00%的</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0%作为浮动管理费，</w:t>
      </w:r>
      <w:r>
        <w:rPr>
          <w:rFonts w:hint="eastAsia" w:ascii="宋体" w:hAnsi="宋体" w:cs="宋体"/>
          <w:bCs/>
          <w:color w:val="000000"/>
          <w:sz w:val="24"/>
          <w:highlight w:val="none"/>
          <w:lang w:val="en-US" w:eastAsia="zh-CN"/>
        </w:rPr>
        <w:t>即浮动管理费计提基数为5.00%。</w:t>
      </w:r>
      <w:r>
        <w:rPr>
          <w:rFonts w:hint="eastAsia" w:ascii="宋体" w:hAnsi="宋体" w:cs="宋体"/>
          <w:bCs/>
          <w:color w:val="000000"/>
          <w:sz w:val="24"/>
          <w:highlight w:val="none"/>
          <w:lang w:eastAsia="zh-CN"/>
        </w:rPr>
        <w:t>赎回</w:t>
      </w:r>
      <w:r>
        <w:rPr>
          <w:rFonts w:hint="eastAsia" w:ascii="宋体" w:hAnsi="宋体" w:cs="宋体"/>
          <w:bCs/>
          <w:color w:val="000000"/>
          <w:sz w:val="24"/>
          <w:highlight w:val="none"/>
        </w:rPr>
        <w:t>时</w:t>
      </w:r>
      <w:r>
        <w:rPr>
          <w:rFonts w:hint="eastAsia" w:ascii="宋体" w:hAnsi="宋体" w:cs="宋体"/>
          <w:bCs/>
          <w:color w:val="000000"/>
          <w:sz w:val="24"/>
          <w:highlight w:val="none"/>
          <w:lang w:eastAsia="zh-CN"/>
        </w:rPr>
        <w:t>期间无分红，</w:t>
      </w:r>
      <w:r>
        <w:rPr>
          <w:rFonts w:hint="eastAsia" w:ascii="宋体" w:hAnsi="宋体" w:cs="宋体"/>
          <w:bCs/>
          <w:color w:val="000000"/>
          <w:sz w:val="24"/>
          <w:highlight w:val="none"/>
        </w:rPr>
        <w:t>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）=-250.00（元）。</w:t>
      </w:r>
    </w:p>
    <w:p>
      <w:pPr>
        <w:numPr>
          <w:ilvl w:val="0"/>
          <w:numId w:val="3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43"/>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本理财计划在每个开放期的开放日工作时间可进行申购，申购申请将在申购确认日进行确认，即申购开放期后的第〖1〗个〖</w:t>
      </w:r>
      <w:r>
        <w:rPr>
          <w:rFonts w:hint="eastAsia" w:ascii="宋体" w:hAnsi="宋体" w:cs="宋体"/>
          <w:bCs/>
          <w:sz w:val="24"/>
          <w:highlight w:val="none"/>
          <w:lang w:val="en-US" w:eastAsia="zh-CN"/>
        </w:rPr>
        <w:t>交易</w:t>
      </w:r>
      <w:r>
        <w:rPr>
          <w:rFonts w:hint="eastAsia" w:ascii="宋体" w:hAnsi="宋体" w:cs="宋体"/>
          <w:bCs/>
          <w:sz w:val="24"/>
          <w:highlight w:val="none"/>
        </w:rPr>
        <w:t>日〗进行确认。</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满足最低持有期后，</w:t>
      </w:r>
      <w:r>
        <w:rPr>
          <w:rFonts w:hint="eastAsia" w:ascii="宋体" w:hAnsi="宋体" w:cs="宋体"/>
          <w:bCs/>
          <w:sz w:val="24"/>
          <w:highlight w:val="none"/>
        </w:rPr>
        <w:t>本理财计划在每个开放期的开放日工作时间可进行赎回，赎回申请将在赎回确认日进行确认，即赎回开放期后的第〖1〗个〖</w:t>
      </w:r>
      <w:r>
        <w:rPr>
          <w:rFonts w:hint="eastAsia" w:ascii="宋体" w:hAnsi="宋体" w:cs="宋体"/>
          <w:bCs/>
          <w:sz w:val="24"/>
          <w:highlight w:val="none"/>
          <w:lang w:val="en-US" w:eastAsia="zh-CN"/>
        </w:rPr>
        <w:t>交易</w:t>
      </w:r>
      <w:r>
        <w:rPr>
          <w:rFonts w:hint="eastAsia" w:ascii="宋体" w:hAnsi="宋体" w:cs="宋体"/>
          <w:bCs/>
          <w:sz w:val="24"/>
          <w:highlight w:val="none"/>
        </w:rPr>
        <w:t>日〗进行确认。</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cs="宋体"/>
          <w:bCs/>
          <w:sz w:val="24"/>
          <w:highlight w:val="none"/>
          <w:lang w:val="en-US" w:eastAsia="zh-CN"/>
        </w:rPr>
        <w:t>交易</w:t>
      </w:r>
      <w:r>
        <w:rPr>
          <w:rFonts w:hint="eastAsia" w:ascii="宋体" w:hAnsi="宋体" w:cs="宋体"/>
          <w:bCs/>
          <w:sz w:val="24"/>
          <w:highlight w:val="none"/>
        </w:rPr>
        <w:t>日〗上午〖9:00〗至下午〖17:00〗。</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于确认日当日</w:t>
      </w:r>
      <w:r>
        <w:rPr>
          <w:rFonts w:hint="eastAsia" w:ascii="宋体" w:hAnsi="宋体" w:cs="宋体"/>
          <w:bCs/>
          <w:sz w:val="24"/>
          <w:highlight w:val="none"/>
        </w:rPr>
        <w:t>，最晚〖</w:t>
      </w:r>
      <w:r>
        <w:rPr>
          <w:rFonts w:hint="eastAsia" w:ascii="宋体" w:hAnsi="宋体" w:cs="宋体"/>
          <w:bCs/>
          <w:sz w:val="24"/>
          <w:highlight w:val="none"/>
          <w:lang w:val="en-US" w:eastAsia="zh-CN"/>
        </w:rPr>
        <w:t>2</w:t>
      </w:r>
      <w:r>
        <w:rPr>
          <w:rFonts w:hint="eastAsia" w:ascii="宋体" w:hAnsi="宋体" w:cs="宋体"/>
          <w:bCs/>
          <w:sz w:val="24"/>
          <w:highlight w:val="none"/>
        </w:rPr>
        <w:t>〗个〖</w:t>
      </w:r>
      <w:r>
        <w:rPr>
          <w:rFonts w:hint="eastAsia" w:ascii="宋体" w:hAnsi="宋体" w:cs="宋体"/>
          <w:bCs/>
          <w:sz w:val="24"/>
          <w:highlight w:val="none"/>
          <w:lang w:val="en-US" w:eastAsia="zh-CN"/>
        </w:rPr>
        <w:t>交易</w:t>
      </w:r>
      <w:r>
        <w:rPr>
          <w:rFonts w:hint="eastAsia" w:ascii="宋体" w:hAnsi="宋体" w:cs="宋体"/>
          <w:bCs/>
          <w:sz w:val="24"/>
          <w:highlight w:val="none"/>
        </w:rPr>
        <w:t>日〗内（遇节假日顺延）支付。如遇资金在途或法定工作日调整，实际资金到账日以公告为准。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于赎回确认日当日</w:t>
      </w:r>
      <w:r>
        <w:rPr>
          <w:rFonts w:hint="eastAsia" w:ascii="宋体" w:hAnsi="宋体" w:cs="宋体"/>
          <w:bCs/>
          <w:sz w:val="24"/>
          <w:highlight w:val="none"/>
        </w:rPr>
        <w:t>、最晚</w:t>
      </w:r>
      <w:r>
        <w:rPr>
          <w:rFonts w:hint="eastAsia" w:ascii="宋体" w:hAnsi="宋体" w:cs="宋体"/>
          <w:bCs/>
          <w:sz w:val="24"/>
          <w:highlight w:val="none"/>
          <w:lang w:val="en-US" w:eastAsia="zh-CN"/>
        </w:rPr>
        <w:t>于</w:t>
      </w:r>
      <w:r>
        <w:rPr>
          <w:rFonts w:hint="eastAsia" w:ascii="宋体" w:hAnsi="宋体" w:cs="宋体"/>
          <w:bCs/>
          <w:sz w:val="24"/>
          <w:highlight w:val="none"/>
        </w:rPr>
        <w:t>〖</w:t>
      </w:r>
      <w:r>
        <w:rPr>
          <w:rFonts w:hint="eastAsia" w:ascii="宋体" w:hAnsi="宋体" w:cs="宋体"/>
          <w:bCs/>
          <w:sz w:val="24"/>
          <w:highlight w:val="none"/>
          <w:lang w:val="en-US" w:eastAsia="zh-CN"/>
        </w:rPr>
        <w:t>2</w:t>
      </w:r>
      <w:r>
        <w:rPr>
          <w:rFonts w:hint="eastAsia" w:ascii="宋体" w:hAnsi="宋体" w:cs="宋体"/>
          <w:bCs/>
          <w:sz w:val="24"/>
          <w:highlight w:val="none"/>
        </w:rPr>
        <w:t>〗个〖</w:t>
      </w:r>
      <w:r>
        <w:rPr>
          <w:rFonts w:hint="eastAsia" w:ascii="宋体" w:hAnsi="宋体" w:cs="宋体"/>
          <w:bCs/>
          <w:sz w:val="24"/>
          <w:highlight w:val="none"/>
          <w:lang w:val="en-US" w:eastAsia="zh-CN"/>
        </w:rPr>
        <w:t>交易</w:t>
      </w:r>
      <w:r>
        <w:rPr>
          <w:rFonts w:hint="eastAsia" w:ascii="宋体" w:hAnsi="宋体" w:cs="宋体"/>
          <w:bCs/>
          <w:sz w:val="24"/>
          <w:highlight w:val="none"/>
        </w:rPr>
        <w:t>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sz w:val="24"/>
          <w:highlight w:val="none"/>
        </w:rPr>
        <w:t>2</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5</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cs="宋体"/>
          <w:bCs/>
          <w:sz w:val="24"/>
          <w:highlight w:val="none"/>
          <w:lang w:val="en-US" w:eastAsia="zh-CN"/>
        </w:rPr>
        <w:t>交易</w:t>
      </w:r>
      <w:r>
        <w:rPr>
          <w:rFonts w:hint="eastAsia" w:ascii="宋体" w:hAnsi="宋体" w:cs="宋体"/>
          <w:bCs/>
          <w:sz w:val="24"/>
          <w:highlight w:val="none"/>
        </w:rPr>
        <w:t>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6"/>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2">
    <w:nsid w:val="85460E80"/>
    <w:multiLevelType w:val="singleLevel"/>
    <w:tmpl w:val="85460E80"/>
    <w:lvl w:ilvl="0" w:tentative="0">
      <w:start w:val="1"/>
      <w:numFmt w:val="decimal"/>
      <w:suff w:val="nothing"/>
      <w:lvlText w:val="（%1）"/>
      <w:lvlJc w:val="left"/>
      <w:rPr>
        <w:rFonts w:hint="default"/>
        <w:b w:val="0"/>
        <w:bCs w:val="0"/>
      </w:rPr>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4">
    <w:nsid w:val="8906C252"/>
    <w:multiLevelType w:val="singleLevel"/>
    <w:tmpl w:val="8906C252"/>
    <w:lvl w:ilvl="0" w:tentative="0">
      <w:start w:val="1"/>
      <w:numFmt w:val="decimal"/>
      <w:suff w:val="nothing"/>
      <w:lvlText w:val="（%1）"/>
      <w:lvlJc w:val="left"/>
      <w:rPr>
        <w:rFonts w:hint="default"/>
        <w:b w:val="0"/>
        <w:bCs w:val="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7">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8">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9">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10">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1">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2">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3">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4">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5">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6">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7">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8">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9">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20">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1">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2">
    <w:nsid w:val="D8D75090"/>
    <w:multiLevelType w:val="singleLevel"/>
    <w:tmpl w:val="D8D75090"/>
    <w:lvl w:ilvl="0" w:tentative="0">
      <w:start w:val="1"/>
      <w:numFmt w:val="decimal"/>
      <w:suff w:val="nothing"/>
      <w:lvlText w:val="（%1）"/>
      <w:lvlJc w:val="left"/>
      <w:rPr>
        <w:rFonts w:hint="default"/>
        <w:b w:val="0"/>
        <w:bCs w:val="0"/>
      </w:rPr>
    </w:lvl>
  </w:abstractNum>
  <w:abstractNum w:abstractNumId="23">
    <w:nsid w:val="DD2251DF"/>
    <w:multiLevelType w:val="singleLevel"/>
    <w:tmpl w:val="DD2251DF"/>
    <w:lvl w:ilvl="0" w:tentative="0">
      <w:start w:val="1"/>
      <w:numFmt w:val="decimal"/>
      <w:suff w:val="nothing"/>
      <w:lvlText w:val="（%1）"/>
      <w:lvlJc w:val="left"/>
      <w:rPr>
        <w:rFonts w:hint="default"/>
        <w:b w:val="0"/>
        <w:bCs w:val="0"/>
      </w:rPr>
    </w:lvl>
  </w:abstractNum>
  <w:abstractNum w:abstractNumId="24">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5">
    <w:nsid w:val="E70DF796"/>
    <w:multiLevelType w:val="singleLevel"/>
    <w:tmpl w:val="E70DF796"/>
    <w:lvl w:ilvl="0" w:tentative="0">
      <w:start w:val="1"/>
      <w:numFmt w:val="decimal"/>
      <w:suff w:val="nothing"/>
      <w:lvlText w:val="（%1）"/>
      <w:lvlJc w:val="left"/>
    </w:lvl>
  </w:abstractNum>
  <w:abstractNum w:abstractNumId="26">
    <w:nsid w:val="EFF37F09"/>
    <w:multiLevelType w:val="singleLevel"/>
    <w:tmpl w:val="EFF37F09"/>
    <w:lvl w:ilvl="0" w:tentative="0">
      <w:start w:val="1"/>
      <w:numFmt w:val="decimal"/>
      <w:suff w:val="nothing"/>
      <w:lvlText w:val="（%1）"/>
      <w:lvlJc w:val="left"/>
      <w:rPr>
        <w:rFonts w:hint="default"/>
        <w:b w:val="0"/>
        <w:bCs w:val="0"/>
      </w:rPr>
    </w:lvl>
  </w:abstractNum>
  <w:abstractNum w:abstractNumId="27">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9">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30">
    <w:nsid w:val="F574F5B6"/>
    <w:multiLevelType w:val="singleLevel"/>
    <w:tmpl w:val="F574F5B6"/>
    <w:lvl w:ilvl="0" w:tentative="0">
      <w:start w:val="1"/>
      <w:numFmt w:val="decimal"/>
      <w:suff w:val="nothing"/>
      <w:lvlText w:val="（%1）"/>
      <w:lvlJc w:val="left"/>
    </w:lvl>
  </w:abstractNum>
  <w:abstractNum w:abstractNumId="31">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7">
    <w:nsid w:val="167B0BB4"/>
    <w:multiLevelType w:val="singleLevel"/>
    <w:tmpl w:val="167B0BB4"/>
    <w:lvl w:ilvl="0" w:tentative="0">
      <w:start w:val="1"/>
      <w:numFmt w:val="decimal"/>
      <w:suff w:val="nothing"/>
      <w:lvlText w:val="（%1）"/>
      <w:lvlJc w:val="left"/>
    </w:lvl>
  </w:abstractNum>
  <w:abstractNum w:abstractNumId="38">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9">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40">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1">
    <w:nsid w:val="2CB63BE6"/>
    <w:multiLevelType w:val="singleLevel"/>
    <w:tmpl w:val="2CB63BE6"/>
    <w:lvl w:ilvl="0" w:tentative="0">
      <w:start w:val="1"/>
      <w:numFmt w:val="decimal"/>
      <w:suff w:val="nothing"/>
      <w:lvlText w:val="（%1）"/>
      <w:lvlJc w:val="left"/>
      <w:rPr>
        <w:rFonts w:hint="default"/>
        <w:b w:val="0"/>
        <w:bCs w:val="0"/>
      </w:rPr>
    </w:lvl>
  </w:abstractNum>
  <w:abstractNum w:abstractNumId="42">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7">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8">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9">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50">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1">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2">
    <w:nsid w:val="5BA91325"/>
    <w:multiLevelType w:val="singleLevel"/>
    <w:tmpl w:val="5BA91325"/>
    <w:lvl w:ilvl="0" w:tentative="0">
      <w:start w:val="1"/>
      <w:numFmt w:val="decimal"/>
      <w:suff w:val="nothing"/>
      <w:lvlText w:val="（%1）"/>
      <w:lvlJc w:val="left"/>
    </w:lvl>
  </w:abstractNum>
  <w:abstractNum w:abstractNumId="53">
    <w:nsid w:val="61F30F62"/>
    <w:multiLevelType w:val="singleLevel"/>
    <w:tmpl w:val="61F30F62"/>
    <w:lvl w:ilvl="0" w:tentative="0">
      <w:start w:val="1"/>
      <w:numFmt w:val="decimal"/>
      <w:suff w:val="nothing"/>
      <w:lvlText w:val="（%1）"/>
      <w:lvlJc w:val="left"/>
      <w:rPr>
        <w:rFonts w:hint="default"/>
        <w:b w:val="0"/>
        <w:bCs w:val="0"/>
      </w:rPr>
    </w:lvl>
  </w:abstractNum>
  <w:abstractNum w:abstractNumId="54">
    <w:nsid w:val="6613851C"/>
    <w:multiLevelType w:val="singleLevel"/>
    <w:tmpl w:val="6613851C"/>
    <w:lvl w:ilvl="0" w:tentative="0">
      <w:start w:val="1"/>
      <w:numFmt w:val="decimal"/>
      <w:lvlText w:val="%1."/>
      <w:lvlJc w:val="left"/>
      <w:pPr>
        <w:tabs>
          <w:tab w:val="left" w:pos="312"/>
        </w:tabs>
      </w:pPr>
      <w:rPr>
        <w:rFonts w:hint="default"/>
        <w:highlight w:val="none"/>
      </w:rPr>
    </w:lvl>
  </w:abstractNum>
  <w:abstractNum w:abstractNumId="55">
    <w:nsid w:val="69C07A9C"/>
    <w:multiLevelType w:val="singleLevel"/>
    <w:tmpl w:val="69C07A9C"/>
    <w:lvl w:ilvl="0" w:tentative="0">
      <w:start w:val="1"/>
      <w:numFmt w:val="lowerLetter"/>
      <w:suff w:val="space"/>
      <w:lvlText w:val="%1."/>
      <w:lvlJc w:val="left"/>
    </w:lvl>
  </w:abstractNum>
  <w:abstractNum w:abstractNumId="56">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50"/>
  </w:num>
  <w:num w:numId="2">
    <w:abstractNumId w:val="46"/>
  </w:num>
  <w:num w:numId="3">
    <w:abstractNumId w:val="31"/>
  </w:num>
  <w:num w:numId="4">
    <w:abstractNumId w:val="28"/>
  </w:num>
  <w:num w:numId="5">
    <w:abstractNumId w:val="35"/>
  </w:num>
  <w:num w:numId="6">
    <w:abstractNumId w:val="27"/>
  </w:num>
  <w:num w:numId="7">
    <w:abstractNumId w:val="19"/>
  </w:num>
  <w:num w:numId="8">
    <w:abstractNumId w:val="12"/>
  </w:num>
  <w:num w:numId="9">
    <w:abstractNumId w:val="16"/>
  </w:num>
  <w:num w:numId="10">
    <w:abstractNumId w:val="9"/>
  </w:num>
  <w:num w:numId="11">
    <w:abstractNumId w:val="10"/>
  </w:num>
  <w:num w:numId="12">
    <w:abstractNumId w:val="8"/>
  </w:num>
  <w:num w:numId="13">
    <w:abstractNumId w:val="34"/>
  </w:num>
  <w:num w:numId="14">
    <w:abstractNumId w:val="54"/>
  </w:num>
  <w:num w:numId="15">
    <w:abstractNumId w:val="6"/>
  </w:num>
  <w:num w:numId="16">
    <w:abstractNumId w:val="1"/>
  </w:num>
  <w:num w:numId="17">
    <w:abstractNumId w:val="45"/>
  </w:num>
  <w:num w:numId="18">
    <w:abstractNumId w:val="30"/>
  </w:num>
  <w:num w:numId="19">
    <w:abstractNumId w:val="47"/>
  </w:num>
  <w:num w:numId="20">
    <w:abstractNumId w:val="52"/>
  </w:num>
  <w:num w:numId="21">
    <w:abstractNumId w:val="55"/>
  </w:num>
  <w:num w:numId="22">
    <w:abstractNumId w:val="40"/>
  </w:num>
  <w:num w:numId="23">
    <w:abstractNumId w:val="18"/>
  </w:num>
  <w:num w:numId="24">
    <w:abstractNumId w:val="39"/>
  </w:num>
  <w:num w:numId="25">
    <w:abstractNumId w:val="21"/>
  </w:num>
  <w:num w:numId="26">
    <w:abstractNumId w:val="7"/>
  </w:num>
  <w:num w:numId="27">
    <w:abstractNumId w:val="49"/>
  </w:num>
  <w:num w:numId="28">
    <w:abstractNumId w:val="5"/>
  </w:num>
  <w:num w:numId="29">
    <w:abstractNumId w:val="33"/>
  </w:num>
  <w:num w:numId="30">
    <w:abstractNumId w:val="38"/>
  </w:num>
  <w:num w:numId="31">
    <w:abstractNumId w:val="56"/>
  </w:num>
  <w:num w:numId="32">
    <w:abstractNumId w:val="32"/>
  </w:num>
  <w:num w:numId="33">
    <w:abstractNumId w:val="20"/>
  </w:num>
  <w:num w:numId="34">
    <w:abstractNumId w:val="42"/>
  </w:num>
  <w:num w:numId="35">
    <w:abstractNumId w:val="0"/>
  </w:num>
  <w:num w:numId="36">
    <w:abstractNumId w:val="23"/>
  </w:num>
  <w:num w:numId="37">
    <w:abstractNumId w:val="44"/>
  </w:num>
  <w:num w:numId="38">
    <w:abstractNumId w:val="3"/>
  </w:num>
  <w:num w:numId="39">
    <w:abstractNumId w:val="24"/>
  </w:num>
  <w:num w:numId="40">
    <w:abstractNumId w:val="15"/>
  </w:num>
  <w:num w:numId="41">
    <w:abstractNumId w:val="48"/>
  </w:num>
  <w:num w:numId="42">
    <w:abstractNumId w:val="36"/>
  </w:num>
  <w:num w:numId="43">
    <w:abstractNumId w:val="17"/>
  </w:num>
  <w:num w:numId="44">
    <w:abstractNumId w:val="29"/>
  </w:num>
  <w:num w:numId="45">
    <w:abstractNumId w:val="25"/>
  </w:num>
  <w:num w:numId="46">
    <w:abstractNumId w:val="26"/>
  </w:num>
  <w:num w:numId="47">
    <w:abstractNumId w:val="53"/>
  </w:num>
  <w:num w:numId="48">
    <w:abstractNumId w:val="41"/>
  </w:num>
  <w:num w:numId="49">
    <w:abstractNumId w:val="2"/>
  </w:num>
  <w:num w:numId="50">
    <w:abstractNumId w:val="51"/>
  </w:num>
  <w:num w:numId="51">
    <w:abstractNumId w:val="13"/>
  </w:num>
  <w:num w:numId="52">
    <w:abstractNumId w:val="11"/>
  </w:num>
  <w:num w:numId="53">
    <w:abstractNumId w:val="14"/>
  </w:num>
  <w:num w:numId="54">
    <w:abstractNumId w:val="37"/>
  </w:num>
  <w:num w:numId="55">
    <w:abstractNumId w:val="22"/>
  </w:num>
  <w:num w:numId="56">
    <w:abstractNumId w:val="4"/>
  </w:num>
  <w:num w:numId="5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HorizontalSpacing w:val="0"/>
  <w:drawingGridVerticalSpacing w:val="156"/>
  <w:noPunctuationKerning w:val="1"/>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ab8c09fc-ebb4-4f15-b49e-3b6144cc8e86"/>
  </w:docVars>
  <w:rsids>
    <w:rsidRoot w:val="00172A27"/>
    <w:rsid w:val="004A3A51"/>
    <w:rsid w:val="01364432"/>
    <w:rsid w:val="01523B8E"/>
    <w:rsid w:val="01DC0FD1"/>
    <w:rsid w:val="01E22EC1"/>
    <w:rsid w:val="01E60817"/>
    <w:rsid w:val="01F454C1"/>
    <w:rsid w:val="0273545E"/>
    <w:rsid w:val="02EA20D0"/>
    <w:rsid w:val="036B5FEB"/>
    <w:rsid w:val="040B79D9"/>
    <w:rsid w:val="0449537A"/>
    <w:rsid w:val="04886CA1"/>
    <w:rsid w:val="04A52A8E"/>
    <w:rsid w:val="04A74955"/>
    <w:rsid w:val="050A18A0"/>
    <w:rsid w:val="05C21734"/>
    <w:rsid w:val="05E05E4D"/>
    <w:rsid w:val="05EC08FE"/>
    <w:rsid w:val="06420CFA"/>
    <w:rsid w:val="06503B59"/>
    <w:rsid w:val="06DF6F6A"/>
    <w:rsid w:val="071439E0"/>
    <w:rsid w:val="0752555A"/>
    <w:rsid w:val="07993F2A"/>
    <w:rsid w:val="07E45984"/>
    <w:rsid w:val="081B7D56"/>
    <w:rsid w:val="0828699A"/>
    <w:rsid w:val="082B58DC"/>
    <w:rsid w:val="082E46BF"/>
    <w:rsid w:val="087B5F6E"/>
    <w:rsid w:val="08C817F8"/>
    <w:rsid w:val="08E37254"/>
    <w:rsid w:val="097E3F67"/>
    <w:rsid w:val="09851159"/>
    <w:rsid w:val="09B01B43"/>
    <w:rsid w:val="0A1347F5"/>
    <w:rsid w:val="0A2A32B9"/>
    <w:rsid w:val="0B1B7906"/>
    <w:rsid w:val="0B8B4139"/>
    <w:rsid w:val="0B8E27E3"/>
    <w:rsid w:val="0BF71AE2"/>
    <w:rsid w:val="0C2C4AD6"/>
    <w:rsid w:val="0CA6603D"/>
    <w:rsid w:val="0D0B1B00"/>
    <w:rsid w:val="0D6B1503"/>
    <w:rsid w:val="0DD032F9"/>
    <w:rsid w:val="0E4A4B6F"/>
    <w:rsid w:val="0E670397"/>
    <w:rsid w:val="0EAE473F"/>
    <w:rsid w:val="0EB6095A"/>
    <w:rsid w:val="0EF65480"/>
    <w:rsid w:val="0F920B86"/>
    <w:rsid w:val="0FC6304E"/>
    <w:rsid w:val="103A21BC"/>
    <w:rsid w:val="10D261C8"/>
    <w:rsid w:val="10E7087B"/>
    <w:rsid w:val="10FA5463"/>
    <w:rsid w:val="11BA058F"/>
    <w:rsid w:val="11C23A9E"/>
    <w:rsid w:val="12081858"/>
    <w:rsid w:val="12B62B3B"/>
    <w:rsid w:val="13031153"/>
    <w:rsid w:val="13181417"/>
    <w:rsid w:val="132E0460"/>
    <w:rsid w:val="141530E1"/>
    <w:rsid w:val="142A3D0A"/>
    <w:rsid w:val="14C57FED"/>
    <w:rsid w:val="150C5665"/>
    <w:rsid w:val="153D4CD7"/>
    <w:rsid w:val="1568118A"/>
    <w:rsid w:val="159302CA"/>
    <w:rsid w:val="15B25C2A"/>
    <w:rsid w:val="15C56302"/>
    <w:rsid w:val="15D419A2"/>
    <w:rsid w:val="160940BB"/>
    <w:rsid w:val="16176B49"/>
    <w:rsid w:val="1659752C"/>
    <w:rsid w:val="16E43A7F"/>
    <w:rsid w:val="185A3DA1"/>
    <w:rsid w:val="18E6578A"/>
    <w:rsid w:val="18F22962"/>
    <w:rsid w:val="19866890"/>
    <w:rsid w:val="198C4B50"/>
    <w:rsid w:val="19DA666D"/>
    <w:rsid w:val="19F13F4F"/>
    <w:rsid w:val="1A102675"/>
    <w:rsid w:val="1A876B8B"/>
    <w:rsid w:val="1B0752AE"/>
    <w:rsid w:val="1B280245"/>
    <w:rsid w:val="1BBE4697"/>
    <w:rsid w:val="1BEE4FD6"/>
    <w:rsid w:val="1C3F1BB8"/>
    <w:rsid w:val="1C46238A"/>
    <w:rsid w:val="1D3C4AE8"/>
    <w:rsid w:val="1D4A75C0"/>
    <w:rsid w:val="1D552DD9"/>
    <w:rsid w:val="1DAB6D83"/>
    <w:rsid w:val="1E3173A3"/>
    <w:rsid w:val="1E410106"/>
    <w:rsid w:val="1E7432BB"/>
    <w:rsid w:val="1ED938B7"/>
    <w:rsid w:val="1F0F5A19"/>
    <w:rsid w:val="1F1D6E1F"/>
    <w:rsid w:val="1F3E7F7D"/>
    <w:rsid w:val="1F51312D"/>
    <w:rsid w:val="1FA140B4"/>
    <w:rsid w:val="1FC9553A"/>
    <w:rsid w:val="1FFA7F34"/>
    <w:rsid w:val="20137C57"/>
    <w:rsid w:val="204D3B12"/>
    <w:rsid w:val="20562440"/>
    <w:rsid w:val="205A2AB3"/>
    <w:rsid w:val="20B6224D"/>
    <w:rsid w:val="20C028D2"/>
    <w:rsid w:val="21025026"/>
    <w:rsid w:val="21B93623"/>
    <w:rsid w:val="21C22F06"/>
    <w:rsid w:val="22A04AF7"/>
    <w:rsid w:val="22D32481"/>
    <w:rsid w:val="22D3594B"/>
    <w:rsid w:val="22F12819"/>
    <w:rsid w:val="23393314"/>
    <w:rsid w:val="23753F06"/>
    <w:rsid w:val="238D2456"/>
    <w:rsid w:val="238E1AAE"/>
    <w:rsid w:val="240F2156"/>
    <w:rsid w:val="24345B9A"/>
    <w:rsid w:val="2483647E"/>
    <w:rsid w:val="24B20B8C"/>
    <w:rsid w:val="24F95D1D"/>
    <w:rsid w:val="256F076F"/>
    <w:rsid w:val="259777D1"/>
    <w:rsid w:val="2610340F"/>
    <w:rsid w:val="26820AF7"/>
    <w:rsid w:val="26966D40"/>
    <w:rsid w:val="27AE789D"/>
    <w:rsid w:val="28536A11"/>
    <w:rsid w:val="28E42C30"/>
    <w:rsid w:val="292668E3"/>
    <w:rsid w:val="29E26197"/>
    <w:rsid w:val="2A1B5D68"/>
    <w:rsid w:val="2A5975B6"/>
    <w:rsid w:val="2A991D32"/>
    <w:rsid w:val="2AB92324"/>
    <w:rsid w:val="2AD6555A"/>
    <w:rsid w:val="2AE62718"/>
    <w:rsid w:val="2B1902F3"/>
    <w:rsid w:val="2B376BE0"/>
    <w:rsid w:val="2BE72798"/>
    <w:rsid w:val="2C1A577E"/>
    <w:rsid w:val="2C1B1E9D"/>
    <w:rsid w:val="2C306936"/>
    <w:rsid w:val="2CAB68C5"/>
    <w:rsid w:val="2E45409C"/>
    <w:rsid w:val="2E55060C"/>
    <w:rsid w:val="2EBC6D03"/>
    <w:rsid w:val="2F1F666C"/>
    <w:rsid w:val="2F59643F"/>
    <w:rsid w:val="2F802D62"/>
    <w:rsid w:val="2FD32A37"/>
    <w:rsid w:val="2FE9188B"/>
    <w:rsid w:val="2FEC52A8"/>
    <w:rsid w:val="30551FFC"/>
    <w:rsid w:val="307D2E0A"/>
    <w:rsid w:val="30E93DB6"/>
    <w:rsid w:val="311F702A"/>
    <w:rsid w:val="314968B6"/>
    <w:rsid w:val="31A82883"/>
    <w:rsid w:val="320E3E15"/>
    <w:rsid w:val="32C937E9"/>
    <w:rsid w:val="333F6AA7"/>
    <w:rsid w:val="33F7523E"/>
    <w:rsid w:val="3480359E"/>
    <w:rsid w:val="34BE4ED5"/>
    <w:rsid w:val="35155DC7"/>
    <w:rsid w:val="352B31D6"/>
    <w:rsid w:val="35476F5E"/>
    <w:rsid w:val="35C572EB"/>
    <w:rsid w:val="3602513D"/>
    <w:rsid w:val="36631FD8"/>
    <w:rsid w:val="366A0F47"/>
    <w:rsid w:val="36E72D9B"/>
    <w:rsid w:val="377E5373"/>
    <w:rsid w:val="379F2ED6"/>
    <w:rsid w:val="37CA172C"/>
    <w:rsid w:val="37CB10A0"/>
    <w:rsid w:val="38071350"/>
    <w:rsid w:val="38224FD0"/>
    <w:rsid w:val="38696564"/>
    <w:rsid w:val="38BC5508"/>
    <w:rsid w:val="3A3E2041"/>
    <w:rsid w:val="3B131EF6"/>
    <w:rsid w:val="3B490D86"/>
    <w:rsid w:val="3C2F2290"/>
    <w:rsid w:val="3CE74578"/>
    <w:rsid w:val="3D8434FB"/>
    <w:rsid w:val="3DE35C92"/>
    <w:rsid w:val="3E163924"/>
    <w:rsid w:val="3E6234DA"/>
    <w:rsid w:val="3E890C5E"/>
    <w:rsid w:val="3EA67C14"/>
    <w:rsid w:val="3EAD1B36"/>
    <w:rsid w:val="3F056B9E"/>
    <w:rsid w:val="3F354A62"/>
    <w:rsid w:val="3FF54C55"/>
    <w:rsid w:val="406370BC"/>
    <w:rsid w:val="406A0A62"/>
    <w:rsid w:val="40FB7670"/>
    <w:rsid w:val="4172491C"/>
    <w:rsid w:val="41B60000"/>
    <w:rsid w:val="41D92339"/>
    <w:rsid w:val="423C06E2"/>
    <w:rsid w:val="42815397"/>
    <w:rsid w:val="42C94634"/>
    <w:rsid w:val="43423D19"/>
    <w:rsid w:val="43B62261"/>
    <w:rsid w:val="43BA23DE"/>
    <w:rsid w:val="45540446"/>
    <w:rsid w:val="45BB5620"/>
    <w:rsid w:val="45F127ED"/>
    <w:rsid w:val="46263D02"/>
    <w:rsid w:val="4661551D"/>
    <w:rsid w:val="46CD66A0"/>
    <w:rsid w:val="46D80EF6"/>
    <w:rsid w:val="472803B7"/>
    <w:rsid w:val="488B59A4"/>
    <w:rsid w:val="48C81265"/>
    <w:rsid w:val="49107F1C"/>
    <w:rsid w:val="494502E1"/>
    <w:rsid w:val="4A3D69E6"/>
    <w:rsid w:val="4A6F7B99"/>
    <w:rsid w:val="4A7F0ADF"/>
    <w:rsid w:val="4AA612F0"/>
    <w:rsid w:val="4AA6781F"/>
    <w:rsid w:val="4B0D3113"/>
    <w:rsid w:val="4B5270B8"/>
    <w:rsid w:val="4BCC322C"/>
    <w:rsid w:val="4C4D2C94"/>
    <w:rsid w:val="4C6B0DDA"/>
    <w:rsid w:val="4C6E1306"/>
    <w:rsid w:val="4CAB7CC1"/>
    <w:rsid w:val="4D606033"/>
    <w:rsid w:val="4DEE1021"/>
    <w:rsid w:val="4E186164"/>
    <w:rsid w:val="4E2F1033"/>
    <w:rsid w:val="4E8274B0"/>
    <w:rsid w:val="4EFC1B31"/>
    <w:rsid w:val="4F2836A5"/>
    <w:rsid w:val="4F2D5F49"/>
    <w:rsid w:val="4FF363B3"/>
    <w:rsid w:val="501216FC"/>
    <w:rsid w:val="50B73634"/>
    <w:rsid w:val="513B62C0"/>
    <w:rsid w:val="51504FE6"/>
    <w:rsid w:val="51661BC4"/>
    <w:rsid w:val="522D5ED8"/>
    <w:rsid w:val="53111AD8"/>
    <w:rsid w:val="532207FA"/>
    <w:rsid w:val="53FE3DB0"/>
    <w:rsid w:val="54E91D9C"/>
    <w:rsid w:val="552247DE"/>
    <w:rsid w:val="55A47BB4"/>
    <w:rsid w:val="55D11632"/>
    <w:rsid w:val="55E92585"/>
    <w:rsid w:val="5610337C"/>
    <w:rsid w:val="56804A86"/>
    <w:rsid w:val="57184991"/>
    <w:rsid w:val="5790790A"/>
    <w:rsid w:val="57BB6218"/>
    <w:rsid w:val="57FF3AAA"/>
    <w:rsid w:val="583A6C2C"/>
    <w:rsid w:val="58DD2EEE"/>
    <w:rsid w:val="58E96C7A"/>
    <w:rsid w:val="59AD3C67"/>
    <w:rsid w:val="59CC6D6F"/>
    <w:rsid w:val="5A1A1165"/>
    <w:rsid w:val="5AB0028C"/>
    <w:rsid w:val="5ABA33EB"/>
    <w:rsid w:val="5B0D630F"/>
    <w:rsid w:val="5B5D608F"/>
    <w:rsid w:val="5BC040BF"/>
    <w:rsid w:val="5BF209ED"/>
    <w:rsid w:val="5C0D6E91"/>
    <w:rsid w:val="5C33703B"/>
    <w:rsid w:val="5C3C3DDC"/>
    <w:rsid w:val="5D160516"/>
    <w:rsid w:val="5D3870A4"/>
    <w:rsid w:val="5D7D0F36"/>
    <w:rsid w:val="5DB61BFF"/>
    <w:rsid w:val="5DEF454B"/>
    <w:rsid w:val="5E4D617A"/>
    <w:rsid w:val="5E5A6C63"/>
    <w:rsid w:val="5E917C0F"/>
    <w:rsid w:val="5F3C6712"/>
    <w:rsid w:val="5F4B58F3"/>
    <w:rsid w:val="5FA360A5"/>
    <w:rsid w:val="6053481F"/>
    <w:rsid w:val="606E0DED"/>
    <w:rsid w:val="60AB2000"/>
    <w:rsid w:val="610129B1"/>
    <w:rsid w:val="619E219B"/>
    <w:rsid w:val="61D7419E"/>
    <w:rsid w:val="61D85325"/>
    <w:rsid w:val="62860AAA"/>
    <w:rsid w:val="628B7CEE"/>
    <w:rsid w:val="629D5796"/>
    <w:rsid w:val="62C476E5"/>
    <w:rsid w:val="62E57023"/>
    <w:rsid w:val="637A541F"/>
    <w:rsid w:val="655518A7"/>
    <w:rsid w:val="657A160B"/>
    <w:rsid w:val="66DD4F9F"/>
    <w:rsid w:val="67182835"/>
    <w:rsid w:val="671E2162"/>
    <w:rsid w:val="678438DB"/>
    <w:rsid w:val="67CD5EA6"/>
    <w:rsid w:val="68D8721E"/>
    <w:rsid w:val="69E97F5B"/>
    <w:rsid w:val="6A455E4A"/>
    <w:rsid w:val="6A79436D"/>
    <w:rsid w:val="6B3A5BD0"/>
    <w:rsid w:val="6B3C7023"/>
    <w:rsid w:val="6B610D05"/>
    <w:rsid w:val="6B8C3FE9"/>
    <w:rsid w:val="6BAC21D5"/>
    <w:rsid w:val="6C1D42E9"/>
    <w:rsid w:val="6C3E5296"/>
    <w:rsid w:val="6C952DF1"/>
    <w:rsid w:val="6CED1CB3"/>
    <w:rsid w:val="6D201CAE"/>
    <w:rsid w:val="6D3B42C3"/>
    <w:rsid w:val="6DDE0D10"/>
    <w:rsid w:val="6DDE1784"/>
    <w:rsid w:val="6E082488"/>
    <w:rsid w:val="6E5969DC"/>
    <w:rsid w:val="6E7B6A0F"/>
    <w:rsid w:val="6E7E575F"/>
    <w:rsid w:val="6EF15941"/>
    <w:rsid w:val="6F9921A1"/>
    <w:rsid w:val="6FB83EF3"/>
    <w:rsid w:val="70613E01"/>
    <w:rsid w:val="717F4370"/>
    <w:rsid w:val="73407EBD"/>
    <w:rsid w:val="7349765F"/>
    <w:rsid w:val="735A6DB9"/>
    <w:rsid w:val="73EF4563"/>
    <w:rsid w:val="74175679"/>
    <w:rsid w:val="742F0C48"/>
    <w:rsid w:val="744124AA"/>
    <w:rsid w:val="74664F47"/>
    <w:rsid w:val="7468660B"/>
    <w:rsid w:val="75032B80"/>
    <w:rsid w:val="754B7850"/>
    <w:rsid w:val="77252D59"/>
    <w:rsid w:val="77DC27D8"/>
    <w:rsid w:val="77E0572E"/>
    <w:rsid w:val="77ED4104"/>
    <w:rsid w:val="789508C5"/>
    <w:rsid w:val="78EF4372"/>
    <w:rsid w:val="79771B00"/>
    <w:rsid w:val="7980282D"/>
    <w:rsid w:val="798F6426"/>
    <w:rsid w:val="79E60E88"/>
    <w:rsid w:val="7A450BCE"/>
    <w:rsid w:val="7A523F02"/>
    <w:rsid w:val="7A5520F1"/>
    <w:rsid w:val="7ACA272A"/>
    <w:rsid w:val="7B0E7C70"/>
    <w:rsid w:val="7B2F5D22"/>
    <w:rsid w:val="7C8B1B8E"/>
    <w:rsid w:val="7CBE6536"/>
    <w:rsid w:val="7CD718AF"/>
    <w:rsid w:val="7D4B1FB2"/>
    <w:rsid w:val="7E6F339A"/>
    <w:rsid w:val="7E810662"/>
    <w:rsid w:val="7F590AE3"/>
    <w:rsid w:val="7FC44D8E"/>
    <w:rsid w:val="7FF0732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6"/>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17"/>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8"/>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19"/>
    <w:uiPriority w:val="0"/>
    <w:pPr>
      <w:jc w:val="left"/>
    </w:pPr>
  </w:style>
  <w:style w:type="paragraph" w:styleId="6">
    <w:name w:val="Balloon Text"/>
    <w:basedOn w:val="1"/>
    <w:link w:val="21"/>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0"/>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标题 1 Char"/>
    <w:link w:val="2"/>
    <w:uiPriority w:val="0"/>
    <w:rPr>
      <w:rFonts w:eastAsia="宋体"/>
      <w:b/>
      <w:kern w:val="44"/>
      <w:sz w:val="44"/>
    </w:rPr>
  </w:style>
  <w:style w:type="character" w:customStyle="1" w:styleId="17">
    <w:name w:val="标题 2 Char"/>
    <w:link w:val="3"/>
    <w:uiPriority w:val="0"/>
    <w:rPr>
      <w:rFonts w:ascii="Arial" w:hAnsi="Arial" w:eastAsia="宋体"/>
      <w:b/>
      <w:sz w:val="24"/>
    </w:rPr>
  </w:style>
  <w:style w:type="character" w:customStyle="1" w:styleId="18">
    <w:name w:val="标题 3 Char"/>
    <w:link w:val="4"/>
    <w:uiPriority w:val="0"/>
    <w:rPr>
      <w:rFonts w:hAnsi="Calibri" w:eastAsia="宋体"/>
      <w:b/>
      <w:sz w:val="24"/>
    </w:rPr>
  </w:style>
  <w:style w:type="character" w:customStyle="1" w:styleId="19">
    <w:name w:val="批注文字 Char"/>
    <w:link w:val="5"/>
    <w:uiPriority w:val="0"/>
    <w:rPr>
      <w:rFonts w:ascii="Calibri" w:hAnsi="Calibri" w:cs="黑体"/>
      <w:kern w:val="2"/>
      <w:sz w:val="21"/>
      <w:szCs w:val="24"/>
    </w:rPr>
  </w:style>
  <w:style w:type="character" w:customStyle="1" w:styleId="20">
    <w:name w:val="批注主题 Char"/>
    <w:link w:val="10"/>
    <w:qFormat/>
    <w:uiPriority w:val="0"/>
    <w:rPr>
      <w:rFonts w:ascii="Calibri" w:hAnsi="Calibri" w:cs="黑体"/>
      <w:b/>
      <w:bCs/>
      <w:kern w:val="2"/>
      <w:sz w:val="21"/>
      <w:szCs w:val="24"/>
    </w:rPr>
  </w:style>
  <w:style w:type="character" w:customStyle="1" w:styleId="21">
    <w:name w:val="批注框文本 Char"/>
    <w:link w:val="6"/>
    <w:uiPriority w:val="0"/>
    <w:rPr>
      <w:rFonts w:ascii="Calibri" w:hAnsi="Calibri" w:cs="黑体"/>
      <w:kern w:val="2"/>
      <w:sz w:val="18"/>
      <w:szCs w:val="18"/>
    </w:rPr>
  </w:style>
  <w:style w:type="paragraph" w:customStyle="1" w:styleId="22">
    <w:name w:val="List Paragraph"/>
    <w:basedOn w:val="1"/>
    <w:unhideWhenUsed/>
    <w:qFormat/>
    <w:uiPriority w:val="99"/>
    <w:pPr>
      <w:ind w:firstLine="420" w:firstLineChars="200"/>
    </w:pPr>
  </w:style>
  <w:style w:type="paragraph" w:customStyle="1" w:styleId="2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37211</Words>
  <Characters>38222</Characters>
  <Lines>210</Lines>
  <Paragraphs>59</Paragraphs>
  <TotalTime>0</TotalTime>
  <ScaleCrop>false</ScaleCrop>
  <LinksUpToDate>false</LinksUpToDate>
  <CharactersWithSpaces>38471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hccb</cp:lastModifiedBy>
  <dcterms:modified xsi:type="dcterms:W3CDTF">2026-02-02T05:57:36Z</dcterms:modified>
  <dc:title>杭银理财幸福99XXXX理财计划合同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