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page" w:horzAnchor="page" w:tblpX="1117" w:tblpY="1447"/>
        <w:tblOverlap w:val="never"/>
        <w:tblW w:w="981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0"/>
        <w:gridCol w:w="1080"/>
        <w:gridCol w:w="1290"/>
        <w:gridCol w:w="2280"/>
        <w:gridCol w:w="1335"/>
        <w:gridCol w:w="2415"/>
      </w:tblGrid>
      <w:tr w14:paraId="465B28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81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336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采购结果公告</w:t>
            </w:r>
          </w:p>
        </w:tc>
      </w:tr>
      <w:tr w14:paraId="6D8E8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0D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465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21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2026-2028年总行律师库建库（</w:t>
            </w:r>
            <w:bookmarkStart w:id="0" w:name="_GoBack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分包2：A层级律师事务所（注册地为北京市、上海市）</w:t>
            </w:r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  <w:tc>
          <w:tcPr>
            <w:tcW w:w="13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F41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采购方式</w:t>
            </w:r>
          </w:p>
        </w:tc>
        <w:tc>
          <w:tcPr>
            <w:tcW w:w="24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9A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公开征集入库</w:t>
            </w:r>
          </w:p>
        </w:tc>
      </w:tr>
      <w:tr w14:paraId="0A002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21A5B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候选成交供应商</w:t>
            </w: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D6D8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第一入库候选人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A0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北京大成律师事务所</w:t>
            </w:r>
          </w:p>
        </w:tc>
      </w:tr>
      <w:tr w14:paraId="35E180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74BF4360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C03F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第二入库候选人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14E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北京市通商律师事务所</w:t>
            </w:r>
          </w:p>
        </w:tc>
      </w:tr>
      <w:tr w14:paraId="7BCA4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2E0C482B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C5E0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第三入库候选人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7A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北京市安理律师事务所</w:t>
            </w:r>
          </w:p>
        </w:tc>
      </w:tr>
      <w:tr w14:paraId="26A22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7614108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0997E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第四入库候选人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F39D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上海市海华永泰律师事务所</w:t>
            </w:r>
          </w:p>
        </w:tc>
      </w:tr>
      <w:tr w14:paraId="7F6A6E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141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3950B5E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7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5CF9E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第五入库候选人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73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北京市金杜律师事务所上海分所</w:t>
            </w:r>
          </w:p>
        </w:tc>
      </w:tr>
      <w:tr w14:paraId="162C5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7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A8EB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拟成交供应商</w:t>
            </w:r>
          </w:p>
        </w:tc>
        <w:tc>
          <w:tcPr>
            <w:tcW w:w="6030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AD7F0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北京大成律师事务所、北京市通商律师事务所、北京市安理律师事务所、上海市海华永泰律师事务所</w:t>
            </w:r>
          </w:p>
        </w:tc>
      </w:tr>
      <w:tr w14:paraId="1E256B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25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采购内容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73C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2026-2028年总行律师库建库（分包二：A层级北京、上海）相关工作。</w:t>
            </w:r>
          </w:p>
        </w:tc>
      </w:tr>
      <w:tr w14:paraId="5EA1FF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2761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公告期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BA7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2026年04月10日—2026年04月13日</w:t>
            </w:r>
          </w:p>
        </w:tc>
      </w:tr>
      <w:tr w14:paraId="68C4C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3E0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投诉受理部门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9518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重庆银行股份有限公司内控合规部</w:t>
            </w:r>
          </w:p>
        </w:tc>
      </w:tr>
      <w:tr w14:paraId="352F7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C84C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投诉受理电话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E6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023-63367570</w:t>
            </w:r>
          </w:p>
        </w:tc>
      </w:tr>
      <w:tr w14:paraId="1AF44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0" w:hRule="atLeast"/>
        </w:trPr>
        <w:tc>
          <w:tcPr>
            <w:tcW w:w="24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32C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    他</w:t>
            </w:r>
          </w:p>
        </w:tc>
        <w:tc>
          <w:tcPr>
            <w:tcW w:w="73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86662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F104B9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76F65B7"/>
    <w:rsid w:val="7C4B3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Office_12.8.2.20324_F1E327BC-269C-435d-A152-05C5408002CA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2026-04-10T06:09:00Z</dcterms:created>
  <dc:creator>CQCB</dc:creator>
  <cp:lastModifiedBy>朱宇</cp:lastModifiedBy>
  <dcterms:modified xsi:type="dcterms:W3CDTF">2026-04-10T06:16:16Z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2052-12.8.2.20324</vt:lpwstr>
  </property>
  <property fmtid="{D5CDD505-2E9C-101B-9397-08002B2CF9AE}" pid="3" name="ICV">
    <vt:lpwstr>C4E565FF786847AA8E47BE951BE5E4F0_12</vt:lpwstr>
  </property>
</Properties>
</file>