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07" w:tblpY="143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378E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采购结果公告</w:t>
            </w:r>
          </w:p>
        </w:tc>
      </w:tr>
      <w:tr w14:paraId="7CBB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6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A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2026-2028年总行律师库建库（分包1：A层级律师事务所（注册地为重庆市）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8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5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公开征集入库</w:t>
            </w:r>
          </w:p>
        </w:tc>
      </w:tr>
      <w:tr w14:paraId="16622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23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候选成交供应商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EF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7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泰和泰（重庆）律师事务所</w:t>
            </w:r>
          </w:p>
        </w:tc>
      </w:tr>
      <w:tr w14:paraId="44BA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9CD0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9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F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上海锦天城（重庆）律师事务所</w:t>
            </w:r>
          </w:p>
        </w:tc>
      </w:tr>
      <w:tr w14:paraId="1F8F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89C5D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A3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70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国浩律师（重庆）事务所</w:t>
            </w:r>
          </w:p>
        </w:tc>
      </w:tr>
      <w:tr w14:paraId="09C4E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8F35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32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F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重庆静昇律师事务所</w:t>
            </w:r>
          </w:p>
        </w:tc>
      </w:tr>
      <w:tr w14:paraId="42D4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240A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8F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F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重庆康实律师事务所</w:t>
            </w:r>
          </w:p>
        </w:tc>
      </w:tr>
      <w:tr w14:paraId="1B14E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1875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C6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4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中豪律师事务所</w:t>
            </w:r>
          </w:p>
        </w:tc>
      </w:tr>
      <w:tr w14:paraId="2D3A5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ED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47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泰和泰（重庆）律师事务所、上海锦天城（重庆）律师事务所、国浩律师（重庆）事务所、重庆静昇律师事务所、重庆康实律师事务所、中豪律师事务所</w:t>
            </w:r>
          </w:p>
        </w:tc>
      </w:tr>
      <w:tr w14:paraId="3448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A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5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2026-2028年总行律师库建库（分包一：A层级重庆）相关工作。</w:t>
            </w:r>
          </w:p>
        </w:tc>
      </w:tr>
      <w:tr w14:paraId="6697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C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2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2026年04月10日—2026年04月13日</w:t>
            </w:r>
          </w:p>
        </w:tc>
      </w:tr>
      <w:tr w14:paraId="77D20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B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4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1AC9D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E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3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</w:p>
        </w:tc>
      </w:tr>
      <w:tr w14:paraId="0AA6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A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2D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22B1B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2542F9"/>
    <w:rsid w:val="6CE2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2026-04-10T06:11:00Z</dcterms:created>
  <dc:creator>CQCB</dc:creator>
  <cp:lastModifiedBy>朱宇</cp:lastModifiedBy>
  <dcterms:modified xsi:type="dcterms:W3CDTF">2026-04-10T06:15:31Z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4FADC78454D04CD0AA9672663782FEF0_12</vt:lpwstr>
  </property>
</Properties>
</file>