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sz w:val="44"/>
          <w:szCs w:val="44"/>
          <w:highlight w:val="none"/>
        </w:rPr>
      </w:pPr>
      <w:bookmarkStart w:id="0" w:name="_GoBack"/>
      <w:bookmarkEnd w:id="0"/>
      <w:r>
        <w:rPr>
          <w:rFonts w:hint="eastAsia" w:ascii="宋体" w:hAnsi="宋体" w:eastAsia="宋体" w:cs="宋体"/>
          <w:b/>
          <w:bCs/>
          <w:kern w:val="2"/>
          <w:sz w:val="44"/>
          <w:szCs w:val="44"/>
          <w:highlight w:val="none"/>
          <w:lang w:val="en-US" w:eastAsia="zh-CN" w:bidi="ar-SA"/>
        </w:rPr>
        <w:t>幸福99益合·添益（年年红）1年定开型2510期理财</w:t>
      </w:r>
      <w:r>
        <w:rPr>
          <w:rFonts w:hint="eastAsia" w:ascii="宋体" w:hAnsi="宋体" w:cs="宋体"/>
          <w:b/>
          <w:bCs/>
          <w:sz w:val="44"/>
          <w:szCs w:val="44"/>
          <w:highlight w:val="none"/>
        </w:rPr>
        <w:t>产品说明书</w:t>
      </w:r>
    </w:p>
    <w:p>
      <w:pPr>
        <w:jc w:val="center"/>
        <w:outlineLvl w:val="1"/>
        <w:rPr>
          <w:rFonts w:hint="eastAsia" w:ascii="宋体" w:hAnsi="宋体" w:cs="宋体"/>
          <w:b/>
          <w:bCs/>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sz w:val="24"/>
          <w:highlight w:val="none"/>
        </w:rPr>
        <w:t>〖</w:t>
      </w:r>
      <w:r>
        <w:rPr>
          <w:rFonts w:hint="eastAsia" w:ascii="宋体" w:hAnsi="宋体" w:eastAsia="宋体" w:cs="宋体"/>
          <w:bCs/>
          <w:kern w:val="2"/>
          <w:sz w:val="24"/>
          <w:szCs w:val="24"/>
          <w:highlight w:val="none"/>
          <w:lang w:val="en-US" w:eastAsia="zh-CN" w:bidi="ar-SA"/>
        </w:rPr>
        <w:t>Z7002225000067</w:t>
      </w:r>
      <w:r>
        <w:rPr>
          <w:rFonts w:hint="eastAsia" w:ascii="宋体" w:hAnsi="宋体" w:cs="宋体"/>
          <w:bCs/>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9"/>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sz w:val="24"/>
          <w:highlight w:val="none"/>
          <w:lang w:eastAsia="zh-CN"/>
        </w:rPr>
        <w:t>理财计划</w:t>
      </w:r>
      <w:r>
        <w:rPr>
          <w:rFonts w:hint="eastAsia" w:ascii="宋体" w:hAnsi="宋体" w:cs="宋体"/>
          <w:bCs/>
          <w:sz w:val="24"/>
          <w:highlight w:val="none"/>
        </w:rPr>
        <w:t>风险揭示书》《投资者权益须知》《理财计划投资协议书》</w:t>
      </w:r>
      <w:r>
        <w:rPr>
          <w:rFonts w:hint="eastAsia" w:ascii="宋体" w:hAnsi="宋体" w:cs="宋体"/>
          <w:bCs/>
          <w:sz w:val="24"/>
          <w:highlight w:val="none"/>
          <w:lang w:eastAsia="zh-CN"/>
        </w:rPr>
        <w:t>《理财计划销售协议书》</w:t>
      </w:r>
      <w:r>
        <w:rPr>
          <w:rFonts w:hint="eastAsia" w:ascii="宋体" w:hAnsi="宋体" w:cs="宋体"/>
          <w:bCs/>
          <w:sz w:val="24"/>
          <w:highlight w:val="none"/>
        </w:rPr>
        <w:t>，将共同构成投资者与管理人之间的理财计划</w:t>
      </w:r>
      <w:r>
        <w:rPr>
          <w:rFonts w:hint="eastAsia" w:ascii="宋体" w:hAnsi="宋体" w:cs="宋体"/>
          <w:bCs/>
          <w:sz w:val="24"/>
          <w:highlight w:val="none"/>
          <w:lang w:val="en-US" w:eastAsia="zh-CN"/>
        </w:rPr>
        <w:t>销售文件</w:t>
      </w:r>
      <w:r>
        <w:rPr>
          <w:rFonts w:hint="eastAsia" w:ascii="宋体" w:hAnsi="宋体" w:cs="宋体"/>
          <w:bCs/>
          <w:sz w:val="24"/>
          <w:highlight w:val="none"/>
        </w:rPr>
        <w:t>。</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在本理财计划存续期内，如因监管政策或法律法规发生变化，在不损害投资者利益的前提下，管理人有权对</w:t>
      </w:r>
      <w:r>
        <w:rPr>
          <w:rFonts w:hint="eastAsia" w:ascii="宋体" w:hAnsi="宋体" w:cs="宋体"/>
          <w:bCs/>
          <w:sz w:val="24"/>
          <w:highlight w:val="none"/>
          <w:lang w:val="en-US" w:eastAsia="zh-CN"/>
        </w:rPr>
        <w:t>因上述变化导致的</w:t>
      </w:r>
      <w:r>
        <w:rPr>
          <w:rFonts w:hint="eastAsia" w:ascii="宋体" w:hAnsi="宋体" w:cs="宋体"/>
          <w:bCs/>
          <w:sz w:val="24"/>
          <w:highlight w:val="none"/>
        </w:rPr>
        <w:t>本理财计划说明书条款</w:t>
      </w:r>
      <w:r>
        <w:rPr>
          <w:rFonts w:hint="eastAsia" w:ascii="宋体" w:hAnsi="宋体" w:cs="宋体"/>
          <w:bCs/>
          <w:sz w:val="24"/>
          <w:highlight w:val="none"/>
          <w:lang w:val="en-US" w:eastAsia="zh-CN"/>
        </w:rPr>
        <w:t>变化</w:t>
      </w:r>
      <w:r>
        <w:rPr>
          <w:rFonts w:hint="eastAsia" w:ascii="宋体" w:hAnsi="宋体" w:cs="宋体"/>
          <w:bCs/>
          <w:sz w:val="24"/>
          <w:highlight w:val="none"/>
        </w:rPr>
        <w:t>进行修订。</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numPr>
          <w:ilvl w:val="0"/>
          <w:numId w:val="0"/>
        </w:numPr>
        <w:spacing w:line="360" w:lineRule="auto"/>
        <w:jc w:val="left"/>
        <w:rPr>
          <w:rFonts w:hint="eastAsia" w:ascii="宋体" w:hAnsi="宋体" w:cs="宋体"/>
          <w:bCs/>
          <w:sz w:val="24"/>
          <w:highlight w:val="none"/>
        </w:rPr>
      </w:pPr>
    </w:p>
    <w:p>
      <w:pPr>
        <w:numPr>
          <w:ilvl w:val="0"/>
          <w:numId w:val="3"/>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释义</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auto"/>
          <w:kern w:val="2"/>
          <w:highlight w:val="none"/>
          <w:lang w:eastAsia="zh-CN"/>
        </w:rPr>
        <w:t>杭银理财有限责任公司简称杭银理财，官网网站为</w:t>
      </w:r>
      <w:r>
        <w:rPr>
          <w:rFonts w:hint="eastAsia" w:ascii="宋体" w:hAnsi="宋体" w:cs="宋体"/>
          <w:bCs/>
          <w:color w:val="auto"/>
          <w:kern w:val="2"/>
          <w:highlight w:val="none"/>
          <w:u w:val="none"/>
          <w:lang w:val="en-US" w:eastAsia="zh-CN"/>
        </w:rPr>
        <w:t>https://</w:t>
      </w:r>
      <w:r>
        <w:rPr>
          <w:rFonts w:hint="eastAsia" w:ascii="宋体" w:hAnsi="宋体" w:cs="宋体"/>
          <w:bCs/>
          <w:color w:val="auto"/>
          <w:kern w:val="2"/>
          <w:highlight w:val="none"/>
          <w:u w:val="none"/>
        </w:rPr>
        <w:fldChar w:fldCharType="begin"/>
      </w:r>
      <w:r>
        <w:rPr>
          <w:rFonts w:hint="eastAsia" w:ascii="宋体" w:hAnsi="宋体" w:cs="宋体"/>
          <w:bCs/>
          <w:color w:val="auto"/>
          <w:kern w:val="2"/>
          <w:highlight w:val="none"/>
          <w:u w:val="none"/>
        </w:rPr>
        <w:instrText xml:space="preserve"> HYPERLINK "http://www.hzbank.com.cn" </w:instrText>
      </w:r>
      <w:r>
        <w:rPr>
          <w:rFonts w:hint="eastAsia" w:ascii="宋体" w:hAnsi="宋体" w:cs="宋体"/>
          <w:bCs/>
          <w:color w:val="auto"/>
          <w:kern w:val="2"/>
          <w:highlight w:val="none"/>
          <w:u w:val="none"/>
        </w:rPr>
        <w:fldChar w:fldCharType="separate"/>
      </w:r>
      <w:r>
        <w:rPr>
          <w:rFonts w:hint="eastAsia" w:ascii="宋体" w:hAnsi="宋体" w:cs="宋体"/>
          <w:bCs/>
          <w:color w:val="auto"/>
          <w:kern w:val="2"/>
          <w:highlight w:val="none"/>
          <w:u w:val="none"/>
        </w:rPr>
        <w:t>www.hzbank</w:t>
      </w:r>
      <w:r>
        <w:rPr>
          <w:rFonts w:hint="eastAsia" w:ascii="宋体" w:hAnsi="宋体" w:cs="宋体"/>
          <w:bCs/>
          <w:color w:val="auto"/>
          <w:kern w:val="2"/>
          <w:highlight w:val="none"/>
          <w:u w:val="none"/>
          <w:lang w:val="en-US" w:eastAsia="zh-CN"/>
        </w:rPr>
        <w:t>wealth</w:t>
      </w:r>
      <w:r>
        <w:rPr>
          <w:rFonts w:hint="eastAsia" w:ascii="宋体" w:hAnsi="宋体" w:cs="宋体"/>
          <w:bCs/>
          <w:color w:val="auto"/>
          <w:kern w:val="2"/>
          <w:highlight w:val="none"/>
          <w:u w:val="none"/>
        </w:rPr>
        <w:t>.com.cn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u w:val="none"/>
          <w:lang w:eastAsia="zh-CN"/>
        </w:rPr>
        <w:t>，</w:t>
      </w:r>
      <w:r>
        <w:rPr>
          <w:rFonts w:hint="eastAsia" w:ascii="宋体" w:hAnsi="宋体" w:cs="宋体"/>
          <w:bCs/>
          <w:color w:val="auto"/>
          <w:kern w:val="2"/>
          <w:highlight w:val="none"/>
          <w:u w:val="none"/>
          <w:lang w:val="en-US" w:eastAsia="zh-CN"/>
        </w:rPr>
        <w:t>客服电话400-8950-999</w:t>
      </w:r>
      <w:r>
        <w:rPr>
          <w:rFonts w:hint="eastAsia" w:ascii="宋体" w:hAnsi="宋体" w:cs="宋体"/>
          <w:bCs/>
          <w:color w:val="auto"/>
          <w:kern w:val="2"/>
          <w:highlight w:val="none"/>
          <w:u w:val="none"/>
        </w:rPr>
        <w:t>。</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rPr>
          <w:rFonts w:hint="eastAsia" w:ascii="宋体" w:hAnsi="宋体" w:cs="宋体"/>
          <w:bCs/>
          <w:color w:val="000000"/>
          <w:kern w:val="2"/>
          <w:highlight w:val="none"/>
          <w:u w:val="none"/>
        </w:rPr>
        <w:fldChar w:fldCharType="begin"/>
      </w:r>
      <w:r>
        <w:rPr>
          <w:rFonts w:hint="eastAsia" w:ascii="宋体" w:hAnsi="宋体" w:cs="宋体"/>
          <w:bCs/>
          <w:color w:val="000000"/>
          <w:kern w:val="2"/>
          <w:highlight w:val="none"/>
          <w:u w:val="none"/>
        </w:rPr>
        <w:instrText xml:space="preserve"> HYPERLINK "http://www.hzbank.com.cn" </w:instrText>
      </w:r>
      <w:r>
        <w:rPr>
          <w:rFonts w:hint="eastAsia" w:ascii="宋体" w:hAnsi="宋体" w:cs="宋体"/>
          <w:bCs/>
          <w:color w:val="000000"/>
          <w:kern w:val="2"/>
          <w:highlight w:val="none"/>
          <w:u w:val="none"/>
        </w:rP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sz w:val="24"/>
          <w:szCs w:val="24"/>
          <w:highlight w:val="none"/>
        </w:rPr>
        <w:t>〗</w:t>
      </w:r>
      <w:r>
        <w:rPr>
          <w:rFonts w:hint="eastAsia" w:ascii="宋体" w:hAnsi="宋体" w:cs="宋体"/>
          <w:bCs/>
          <w:color w:val="auto"/>
          <w:kern w:val="2"/>
          <w:highlight w:val="none"/>
        </w:rPr>
        <w:t>。</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auto"/>
          <w:kern w:val="2"/>
          <w:highlight w:val="none"/>
          <w:lang w:eastAsia="zh-CN"/>
        </w:rPr>
        <w:t>国家金融监督管理总局</w:t>
      </w:r>
      <w:r>
        <w:rPr>
          <w:rFonts w:hint="eastAsia" w:ascii="宋体" w:hAnsi="宋体" w:cs="宋体"/>
          <w:bCs/>
          <w:color w:val="auto"/>
          <w:kern w:val="2"/>
          <w:highlight w:val="none"/>
        </w:rPr>
        <w:t>、中国证券监督管理委员会、外汇管理局、银行业理财登记托管中心等。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理财计划说明书/产品说明书：</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幸福99益合·添益（年年红）1年定开型2510期理财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幸福99益合·添益（年年红）1年定开型2510期理财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幸福99益合·添益（年年红）1年定开型2510期理财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投资协议书：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幸福99益合·添益（年年红）1年定开型2510期理财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理财</w:t>
      </w:r>
      <w:r>
        <w:rPr>
          <w:rFonts w:hint="eastAsia" w:ascii="宋体" w:hAnsi="宋体" w:cs="宋体"/>
          <w:b/>
          <w:bCs w:val="0"/>
          <w:color w:val="auto"/>
          <w:kern w:val="2"/>
          <w:highlight w:val="none"/>
          <w:lang w:val="en-US" w:eastAsia="zh-CN"/>
        </w:rPr>
        <w:t>计划</w:t>
      </w:r>
      <w:r>
        <w:rPr>
          <w:rFonts w:hint="eastAsia" w:ascii="宋体" w:hAnsi="宋体" w:cs="宋体"/>
          <w:b/>
          <w:bCs w:val="0"/>
          <w:color w:val="auto"/>
          <w:kern w:val="2"/>
          <w:highlight w:val="none"/>
          <w:lang w:eastAsia="zh-CN"/>
        </w:rPr>
        <w:t>销售协议书：</w:t>
      </w:r>
      <w:r>
        <w:rPr>
          <w:rFonts w:hint="eastAsia" w:ascii="宋体" w:hAnsi="宋体" w:cs="宋体"/>
          <w:bCs/>
          <w:color w:val="auto"/>
          <w:kern w:val="2"/>
          <w:highlight w:val="none"/>
          <w:lang w:eastAsia="zh-CN"/>
        </w:rPr>
        <w:t>指作为</w:t>
      </w:r>
      <w:r>
        <w:rPr>
          <w:rFonts w:hint="eastAsia" w:ascii="宋体" w:hAnsi="宋体" w:eastAsia="宋体" w:cs="宋体"/>
          <w:bCs/>
          <w:color w:val="auto"/>
          <w:kern w:val="2"/>
          <w:sz w:val="24"/>
          <w:szCs w:val="24"/>
          <w:highlight w:val="none"/>
          <w:lang w:val="en-US" w:eastAsia="zh-CN" w:bidi="ar-SA"/>
        </w:rPr>
        <w:t>幸福99益合·添益（年年红）1年定开型2510期理财</w:t>
      </w:r>
      <w:r>
        <w:rPr>
          <w:rFonts w:hint="eastAsia" w:ascii="宋体" w:hAnsi="宋体" w:cs="宋体"/>
          <w:bCs/>
          <w:color w:val="auto"/>
          <w:kern w:val="2"/>
          <w:highlight w:val="none"/>
          <w:lang w:val="en-US" w:eastAsia="zh-CN"/>
        </w:rPr>
        <w:t>合同不可分割组成部分的理财计划销售协议书，以及对该文件的有效修改与补充。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合同/销售文件：</w:t>
      </w:r>
      <w:r>
        <w:rPr>
          <w:rFonts w:hint="eastAsia" w:ascii="宋体" w:hAnsi="宋体" w:cs="宋体"/>
          <w:bCs/>
          <w:color w:val="auto"/>
          <w:kern w:val="2"/>
          <w:highlight w:val="none"/>
        </w:rPr>
        <w:t>指《理财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风险揭示书</w:t>
      </w:r>
      <w:r>
        <w:rPr>
          <w:rFonts w:hint="eastAsia" w:ascii="宋体" w:hAnsi="宋体" w:cs="宋体"/>
          <w:bCs/>
          <w:color w:val="auto"/>
          <w:kern w:val="2"/>
          <w:highlight w:val="none"/>
        </w:rPr>
        <w:t>》《</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产品说明书</w:t>
      </w:r>
      <w:r>
        <w:rPr>
          <w:rFonts w:hint="eastAsia" w:ascii="宋体" w:hAnsi="宋体" w:cs="宋体"/>
          <w:bCs/>
          <w:color w:val="auto"/>
          <w:kern w:val="2"/>
          <w:highlight w:val="none"/>
        </w:rPr>
        <w:t>》《投资者权益须知》《理财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rPr>
        <w:t>投资协议书》</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销售协议书》五</w:t>
      </w:r>
      <w:r>
        <w:rPr>
          <w:rFonts w:hint="eastAsia" w:ascii="宋体" w:hAnsi="宋体" w:cs="宋体"/>
          <w:bCs/>
          <w:color w:val="auto"/>
          <w:kern w:val="2"/>
          <w:highlight w:val="none"/>
        </w:rPr>
        <w:t>个部分。</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幸福99益合·添益（年年红）1年定开型2510期理财</w:t>
      </w:r>
      <w:r>
        <w:rPr>
          <w:rFonts w:hint="eastAsia" w:ascii="宋体" w:hAnsi="宋体" w:cs="宋体"/>
          <w:bCs/>
          <w:highlight w:val="none"/>
        </w:rPr>
        <w:t>。</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color w:val="000000"/>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w:t>
      </w:r>
      <w:r>
        <w:rPr>
          <w:rFonts w:hint="eastAsia" w:ascii="宋体" w:hAnsi="宋体" w:cs="宋体"/>
          <w:bCs/>
          <w:highlight w:val="none"/>
          <w:lang w:val="en-US" w:eastAsia="zh-CN"/>
        </w:rPr>
        <w:t>如涉及到监管条例部分，统一以监管条例表述替代。</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w:t>
      </w:r>
      <w:r>
        <w:rPr>
          <w:rFonts w:hint="eastAsia" w:ascii="宋体" w:hAnsi="宋体" w:cs="宋体"/>
          <w:bCs/>
          <w:color w:val="auto"/>
          <w:kern w:val="2"/>
          <w:highlight w:val="none"/>
          <w:lang w:eastAsia="zh-CN"/>
        </w:rPr>
        <w:t>计划</w:t>
      </w:r>
      <w:r>
        <w:rPr>
          <w:rFonts w:hint="eastAsia" w:ascii="宋体" w:hAnsi="宋体" w:cs="宋体"/>
          <w:bCs/>
          <w:color w:val="auto"/>
          <w:kern w:val="2"/>
          <w:highlight w:val="none"/>
        </w:rPr>
        <w:t>成立后，理财计划不接受投资者申购赎回的时间。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20"/>
        <w:numPr>
          <w:ilvl w:val="0"/>
          <w:numId w:val="7"/>
        </w:numPr>
        <w:adjustRightInd/>
        <w:spacing w:line="360" w:lineRule="auto"/>
        <w:ind w:left="0"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投资周期</w:t>
      </w:r>
      <w:r>
        <w:rPr>
          <w:rFonts w:hint="eastAsia" w:ascii="宋体" w:hAnsi="宋体" w:cs="宋体"/>
          <w:b/>
          <w:color w:val="auto"/>
          <w:kern w:val="2"/>
          <w:highlight w:val="none"/>
          <w:lang w:eastAsia="zh-CN"/>
        </w:rPr>
        <w:t>：</w:t>
      </w:r>
      <w:r>
        <w:rPr>
          <w:rFonts w:hint="eastAsia" w:ascii="宋体" w:hAnsi="宋体" w:cs="宋体"/>
          <w:b w:val="0"/>
          <w:bCs/>
          <w:color w:val="auto"/>
          <w:kern w:val="2"/>
          <w:highlight w:val="none"/>
          <w:lang w:eastAsia="zh-CN"/>
        </w:rPr>
        <w:t>指理财计划成立或申购</w:t>
      </w:r>
      <w:r>
        <w:rPr>
          <w:rFonts w:hint="eastAsia" w:ascii="宋体" w:hAnsi="宋体" w:cs="宋体"/>
          <w:b w:val="0"/>
          <w:bCs/>
          <w:color w:val="auto"/>
          <w:kern w:val="2"/>
          <w:highlight w:val="none"/>
          <w:lang w:val="en-US" w:eastAsia="zh-CN"/>
        </w:rPr>
        <w:t>/赎回</w:t>
      </w:r>
      <w:r>
        <w:rPr>
          <w:rFonts w:hint="eastAsia" w:ascii="宋体" w:hAnsi="宋体" w:cs="宋体"/>
          <w:b w:val="0"/>
          <w:bCs/>
          <w:color w:val="auto"/>
          <w:kern w:val="2"/>
          <w:highlight w:val="none"/>
          <w:lang w:eastAsia="zh-CN"/>
        </w:rPr>
        <w:t>开放期确认后，至下一个申购</w:t>
      </w:r>
      <w:r>
        <w:rPr>
          <w:rFonts w:hint="eastAsia" w:ascii="宋体" w:hAnsi="宋体" w:cs="宋体"/>
          <w:b w:val="0"/>
          <w:bCs/>
          <w:color w:val="auto"/>
          <w:kern w:val="2"/>
          <w:highlight w:val="none"/>
          <w:lang w:val="en-US" w:eastAsia="zh-CN"/>
        </w:rPr>
        <w:t>/赎回开放期确认前的时间。如申购和赎回开放期确认时间不一致，应明确以申购投资周期或赎回投资周期作为理财计划的投资周期。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开放日：</w:t>
      </w:r>
      <w:r>
        <w:rPr>
          <w:rFonts w:hint="eastAsia" w:ascii="宋体" w:hAnsi="宋体" w:cs="宋体"/>
          <w:bCs/>
          <w:color w:val="auto"/>
          <w:kern w:val="2"/>
          <w:highlight w:val="none"/>
        </w:rPr>
        <w:t>指为投资者办理申购、赎回交易的日期。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开放期：</w:t>
      </w:r>
      <w:r>
        <w:rPr>
          <w:rFonts w:hint="eastAsia" w:ascii="宋体" w:hAnsi="宋体" w:cs="宋体"/>
          <w:bCs/>
          <w:highlight w:val="none"/>
        </w:rPr>
        <w:t>指管理人向投资者提供申购</w:t>
      </w:r>
      <w:r>
        <w:rPr>
          <w:rFonts w:hint="eastAsia" w:ascii="宋体" w:hAnsi="宋体" w:cs="宋体"/>
          <w:bCs/>
          <w:highlight w:val="none"/>
          <w:lang w:eastAsia="zh-CN"/>
        </w:rPr>
        <w:t>、</w:t>
      </w:r>
      <w:r>
        <w:rPr>
          <w:rFonts w:hint="eastAsia" w:ascii="宋体" w:hAnsi="宋体" w:cs="宋体"/>
          <w:bCs/>
          <w:highlight w:val="none"/>
          <w:lang w:val="en-US" w:eastAsia="zh-CN"/>
        </w:rPr>
        <w:t>赎回</w:t>
      </w:r>
      <w:r>
        <w:rPr>
          <w:rFonts w:hint="eastAsia" w:ascii="宋体" w:hAnsi="宋体" w:cs="宋体"/>
          <w:bCs/>
          <w:highlight w:val="none"/>
        </w:rPr>
        <w:t>交易的时间。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确认日：</w:t>
      </w:r>
      <w:r>
        <w:rPr>
          <w:rFonts w:hint="eastAsia" w:ascii="宋体" w:hAnsi="宋体" w:cs="宋体"/>
          <w:bCs/>
          <w:color w:val="auto"/>
          <w:kern w:val="2"/>
          <w:highlight w:val="none"/>
        </w:rPr>
        <w:t>指管理人确认投资者申购</w:t>
      </w:r>
      <w:r>
        <w:rPr>
          <w:rFonts w:hint="eastAsia" w:ascii="宋体" w:hAnsi="宋体" w:cs="宋体"/>
          <w:bCs/>
          <w:color w:val="auto"/>
          <w:kern w:val="2"/>
          <w:highlight w:val="none"/>
          <w:lang w:eastAsia="zh-CN"/>
        </w:rPr>
        <w:t>、</w:t>
      </w:r>
      <w:r>
        <w:rPr>
          <w:rFonts w:hint="eastAsia" w:ascii="宋体" w:hAnsi="宋体" w:cs="宋体"/>
          <w:bCs/>
          <w:color w:val="auto"/>
          <w:kern w:val="2"/>
          <w:highlight w:val="none"/>
          <w:lang w:val="en-US" w:eastAsia="zh-CN"/>
        </w:rPr>
        <w:t>赎回</w:t>
      </w:r>
      <w:r>
        <w:rPr>
          <w:rFonts w:hint="eastAsia" w:ascii="宋体" w:hAnsi="宋体" w:cs="宋体"/>
          <w:bCs/>
          <w:color w:val="auto"/>
          <w:kern w:val="2"/>
          <w:highlight w:val="none"/>
        </w:rPr>
        <w:t>交易是否有效的日期。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申购：</w:t>
      </w:r>
      <w:r>
        <w:rPr>
          <w:rFonts w:hint="eastAsia" w:ascii="宋体" w:hAnsi="宋体" w:cs="宋体"/>
          <w:bCs/>
          <w:color w:val="auto"/>
          <w:kern w:val="2"/>
          <w:highlight w:val="none"/>
        </w:rPr>
        <w:t>指理财计划申购开放期内，投资者向管理人进行理财计划份额购买的行为。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赎回：</w:t>
      </w:r>
      <w:r>
        <w:rPr>
          <w:rFonts w:hint="eastAsia" w:ascii="宋体" w:hAnsi="宋体" w:cs="宋体"/>
          <w:bCs/>
          <w:color w:val="auto"/>
          <w:kern w:val="2"/>
          <w:highlight w:val="none"/>
        </w:rPr>
        <w:t>指理财计划</w:t>
      </w:r>
      <w:r>
        <w:rPr>
          <w:rFonts w:hint="eastAsia" w:ascii="宋体" w:hAnsi="宋体" w:cs="宋体"/>
          <w:bCs/>
          <w:color w:val="auto"/>
          <w:kern w:val="2"/>
          <w:highlight w:val="none"/>
          <w:lang w:eastAsia="zh-CN"/>
        </w:rPr>
        <w:t>赎回</w:t>
      </w:r>
      <w:r>
        <w:rPr>
          <w:rFonts w:hint="eastAsia" w:ascii="宋体" w:hAnsi="宋体" w:cs="宋体"/>
          <w:bCs/>
          <w:color w:val="auto"/>
          <w:kern w:val="2"/>
          <w:highlight w:val="none"/>
        </w:rPr>
        <w:t>开放期内，投资者向管理人进行理财计划份额卖出的行为。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流</w:t>
      </w:r>
      <w:r>
        <w:rPr>
          <w:rFonts w:hint="eastAsia"/>
          <w:b/>
          <w:bCs w:val="0"/>
          <w:highlight w:val="none"/>
          <w:lang w:val="en-US" w:eastAsia="zh-CN"/>
        </w:rPr>
        <w:t>动性受限资产：</w:t>
      </w:r>
      <w:r>
        <w:rPr>
          <w:rFonts w:hint="eastAsia"/>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7个工作日可变现资产：</w:t>
      </w:r>
      <w:r>
        <w:rPr>
          <w:rFonts w:hint="eastAsia"/>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20"/>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20"/>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20"/>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摆动定价机制：</w:t>
      </w:r>
      <w:r>
        <w:rPr>
          <w:rFonts w:hint="eastAsia" w:ascii="宋体" w:hAnsi="宋体" w:cs="宋体"/>
          <w:b w:val="0"/>
          <w:bCs/>
          <w:color w:val="auto"/>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短期赎回费机制：</w:t>
      </w:r>
      <w:r>
        <w:rPr>
          <w:rFonts w:hint="eastAsia" w:ascii="宋体" w:hAnsi="宋体" w:cs="宋体"/>
          <w:b w:val="0"/>
          <w:bCs/>
          <w:color w:val="auto"/>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20"/>
        <w:numPr>
          <w:ilvl w:val="0"/>
          <w:numId w:val="0"/>
        </w:numPr>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w:t>
      </w:r>
      <w:r>
        <w:rPr>
          <w:rFonts w:hint="eastAsia" w:ascii="宋体" w:hAnsi="宋体" w:eastAsia="宋体" w:cs="宋体"/>
          <w:b/>
          <w:color w:val="auto"/>
          <w:kern w:val="2"/>
          <w:sz w:val="24"/>
          <w:szCs w:val="24"/>
          <w:highlight w:val="none"/>
          <w:lang w:val="en-US" w:eastAsia="zh-CN" w:bidi="ar-SA"/>
        </w:rPr>
        <w:t>R2</w:t>
      </w:r>
      <w:r>
        <w:rPr>
          <w:rFonts w:hint="eastAsia" w:ascii="宋体" w:hAnsi="宋体" w:cs="宋体"/>
          <w:b/>
          <w:color w:val="auto"/>
          <w:kern w:val="2"/>
          <w:highlight w:val="none"/>
        </w:rPr>
        <w:t>〗，〖</w:t>
      </w:r>
      <w:r>
        <w:rPr>
          <w:rFonts w:hint="eastAsia" w:ascii="宋体" w:hAnsi="宋体" w:eastAsia="宋体" w:cs="宋体"/>
          <w:b/>
          <w:color w:val="auto"/>
          <w:kern w:val="2"/>
          <w:sz w:val="24"/>
          <w:szCs w:val="24"/>
          <w:highlight w:val="none"/>
          <w:lang w:val="en-US" w:eastAsia="zh-CN" w:bidi="ar-SA"/>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内部风险评级</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风险程度</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R1</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保守型、</w:t>
            </w: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w:t>
            </w:r>
            <w:r>
              <w:rPr>
                <w:rFonts w:hint="eastAsia" w:ascii="宋体" w:hAnsi="宋体" w:cs="宋体"/>
                <w:bCs/>
                <w:color w:val="auto"/>
                <w:kern w:val="2"/>
                <w:highlight w:val="none"/>
              </w:rPr>
              <w:t>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R2</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R3</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R4</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R5</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进取型</w:t>
            </w:r>
          </w:p>
        </w:tc>
      </w:tr>
    </w:tbl>
    <w:p>
      <w:pPr>
        <w:pStyle w:val="20"/>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pStyle w:val="20"/>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kern w:val="2"/>
                <w:sz w:val="21"/>
                <w:szCs w:val="21"/>
                <w:highlight w:val="none"/>
                <w:lang w:val="en-US" w:eastAsia="zh-CN" w:bidi="ar-SA"/>
              </w:rPr>
              <w:t>幸福99益合·添益（年年红）1年定开型2510期理财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sz w:val="21"/>
                <w:szCs w:val="21"/>
                <w:highlight w:val="none"/>
                <w:lang w:val="en-US" w:eastAsia="zh-CN"/>
              </w:rPr>
            </w:pPr>
            <w:r>
              <w:rPr>
                <w:rFonts w:hint="eastAsia" w:ascii="宋体" w:hAnsi="宋体" w:eastAsia="宋体" w:cs="宋体"/>
                <w:kern w:val="2"/>
                <w:sz w:val="21"/>
                <w:szCs w:val="21"/>
                <w:highlight w:val="none"/>
                <w:lang w:val="en-US" w:eastAsia="zh-CN" w:bidi="ar-SA"/>
              </w:rPr>
              <w:t>添益（年年红）1年定开型2510期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 w:val="21"/>
                <w:szCs w:val="21"/>
                <w:highlight w:val="none"/>
              </w:rPr>
            </w:pPr>
            <w:r>
              <w:rPr>
                <w:rFonts w:hint="eastAsia" w:ascii="宋体" w:hAnsi="宋体" w:cs="宋体"/>
                <w:sz w:val="21"/>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TYG12M2510</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Z7002225000067</w:t>
            </w:r>
            <w:r>
              <w:rPr>
                <w:rFonts w:hint="eastAsia" w:ascii="宋体" w:hAnsi="宋体" w:cs="宋体"/>
                <w:color w:val="000000"/>
                <w:sz w:val="21"/>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本理财计划适合</w:t>
            </w:r>
            <w:r>
              <w:rPr>
                <w:rFonts w:hint="eastAsia" w:ascii="宋体" w:hAnsi="宋体" w:eastAsia="宋体" w:cs="宋体"/>
                <w:b/>
                <w:bCs/>
                <w:color w:val="000000"/>
                <w:kern w:val="2"/>
                <w:sz w:val="21"/>
                <w:szCs w:val="21"/>
                <w:highlight w:val="none"/>
                <w:lang w:val="en-US" w:eastAsia="zh-CN" w:bidi="ar-SA"/>
              </w:rPr>
              <w:t>〖机构投资者〗以及〖稳健型、平衡型、成长型、进取型〗的个人投资者</w:t>
            </w:r>
            <w:r>
              <w:rPr>
                <w:rFonts w:hint="eastAsia" w:ascii="宋体" w:hAnsi="宋体" w:cs="宋体"/>
                <w:b/>
                <w:color w:val="000000"/>
                <w:sz w:val="21"/>
                <w:szCs w:val="21"/>
                <w:highlight w:val="none"/>
              </w:rPr>
              <w:t>。</w:t>
            </w:r>
            <w:r>
              <w:rPr>
                <w:rFonts w:hint="eastAsia" w:ascii="宋体" w:hAnsi="宋体" w:cs="宋体"/>
                <w:bCs/>
                <w:color w:val="auto"/>
                <w:kern w:val="2"/>
                <w:sz w:val="21"/>
                <w:szCs w:val="21"/>
                <w:highlight w:val="none"/>
                <w:lang w:eastAsia="zh-CN"/>
              </w:rPr>
              <w:t>投资者风险承受能力评级水平以销售机构评估为准。</w:t>
            </w:r>
          </w:p>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A份额（销售代码〖TYG12M2510A〗）：普通个人投资者和机构投资者。</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B份额（销售代码〖TYG12M2510B〗）：普通个人投资者和机构投资者。</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H份额（销售代码〖TYG12M2510H〗）：普通个人投资者和机构客户。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L份额（销售代码〖TYG12M2510L〗）：普通个人投资者和机构投资者。</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ZA份额（自动赎回）（销售代码〖TYG12M2510ZA〗）：普通个人投资者和机构客户。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ZB份额（自动赎回）（销售代码〖TYG12M2510ZB〗）：普通个人投资者和机构客户。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ZC份额（自动赎回）（销售代码〖TYG12M2510ZC〗）：普通个人投资者和机构客户。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ZD份额（自动赎回）（销售代码〖TYG12M2510ZD〗）：普通个人投资者和机构客户。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固定收益类</w:t>
            </w:r>
            <w:r>
              <w:rPr>
                <w:rFonts w:hint="eastAsia" w:ascii="宋体" w:hAnsi="宋体" w:cs="宋体"/>
                <w:sz w:val="21"/>
                <w:szCs w:val="21"/>
                <w:highlight w:val="none"/>
              </w:rPr>
              <w:t>〗</w:t>
            </w:r>
            <w:r>
              <w:rPr>
                <w:rFonts w:hint="eastAsia" w:ascii="宋体" w:hAnsi="宋体" w:cs="宋体"/>
                <w:color w:val="000000"/>
                <w:sz w:val="21"/>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否</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color w:val="000000"/>
                <w:sz w:val="21"/>
                <w:szCs w:val="21"/>
                <w:highlight w:val="none"/>
              </w:rPr>
              <w:t>全国</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可通过</w:t>
            </w:r>
            <w:r>
              <w:rPr>
                <w:rFonts w:hint="eastAsia" w:ascii="宋体" w:hAnsi="宋体" w:cs="宋体"/>
                <w:color w:val="000000"/>
                <w:sz w:val="21"/>
                <w:szCs w:val="21"/>
                <w:highlight w:val="none"/>
                <w:lang w:eastAsia="zh-CN"/>
              </w:rPr>
              <w:t>杭银理财直销渠道和代理</w:t>
            </w:r>
            <w:r>
              <w:rPr>
                <w:rFonts w:hint="eastAsia" w:ascii="宋体" w:hAnsi="宋体" w:cs="宋体"/>
                <w:color w:val="000000"/>
                <w:sz w:val="21"/>
                <w:szCs w:val="21"/>
                <w:highlight w:val="none"/>
              </w:rPr>
              <w:t>销售机构的〖营业网点、网上银行、手机银行〗等渠道购买</w:t>
            </w:r>
            <w:r>
              <w:rPr>
                <w:rFonts w:hint="eastAsia" w:ascii="宋体" w:hAnsi="宋体" w:cs="宋体"/>
                <w:color w:val="000000"/>
                <w:sz w:val="21"/>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人民币</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〖100〗亿元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3</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21</w:t>
            </w:r>
            <w:r>
              <w:rPr>
                <w:rFonts w:hint="eastAsia" w:ascii="宋体" w:hAnsi="宋体" w:cs="宋体"/>
                <w:color w:val="000000"/>
                <w:sz w:val="21"/>
                <w:szCs w:val="21"/>
                <w:highlight w:val="none"/>
              </w:rPr>
              <w:t>〗日-〖</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3</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27</w:t>
            </w:r>
            <w:r>
              <w:rPr>
                <w:rFonts w:hint="eastAsia" w:ascii="宋体" w:hAnsi="宋体" w:cs="宋体"/>
                <w:color w:val="000000"/>
                <w:sz w:val="21"/>
                <w:szCs w:val="21"/>
                <w:highlight w:val="none"/>
              </w:rPr>
              <w:t>〗日</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认购期首日〖9：00〗至认购结束日〖17：00〗</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3</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28</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无固定期限</w:t>
            </w:r>
            <w:r>
              <w:rPr>
                <w:rFonts w:hint="eastAsia" w:ascii="宋体" w:hAnsi="宋体" w:cs="宋体"/>
                <w:color w:val="000000"/>
                <w:sz w:val="21"/>
                <w:szCs w:val="21"/>
                <w:highlight w:val="none"/>
              </w:rPr>
              <w:t>（实际理财期限受制于管理人提前终止权等条款）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封闭期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eastAsia="宋体" w:cs="宋体"/>
                <w:color w:val="000000"/>
                <w:kern w:val="2"/>
                <w:sz w:val="21"/>
                <w:szCs w:val="21"/>
                <w:highlight w:val="none"/>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〖A份额〗起点〖0.01〗元整，超过认购/申购起点部分，应为〖0.01〗元的整数倍。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〖B份额〗起点〖0.01〗元整，超过认购/申购起点部分，应为〖0.01〗元的整数倍。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〖H份额〗起点〖0.01〗元整，超过认购/申购起点部分，应为〖0.01〗元的整数倍。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〖L份额〗起点〖0.01〗元整，超过认购/申购起点部分，应为〖0.01〗元的整数倍。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〖ZA份额〗起点〖0.01〗元整，超过认购/申购起点部分，应为〖0.01〗元的整数倍。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〖ZB份额〗起点〖0.01〗元整，超过认购/申购起点部分，应为〖0.01〗元的整数倍。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〖ZC份额〗起点〖0.01〗元整，超过认购/申购起点部分，应为〖0.01〗元的整数倍。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〖ZD份额〗起点〖0.01〗元整，超过认购/申购起点部分，应为〖0.01〗元的整数倍。</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投资者全部赎回不再持有本理财计划份额后再次申购，视同首次申购处理。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〖2〗千万元</w:t>
            </w:r>
            <w:r>
              <w:rPr>
                <w:rFonts w:hint="eastAsia" w:ascii="宋体" w:hAnsi="宋体" w:cs="宋体"/>
                <w:color w:val="000000"/>
                <w:sz w:val="21"/>
                <w:szCs w:val="21"/>
                <w:highlight w:val="none"/>
              </w:rPr>
              <w:t>，则管理人可宣布本理财计划不成立并在原定理财计划成立日后</w:t>
            </w:r>
            <w:r>
              <w:rPr>
                <w:rFonts w:hint="eastAsia" w:ascii="宋体" w:hAnsi="宋体" w:cs="宋体"/>
                <w:sz w:val="21"/>
                <w:szCs w:val="21"/>
                <w:highlight w:val="none"/>
              </w:rPr>
              <w:t>〖</w:t>
            </w:r>
            <w:r>
              <w:rPr>
                <w:rFonts w:hint="eastAsia" w:ascii="宋体" w:hAnsi="宋体" w:cs="宋体"/>
                <w:color w:val="000000"/>
                <w:sz w:val="21"/>
                <w:szCs w:val="21"/>
                <w:highlight w:val="none"/>
              </w:rPr>
              <w:t>2</w:t>
            </w:r>
            <w:r>
              <w:rPr>
                <w:rFonts w:hint="eastAsia" w:ascii="宋体" w:hAnsi="宋体" w:cs="宋体"/>
                <w:sz w:val="21"/>
                <w:szCs w:val="21"/>
                <w:highlight w:val="none"/>
              </w:rPr>
              <w:t>〗</w:t>
            </w:r>
            <w:r>
              <w:rPr>
                <w:rFonts w:hint="eastAsia" w:ascii="宋体" w:hAnsi="宋体" w:cs="宋体"/>
                <w:color w:val="000000"/>
                <w:sz w:val="21"/>
                <w:szCs w:val="21"/>
                <w:highlight w:val="none"/>
              </w:rPr>
              <w:t>个工作日内通过管理人或销售机构发布不成立信息，投资者购买的理财资金将在原定成立日后2个工作日内划转至投资者指定理财账户，</w:t>
            </w:r>
            <w:r>
              <w:rPr>
                <w:rFonts w:hint="eastAsia" w:ascii="宋体" w:hAnsi="宋体" w:cs="宋体"/>
                <w:b/>
                <w:color w:val="000000"/>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开放期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rPr>
              <w:t>理财计划</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每年</w:t>
            </w:r>
            <w:r>
              <w:rPr>
                <w:rFonts w:hint="eastAsia" w:ascii="宋体" w:hAnsi="宋体" w:cs="宋体"/>
                <w:sz w:val="21"/>
                <w:szCs w:val="21"/>
                <w:highlight w:val="none"/>
              </w:rPr>
              <w:t>〗</w:t>
            </w:r>
            <w:r>
              <w:rPr>
                <w:rFonts w:hint="eastAsia" w:ascii="宋体" w:hAnsi="宋体" w:cs="宋体"/>
                <w:sz w:val="21"/>
                <w:szCs w:val="21"/>
                <w:highlight w:val="none"/>
                <w:lang w:val="en-US" w:eastAsia="zh-CN"/>
              </w:rPr>
              <w:t>开放一次，</w:t>
            </w:r>
            <w:r>
              <w:rPr>
                <w:rFonts w:hint="eastAsia" w:ascii="宋体" w:hAnsi="宋体" w:cs="宋体"/>
                <w:sz w:val="21"/>
                <w:szCs w:val="21"/>
                <w:highlight w:val="none"/>
              </w:rPr>
              <w:t>具体开放期将以管理人公告为准。</w:t>
            </w:r>
            <w:r>
              <w:rPr>
                <w:rFonts w:hint="eastAsia" w:ascii="宋体" w:hAnsi="宋体" w:cs="宋体"/>
                <w:sz w:val="21"/>
                <w:szCs w:val="21"/>
                <w:highlight w:val="none"/>
                <w:lang w:val="en-US" w:eastAsia="zh-CN"/>
              </w:rPr>
              <w:t>首个开放期为</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4</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8</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val="en-US" w:eastAsia="zh-CN"/>
              </w:rPr>
              <w:t>至</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4</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14</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首个开放确认日为</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4</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15</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如遇开放确认日为非工作日，则顺延至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交易时间</w:t>
            </w:r>
          </w:p>
        </w:tc>
        <w:tc>
          <w:tcPr>
            <w:tcW w:w="7185" w:type="dxa"/>
            <w:noWrap w:val="0"/>
            <w:vAlign w:val="center"/>
          </w:tcPr>
          <w:p>
            <w:pPr>
              <w:keepNext w:val="0"/>
              <w:keepLines w:val="0"/>
              <w:widowControl w:val="0"/>
              <w:suppressLineNumbers w:val="0"/>
              <w:spacing w:before="0" w:beforeAutospacing="0" w:after="0" w:afterAutospacing="0" w:line="360" w:lineRule="auto"/>
              <w:ind w:left="0" w:right="0"/>
              <w:contextualSpacing/>
              <w:jc w:val="both"/>
              <w:rPr>
                <w:rFonts w:hint="default" w:ascii="宋体" w:hAnsi="宋体" w:cs="宋体"/>
                <w:color w:val="FF0000"/>
                <w:sz w:val="21"/>
                <w:szCs w:val="21"/>
                <w:highlight w:val="none"/>
              </w:rPr>
            </w:pPr>
            <w:r>
              <w:rPr>
                <w:rFonts w:hint="eastAsia" w:ascii="宋体" w:hAnsi="宋体" w:cs="宋体"/>
                <w:color w:val="000000"/>
                <w:sz w:val="21"/>
                <w:szCs w:val="21"/>
                <w:highlight w:val="none"/>
              </w:rPr>
              <w:t>1.本理财计划在每个开放期的开放日工作时间均可进行申购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申请将在确认日，即开放期后的第〖1〗个〖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进行确认。</w:t>
            </w:r>
            <w:r>
              <w:rPr>
                <w:rFonts w:hint="eastAsia" w:ascii="宋体" w:hAnsi="宋体" w:eastAsia="宋体" w:cs="宋体"/>
                <w:color w:val="000000"/>
                <w:kern w:val="2"/>
                <w:sz w:val="21"/>
                <w:szCs w:val="21"/>
                <w:highlight w:val="none"/>
                <w:lang w:val="en-US" w:eastAsia="zh-CN" w:bidi="ar"/>
              </w:rPr>
              <w:t>（</w:t>
            </w:r>
            <w:r>
              <w:rPr>
                <w:rFonts w:hint="eastAsia" w:ascii="宋体" w:hAnsi="宋体" w:cs="宋体"/>
                <w:color w:val="000000"/>
                <w:sz w:val="21"/>
                <w:szCs w:val="21"/>
                <w:highlight w:val="none"/>
              </w:rPr>
              <w:t>〖</w:t>
            </w:r>
            <w:r>
              <w:rPr>
                <w:rFonts w:hint="eastAsia" w:ascii="宋体" w:hAnsi="宋体" w:cs="宋体"/>
                <w:color w:val="000000"/>
                <w:kern w:val="2"/>
                <w:sz w:val="21"/>
                <w:szCs w:val="21"/>
                <w:highlight w:val="none"/>
                <w:lang w:val="en-US" w:eastAsia="zh" w:bidi="ar"/>
              </w:rPr>
              <w:t>ZA份额</w:t>
            </w:r>
            <w:r>
              <w:rPr>
                <w:rFonts w:hint="eastAsia" w:ascii="宋体" w:hAnsi="宋体" w:cs="宋体"/>
                <w:color w:val="000000"/>
                <w:sz w:val="21"/>
                <w:szCs w:val="21"/>
                <w:highlight w:val="none"/>
              </w:rPr>
              <w:t>〗</w:t>
            </w:r>
            <w:r>
              <w:rPr>
                <w:rFonts w:hint="eastAsia" w:ascii="宋体" w:hAnsi="宋体" w:cs="宋体"/>
                <w:color w:val="000000"/>
                <w:kern w:val="2"/>
                <w:sz w:val="21"/>
                <w:szCs w:val="21"/>
                <w:highlight w:val="none"/>
                <w:lang w:val="en-US" w:eastAsia="zh" w:bidi="ar"/>
              </w:rPr>
              <w:t>、</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 w:bidi="ar"/>
              </w:rPr>
              <w:t>ZB</w:t>
            </w:r>
            <w:r>
              <w:rPr>
                <w:rFonts w:hint="eastAsia" w:ascii="宋体" w:hAnsi="宋体" w:eastAsia="宋体" w:cs="宋体"/>
                <w:b w:val="0"/>
                <w:bCs w:val="0"/>
                <w:color w:val="000000"/>
                <w:kern w:val="0"/>
                <w:sz w:val="21"/>
                <w:szCs w:val="21"/>
                <w:highlight w:val="none"/>
                <w:lang w:val="en-US" w:eastAsia="zh-CN" w:bidi="ar"/>
              </w:rPr>
              <w:t>份额</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ZC份额</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ZD份额</w:t>
            </w:r>
            <w:r>
              <w:rPr>
                <w:rFonts w:hint="eastAsia" w:ascii="宋体" w:hAnsi="宋体" w:cs="宋体"/>
                <w:color w:val="000000"/>
                <w:sz w:val="21"/>
                <w:szCs w:val="21"/>
                <w:highlight w:val="none"/>
              </w:rPr>
              <w:t>〗</w:t>
            </w:r>
            <w:r>
              <w:rPr>
                <w:rFonts w:hint="eastAsia" w:ascii="宋体" w:hAnsi="宋体" w:eastAsia="宋体" w:cs="宋体"/>
                <w:b w:val="0"/>
                <w:bCs w:val="0"/>
                <w:color w:val="000000"/>
                <w:kern w:val="0"/>
                <w:sz w:val="21"/>
                <w:szCs w:val="21"/>
                <w:highlight w:val="none"/>
                <w:lang w:val="en-US" w:eastAsia="zh-CN" w:bidi="ar"/>
              </w:rPr>
              <w:t>无需进行</w:t>
            </w:r>
            <w:r>
              <w:rPr>
                <w:rFonts w:hint="eastAsia" w:ascii="宋体" w:hAnsi="宋体" w:eastAsia="宋体" w:cs="宋体"/>
                <w:b w:val="0"/>
                <w:bCs w:val="0"/>
                <w:color w:val="000000"/>
                <w:kern w:val="0"/>
                <w:sz w:val="21"/>
                <w:szCs w:val="21"/>
                <w:highlight w:val="none"/>
                <w:lang w:val="en-US" w:eastAsia="zh" w:bidi="ar"/>
              </w:rPr>
              <w:t>赎回</w:t>
            </w:r>
            <w:r>
              <w:rPr>
                <w:rFonts w:hint="eastAsia" w:ascii="宋体" w:hAnsi="宋体" w:eastAsia="宋体" w:cs="宋体"/>
                <w:b w:val="0"/>
                <w:bCs w:val="0"/>
                <w:color w:val="000000"/>
                <w:kern w:val="0"/>
                <w:sz w:val="21"/>
                <w:szCs w:val="21"/>
                <w:highlight w:val="none"/>
                <w:lang w:val="en-US" w:eastAsia="zh-CN" w:bidi="ar"/>
              </w:rPr>
              <w:t>申请，在每个投资周期结束日由系统自动为所有持仓投资者发起全部持有份额赎回申请，上一投资周期投资者的所有持仓份额不会进入下一个投资周期</w:t>
            </w:r>
            <w:r>
              <w:rPr>
                <w:rFonts w:hint="eastAsia" w:ascii="宋体" w:hAnsi="宋体" w:eastAsia="宋体" w:cs="宋体"/>
                <w:color w:val="000000"/>
                <w:kern w:val="2"/>
                <w:sz w:val="21"/>
                <w:szCs w:val="21"/>
                <w:highlight w:val="none"/>
                <w:lang w:val="en-US" w:eastAsia="zh-CN" w:bidi="ar"/>
              </w:rPr>
              <w:t>）</w:t>
            </w:r>
            <w:r>
              <w:rPr>
                <w:rFonts w:hint="eastAsia" w:ascii="宋体" w:hAnsi="宋体" w:eastAsia="宋体" w:cs="宋体"/>
                <w:color w:val="000000"/>
                <w:kern w:val="2"/>
                <w:sz w:val="21"/>
                <w:szCs w:val="21"/>
                <w:highlight w:val="none"/>
                <w:lang w:val="en-US" w:eastAsia="zh" w:bidi="ar"/>
              </w:rPr>
              <w:t>。</w:t>
            </w:r>
            <w:r>
              <w:rPr>
                <w:rFonts w:hint="eastAsia" w:ascii="宋体" w:hAnsi="宋体" w:cs="宋体"/>
                <w:color w:val="000000"/>
                <w:sz w:val="21"/>
                <w:szCs w:val="21"/>
                <w:highlight w:val="none"/>
              </w:rPr>
              <w:t>确认日如遇非〖</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.工作时间为每个</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上午〖9:00〗至下午〖17:00〗。确认日如遇非</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3.认购/开放期内提交的交易申请，在理财计划成立日/确认日前一日下午</w:t>
            </w:r>
            <w:r>
              <w:rPr>
                <w:rFonts w:hint="eastAsia" w:ascii="宋体" w:hAnsi="宋体" w:cs="宋体"/>
                <w:color w:val="000000"/>
                <w:sz w:val="21"/>
                <w:szCs w:val="21"/>
                <w:highlight w:val="none"/>
              </w:rPr>
              <w:t>〖17:00〗</w:t>
            </w:r>
            <w:r>
              <w:rPr>
                <w:rFonts w:hint="eastAsia" w:ascii="宋体" w:hAnsi="宋体" w:cs="宋体"/>
                <w:color w:val="000000"/>
                <w:kern w:val="0"/>
                <w:sz w:val="21"/>
                <w:szCs w:val="21"/>
                <w:highlight w:val="none"/>
                <w:lang w:val="en-US" w:eastAsia="zh-CN"/>
              </w:rPr>
              <w:t>之前可以撤单。</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4.上述交易安排如有调整，请以管理人公告为准。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5.如投资者在一个投资周期开放期内未提出赎回申请，则该投资周期终止后，投资者的理财资金继续进入下一个投资周期进行理财运作。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10%</w:t>
            </w:r>
            <w:r>
              <w:rPr>
                <w:rFonts w:hint="eastAsia" w:ascii="宋体" w:hAnsi="宋体" w:cs="宋体"/>
                <w:sz w:val="21"/>
                <w:szCs w:val="21"/>
                <w:highlight w:val="none"/>
              </w:rPr>
              <w:t>〗</w:t>
            </w:r>
            <w:r>
              <w:rPr>
                <w:rFonts w:hint="eastAsia" w:ascii="宋体" w:hAnsi="宋体" w:cs="宋体"/>
                <w:color w:val="000000"/>
                <w:sz w:val="21"/>
                <w:szCs w:val="21"/>
                <w:highlight w:val="none"/>
              </w:rPr>
              <w:t>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color w:val="000000"/>
                <w:sz w:val="21"/>
                <w:szCs w:val="21"/>
                <w:highlight w:val="none"/>
                <w:lang w:val="en-US" w:eastAsia="zh-CN"/>
              </w:rPr>
              <w:t>1.单户持有份额</w:t>
            </w:r>
            <w:r>
              <w:rPr>
                <w:rFonts w:hint="eastAsia" w:ascii="宋体" w:hAnsi="宋体" w:cs="宋体"/>
                <w:color w:val="000000"/>
                <w:sz w:val="21"/>
                <w:szCs w:val="21"/>
                <w:highlight w:val="none"/>
              </w:rPr>
              <w:t>〖</w:t>
            </w:r>
            <w:r>
              <w:rPr>
                <w:rFonts w:hint="eastAsia"/>
                <w:color w:val="000000"/>
                <w:lang w:eastAsia="zh"/>
              </w:rPr>
              <w:t>b</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a.可以超过理财计划总份额的50%，但理财计划不得向个人投资者公开销售。</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b.不得超过理财计划总份额的50%。</w:t>
            </w:r>
          </w:p>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kern w:val="2"/>
                <w:sz w:val="21"/>
                <w:szCs w:val="21"/>
                <w:highlight w:val="none"/>
                <w:lang w:val="en-US" w:eastAsia="zh" w:bidi="ar-SA"/>
              </w:rPr>
            </w:pPr>
            <w:r>
              <w:rPr>
                <w:rFonts w:hint="eastAsia" w:ascii="宋体" w:hAnsi="宋体" w:cs="宋体"/>
                <w:color w:val="000000"/>
                <w:sz w:val="21"/>
                <w:szCs w:val="21"/>
                <w:highlight w:val="none"/>
                <w:lang w:val="en-US" w:eastAsia="zh-CN"/>
              </w:rPr>
              <w:t>2.</w:t>
            </w:r>
            <w:r>
              <w:rPr>
                <w:rFonts w:hint="eastAsia" w:ascii="宋体" w:hAnsi="宋体" w:eastAsia="宋体" w:cs="宋体"/>
                <w:color w:val="000000"/>
                <w:kern w:val="2"/>
                <w:sz w:val="21"/>
                <w:szCs w:val="21"/>
                <w:highlight w:val="none"/>
                <w:lang w:val="en-US" w:eastAsia="zh-CN" w:bidi="ar-SA"/>
              </w:rPr>
              <w:t>〖A份额〗单户持有上限为〖1〗亿元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〖H份额〗单户持有上限为〖1〗亿元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〖L份额〗单户持有上限为〖1〗亿元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〖ZC份额〗单户持有上限为〖1〗亿元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〖ZD份额〗单户持有上限为〖1〗亿元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Cs/>
                <w:sz w:val="21"/>
                <w:szCs w:val="21"/>
                <w:highlight w:val="none"/>
              </w:rPr>
              <w:t>申购份额=申购金额</w:t>
            </w:r>
            <w:r>
              <w:rPr>
                <w:rFonts w:hint="eastAsia" w:ascii="宋体" w:hAnsi="宋体" w:cs="宋体"/>
                <w:bCs/>
                <w:color w:val="000000"/>
                <w:sz w:val="21"/>
                <w:szCs w:val="21"/>
                <w:highlight w:val="none"/>
              </w:rPr>
              <w:t>÷</w:t>
            </w:r>
            <w:r>
              <w:rPr>
                <w:rFonts w:hint="eastAsia" w:ascii="宋体" w:hAnsi="宋体" w:cs="宋体"/>
                <w:bCs/>
                <w:sz w:val="21"/>
                <w:szCs w:val="21"/>
                <w:highlight w:val="none"/>
              </w:rPr>
              <w:t>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sz w:val="21"/>
                <w:szCs w:val="21"/>
                <w:highlight w:val="none"/>
              </w:rPr>
              <w:t>回份额×确认日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 w:val="21"/>
                <w:szCs w:val="21"/>
                <w:highlight w:val="none"/>
                <w:lang w:eastAsia="zh"/>
              </w:rPr>
            </w:pPr>
            <w:r>
              <w:rPr>
                <w:rFonts w:hint="eastAsia" w:ascii="宋体" w:hAnsi="宋体" w:cs="宋体"/>
                <w:color w:val="000000"/>
                <w:sz w:val="21"/>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理财计划总份额，单位净值</w:t>
            </w:r>
            <w:r>
              <w:rPr>
                <w:rFonts w:hint="eastAsia" w:ascii="宋体" w:hAnsi="宋体" w:cs="宋体"/>
                <w:sz w:val="21"/>
                <w:szCs w:val="21"/>
                <w:highlight w:val="none"/>
              </w:rPr>
              <w:t>〖</w:t>
            </w:r>
            <w:r>
              <w:rPr>
                <w:rFonts w:hint="eastAsia" w:ascii="宋体" w:hAnsi="宋体" w:cs="宋体"/>
                <w:color w:val="000000"/>
                <w:sz w:val="21"/>
                <w:szCs w:val="21"/>
                <w:highlight w:val="none"/>
              </w:rPr>
              <w:t>保留小数点后四位</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四位后去尾</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理财计划总净值=理财计划认购总额+理财计划所获总收益-理财计划总费用（包括但不限于</w:t>
            </w:r>
            <w:r>
              <w:rPr>
                <w:rFonts w:hint="eastAsia" w:ascii="宋体" w:hAnsi="宋体" w:cs="宋体"/>
                <w:color w:val="000000"/>
                <w:sz w:val="21"/>
                <w:szCs w:val="21"/>
                <w:highlight w:val="none"/>
                <w:lang w:val="en-US" w:eastAsia="zh-CN"/>
              </w:rPr>
              <w:t>固定</w:t>
            </w:r>
            <w:r>
              <w:rPr>
                <w:rFonts w:hint="eastAsia" w:ascii="宋体" w:hAnsi="宋体" w:cs="宋体"/>
                <w:color w:val="000000"/>
                <w:sz w:val="21"/>
                <w:szCs w:val="21"/>
                <w:highlight w:val="none"/>
              </w:rPr>
              <w:t>管理费、托管费、</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lang w:val="en-US" w:eastAsia="zh-CN"/>
              </w:rPr>
              <w:t>浮动管理费（如有）</w:t>
            </w:r>
            <w:r>
              <w:rPr>
                <w:rFonts w:hint="eastAsia" w:ascii="宋体" w:hAnsi="宋体" w:cs="宋体"/>
                <w:color w:val="000000"/>
                <w:sz w:val="21"/>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资金与收益支付方式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1.赎回资金确认后，最快</w:t>
            </w:r>
            <w:r>
              <w:rPr>
                <w:rFonts w:hint="eastAsia" w:ascii="宋体" w:hAnsi="宋体" w:eastAsia="宋体" w:cs="宋体"/>
                <w:color w:val="000000"/>
                <w:kern w:val="2"/>
                <w:sz w:val="21"/>
                <w:szCs w:val="21"/>
                <w:highlight w:val="none"/>
                <w:lang w:val="en-US" w:eastAsia="zh-CN" w:bidi="ar-SA"/>
              </w:rPr>
              <w:t>〖确认日当日〗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highlight w:val="none"/>
                <w:lang w:val="en-US" w:eastAsia="zh-CN" w:bidi="ar-SA"/>
              </w:rPr>
              <w:t>确认日后〖2〗个〖工作日〗内</w:t>
            </w:r>
            <w:r>
              <w:rPr>
                <w:rFonts w:hint="eastAsia" w:ascii="宋体" w:hAnsi="宋体" w:cs="宋体"/>
                <w:color w:val="000000"/>
                <w:sz w:val="21"/>
                <w:szCs w:val="21"/>
                <w:highlight w:val="none"/>
              </w:rPr>
              <w:t>（遇节假日顺延）支付。如遇资金在途或法定工作日调整，实际资金到账日以公告为准。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sz w:val="21"/>
                <w:szCs w:val="21"/>
                <w:highlight w:val="none"/>
              </w:rPr>
            </w:pPr>
            <w:r>
              <w:rPr>
                <w:rFonts w:hint="eastAsia" w:ascii="宋体" w:hAnsi="宋体" w:cs="宋体"/>
                <w:color w:val="000000"/>
                <w:sz w:val="21"/>
                <w:szCs w:val="21"/>
                <w:highlight w:val="none"/>
              </w:rPr>
              <w:t>2.理财计划到期</w:t>
            </w:r>
            <w:r>
              <w:rPr>
                <w:rFonts w:hint="eastAsia" w:ascii="宋体" w:hAnsi="宋体" w:cs="宋体"/>
                <w:color w:val="000000"/>
                <w:sz w:val="21"/>
                <w:szCs w:val="21"/>
                <w:highlight w:val="none"/>
                <w:lang w:eastAsia="zh-CN"/>
              </w:rPr>
              <w:t>确认</w:t>
            </w:r>
            <w:r>
              <w:rPr>
                <w:rFonts w:hint="eastAsia" w:ascii="宋体" w:hAnsi="宋体" w:cs="宋体"/>
                <w:color w:val="000000"/>
                <w:sz w:val="21"/>
                <w:szCs w:val="21"/>
                <w:highlight w:val="none"/>
              </w:rPr>
              <w:t>后，最快</w:t>
            </w:r>
            <w:r>
              <w:rPr>
                <w:rFonts w:hint="eastAsia" w:ascii="宋体" w:hAnsi="宋体" w:eastAsia="宋体" w:cs="宋体"/>
                <w:kern w:val="2"/>
                <w:sz w:val="21"/>
                <w:szCs w:val="21"/>
                <w:lang w:val="en-US" w:eastAsia="zh-CN" w:bidi="ar"/>
              </w:rPr>
              <w:t>〖1〗</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，最晚</w:t>
            </w:r>
            <w:r>
              <w:rPr>
                <w:rFonts w:hint="eastAsia" w:ascii="宋体" w:hAnsi="宋体" w:eastAsia="宋体" w:cs="宋体"/>
                <w:kern w:val="2"/>
                <w:sz w:val="21"/>
                <w:szCs w:val="21"/>
                <w:lang w:val="en-US" w:eastAsia="zh-CN" w:bidi="ar"/>
              </w:rPr>
              <w:t>〖3〗</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内（遇节假日顺延）支付。如遇资金在途或法定工作日调整，实际资金到账日以公告为准。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sz w:val="21"/>
                <w:szCs w:val="21"/>
                <w:highlight w:val="none"/>
              </w:rPr>
            </w:pPr>
            <w:r>
              <w:rPr>
                <w:rFonts w:hint="eastAsia" w:ascii="宋体" w:hAnsi="宋体" w:cs="宋体"/>
                <w:color w:val="000000"/>
                <w:sz w:val="21"/>
                <w:szCs w:val="21"/>
                <w:highlight w:val="none"/>
              </w:rPr>
              <w:t>在满足收益分配基准日理财计划份额净值大于1元的情况下，管理人将</w:t>
            </w:r>
            <w:r>
              <w:rPr>
                <w:rFonts w:hint="eastAsia" w:ascii="宋体" w:hAnsi="宋体" w:cs="宋体"/>
                <w:sz w:val="21"/>
                <w:szCs w:val="21"/>
                <w:highlight w:val="none"/>
              </w:rPr>
              <w:t>〖</w:t>
            </w:r>
            <w:r>
              <w:rPr>
                <w:rFonts w:hint="eastAsia" w:ascii="宋体" w:hAnsi="宋体" w:cs="宋体"/>
                <w:color w:val="000000"/>
                <w:sz w:val="21"/>
                <w:szCs w:val="21"/>
                <w:highlight w:val="none"/>
              </w:rPr>
              <w:t>定期</w:t>
            </w:r>
            <w:r>
              <w:rPr>
                <w:rFonts w:hint="eastAsia" w:ascii="宋体" w:hAnsi="宋体" w:cs="宋体"/>
                <w:sz w:val="21"/>
                <w:szCs w:val="21"/>
                <w:highlight w:val="none"/>
              </w:rPr>
              <w:t>〗</w:t>
            </w:r>
            <w:r>
              <w:rPr>
                <w:rFonts w:hint="eastAsia" w:ascii="宋体" w:hAnsi="宋体" w:cs="宋体"/>
                <w:color w:val="000000"/>
                <w:sz w:val="21"/>
                <w:szCs w:val="21"/>
                <w:highlight w:val="none"/>
              </w:rPr>
              <w:t>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业绩比较基准</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本理财计划〖A份额〗业绩比较基准为〖2.45%-2.65%〗（年化）。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本理财计划〖B份额〗业绩比较基准为〖2.55%-2.75%〗（年化）。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本理财计划〖H份额〗业绩比较基准为〖2.45%-2.65%〗（年化）。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本理财计划〖L份额〗业绩比较基准为〖2.55%-2.75%〗（年化）。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本理财计划〖ZA份额〗业绩比较基准为〖2.45%-2.65%〗（年化）。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本理财计划〖ZB份额〗业绩比较基准为〖2.55%-2.75%〗（年化）。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本理财计划〖ZC份额〗业绩比较基准为〖2.65%-2.85%〗（年化）。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本理财计划〖ZD份额〗业绩比较基准为〖2.60%-2.80%〗（年化）。</w:t>
            </w:r>
          </w:p>
          <w:p>
            <w:pPr>
              <w:keepNext w:val="0"/>
              <w:keepLines w:val="0"/>
              <w:widowControl w:val="0"/>
              <w:suppressLineNumbers w:val="0"/>
              <w:spacing w:before="0" w:beforeAutospacing="0" w:after="0" w:afterAutospacing="0" w:line="360" w:lineRule="auto"/>
              <w:ind w:left="0" w:right="0"/>
              <w:jc w:val="both"/>
              <w:rPr>
                <w:rFonts w:hint="eastAsia" w:ascii="宋体" w:hAnsi="宋体" w:cs="宋体"/>
                <w:b/>
                <w:bCs/>
                <w:color w:val="FF0000"/>
                <w:sz w:val="21"/>
                <w:szCs w:val="21"/>
                <w:highlight w:val="none"/>
              </w:rPr>
            </w:pPr>
            <w:r>
              <w:rPr>
                <w:rFonts w:hint="eastAsia" w:ascii="宋体" w:hAnsi="宋体" w:cs="宋体"/>
                <w:b/>
                <w:bCs/>
                <w:color w:val="000000"/>
                <w:sz w:val="21"/>
                <w:szCs w:val="21"/>
                <w:highlight w:val="none"/>
              </w:rPr>
              <w:t>业绩基准测算依据：</w:t>
            </w:r>
            <w:r>
              <w:rPr>
                <w:rFonts w:hint="eastAsia" w:ascii="宋体" w:hAnsi="宋体" w:eastAsia="宋体" w:cs="宋体"/>
                <w:b/>
                <w:bCs/>
                <w:kern w:val="2"/>
                <w:sz w:val="21"/>
                <w:szCs w:val="21"/>
                <w:lang w:val="en-US" w:eastAsia="zh-CN" w:bidi="ar"/>
              </w:rPr>
              <w:t>本理财计划重点投资于货币市场工具、债券、非标准化债权类资产等资产，管理人根据固定收益市场历史表现，结合当前利率水平、资产配比及市场同类型产品情况，经综合判断得出。</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sz w:val="21"/>
                <w:szCs w:val="21"/>
                <w:highlight w:val="none"/>
              </w:rPr>
            </w:pPr>
            <w:r>
              <w:rPr>
                <w:rFonts w:hint="eastAsia" w:ascii="宋体" w:hAnsi="宋体" w:cs="宋体"/>
                <w:sz w:val="21"/>
                <w:szCs w:val="21"/>
                <w:highlight w:val="none"/>
              </w:rPr>
              <w:t>管理人有权根据市场情况及</w:t>
            </w:r>
            <w:r>
              <w:rPr>
                <w:rFonts w:hint="eastAsia" w:ascii="宋体" w:hAnsi="宋体" w:cs="宋体"/>
                <w:sz w:val="21"/>
                <w:szCs w:val="21"/>
                <w:highlight w:val="none"/>
                <w:lang w:eastAsia="zh-CN"/>
              </w:rPr>
              <w:t>理财计划</w:t>
            </w:r>
            <w:r>
              <w:rPr>
                <w:rFonts w:hint="eastAsia" w:ascii="宋体" w:hAnsi="宋体" w:cs="宋体"/>
                <w:sz w:val="21"/>
                <w:szCs w:val="21"/>
                <w:highlight w:val="none"/>
              </w:rPr>
              <w:t>运作情况调整业绩基准，并至少于新业绩基准启用前</w:t>
            </w:r>
            <w:r>
              <w:rPr>
                <w:rFonts w:hint="eastAsia" w:ascii="宋体" w:hAnsi="宋体" w:cs="宋体"/>
                <w:kern w:val="0"/>
                <w:sz w:val="21"/>
                <w:szCs w:val="21"/>
                <w:highlight w:val="none"/>
              </w:rPr>
              <w:t>〖</w:t>
            </w:r>
            <w:r>
              <w:rPr>
                <w:rFonts w:hint="eastAsia" w:ascii="宋体" w:hAnsi="宋体" w:cs="宋体"/>
                <w:color w:val="000000"/>
                <w:kern w:val="0"/>
                <w:sz w:val="21"/>
                <w:szCs w:val="21"/>
                <w:highlight w:val="none"/>
                <w:lang w:val="en-US" w:eastAsia="zh-CN"/>
              </w:rPr>
              <w:t>2</w:t>
            </w:r>
            <w:r>
              <w:rPr>
                <w:rFonts w:hint="eastAsia" w:ascii="宋体" w:hAnsi="宋体" w:cs="宋体"/>
                <w:kern w:val="0"/>
                <w:sz w:val="21"/>
                <w:szCs w:val="21"/>
                <w:highlight w:val="none"/>
              </w:rPr>
              <w:t>〗</w:t>
            </w:r>
            <w:r>
              <w:rPr>
                <w:rFonts w:hint="eastAsia" w:ascii="宋体" w:hAnsi="宋体" w:cs="宋体"/>
                <w:sz w:val="21"/>
                <w:szCs w:val="21"/>
                <w:highlight w:val="none"/>
              </w:rPr>
              <w:t>个工作日公告。</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
                <w:sz w:val="21"/>
                <w:szCs w:val="21"/>
                <w:highlight w:val="none"/>
              </w:rPr>
              <w:t>本理财计划为净值型理财产品，其业绩表现将随市场波动具有不确定性。本公司提醒投资者关注，业绩比较基准</w:t>
            </w:r>
            <w:r>
              <w:rPr>
                <w:rFonts w:hint="eastAsia" w:ascii="宋体" w:hAnsi="宋体" w:cs="宋体"/>
                <w:b/>
                <w:sz w:val="21"/>
                <w:szCs w:val="21"/>
                <w:highlight w:val="none"/>
                <w:lang w:eastAsia="zh-CN"/>
              </w:rPr>
              <w:t>不是预期收益率，</w:t>
            </w:r>
            <w:r>
              <w:rPr>
                <w:rFonts w:hint="eastAsia" w:ascii="宋体" w:hAnsi="宋体" w:cs="宋体"/>
                <w:b/>
                <w:sz w:val="21"/>
                <w:szCs w:val="21"/>
                <w:highlight w:val="none"/>
              </w:rPr>
              <w:t>并不代表</w:t>
            </w:r>
            <w:r>
              <w:rPr>
                <w:rFonts w:hint="eastAsia" w:ascii="宋体" w:hAnsi="宋体" w:cs="宋体"/>
                <w:b/>
                <w:sz w:val="21"/>
                <w:szCs w:val="21"/>
                <w:highlight w:val="none"/>
                <w:lang w:eastAsia="zh-CN"/>
              </w:rPr>
              <w:t>理财计划的未来表现和</w:t>
            </w:r>
            <w:r>
              <w:rPr>
                <w:rFonts w:hint="eastAsia" w:ascii="宋体" w:hAnsi="宋体" w:cs="宋体"/>
                <w:b/>
                <w:sz w:val="21"/>
                <w:szCs w:val="21"/>
                <w:highlight w:val="none"/>
              </w:rPr>
              <w:t>实际收益率</w:t>
            </w:r>
            <w:r>
              <w:rPr>
                <w:rFonts w:hint="eastAsia" w:ascii="宋体" w:hAnsi="宋体" w:cs="宋体"/>
                <w:b/>
                <w:sz w:val="21"/>
                <w:szCs w:val="21"/>
                <w:highlight w:val="none"/>
                <w:lang w:eastAsia="zh-CN"/>
              </w:rPr>
              <w:t>，不构成对理财计划收益的承诺</w:t>
            </w:r>
            <w:r>
              <w:rPr>
                <w:rFonts w:hint="eastAsia" w:ascii="宋体" w:hAnsi="宋体" w:cs="宋体"/>
                <w:b/>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bCs/>
                <w:color w:val="FF0000"/>
                <w:sz w:val="21"/>
                <w:szCs w:val="21"/>
                <w:highlight w:val="none"/>
                <w:lang w:eastAsia="zh"/>
              </w:rPr>
            </w:pPr>
            <w:r>
              <w:rPr>
                <w:rFonts w:hint="eastAsia" w:ascii="宋体" w:hAnsi="宋体" w:cs="宋体"/>
                <w:color w:val="000000"/>
                <w:sz w:val="21"/>
                <w:szCs w:val="21"/>
                <w:highlight w:val="none"/>
              </w:rPr>
              <w:t>1.</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〖A份额〗收取年化〖0.30%〗的销售服务费, 〖B份额〗收取年化〖0.20%〗的销售服务费, 〖H份额〗收取年化〖0.30%〗的销售服务费, 〖L份额〗收取年化〖0.20%〗的销售服务费, 〖ZA份额〗收取年化〖0.30%〗的销售服务费, 〖ZB份额〗收取年化〖0.20%〗的销售服务费, 〖ZC份额〗收取年化〖0.10%〗的销售服务费, 〖ZD份额〗收取年化〖0.15%〗的销售服务费。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0.025</w:t>
            </w:r>
            <w:r>
              <w:rPr>
                <w:rFonts w:hint="eastAsia" w:ascii="宋体" w:hAnsi="宋体" w:cs="宋体"/>
                <w:sz w:val="21"/>
                <w:szCs w:val="21"/>
                <w:highlight w:val="none"/>
                <w:lang w:eastAsia="zh"/>
              </w:rPr>
              <w:t>%</w:t>
            </w:r>
            <w:r>
              <w:rPr>
                <w:rFonts w:hint="eastAsia" w:ascii="宋体" w:hAnsi="宋体" w:cs="宋体"/>
                <w:sz w:val="21"/>
                <w:szCs w:val="21"/>
                <w:highlight w:val="none"/>
              </w:rPr>
              <w:t>〗</w:t>
            </w:r>
            <w:r>
              <w:rPr>
                <w:rFonts w:hint="eastAsia" w:ascii="宋体" w:hAnsi="宋体" w:cs="宋体"/>
                <w:color w:val="000000"/>
                <w:sz w:val="21"/>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〖A份额〗收取年化〖0.20%〗的固定管理费, 〖B份额〗收取年化〖0.20%〗的固定管理费, 〖H份额〗收取年化〖0.20%〗的固定管理费, 〖L份额〗收取年化〖0.20%〗的固定管理费, 〖ZA份额〗收取年化〖0.20%〗的固定管理费, 〖ZB份额〗收取年化〖0.20%〗的固定管理费, 〖ZC份额〗收取年化〖0.20%〗的固定管理费, 〖ZD份额〗收取年化〖0.20%〗的固定管理费。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sz w:val="21"/>
                <w:szCs w:val="21"/>
                <w:highlight w:val="none"/>
              </w:rPr>
            </w:pPr>
            <w:r>
              <w:rPr>
                <w:rFonts w:hint="eastAsia" w:ascii="宋体" w:hAnsi="宋体" w:cs="宋体"/>
                <w:bCs/>
                <w:sz w:val="21"/>
                <w:szCs w:val="21"/>
                <w:highlight w:val="none"/>
              </w:rPr>
              <w:t>5.申购费：</w:t>
            </w:r>
            <w:r>
              <w:rPr>
                <w:rFonts w:hint="eastAsia" w:ascii="宋体" w:hAnsi="宋体" w:cs="宋体"/>
                <w:color w:val="000000"/>
                <w:sz w:val="21"/>
                <w:szCs w:val="21"/>
                <w:highlight w:val="none"/>
              </w:rPr>
              <w:t>本理财计划免除申购费。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sz w:val="21"/>
                <w:szCs w:val="21"/>
                <w:highlight w:val="none"/>
              </w:rPr>
            </w:pPr>
            <w:r>
              <w:rPr>
                <w:rFonts w:hint="eastAsia" w:ascii="宋体" w:hAnsi="宋体" w:cs="宋体"/>
                <w:bCs/>
                <w:sz w:val="21"/>
                <w:szCs w:val="21"/>
                <w:highlight w:val="none"/>
              </w:rPr>
              <w:t>6.赎回费：</w:t>
            </w:r>
            <w:r>
              <w:rPr>
                <w:rFonts w:hint="eastAsia" w:ascii="宋体" w:hAnsi="宋体" w:cs="宋体"/>
                <w:color w:val="000000"/>
                <w:sz w:val="21"/>
                <w:szCs w:val="21"/>
                <w:highlight w:val="none"/>
              </w:rPr>
              <w:t>本理财计划免除赎回费。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7.浮动管理费</w:t>
            </w:r>
            <w:r>
              <w:rPr>
                <w:rFonts w:hint="eastAsia" w:ascii="宋体" w:hAnsi="宋体" w:cs="宋体"/>
                <w:color w:val="000000"/>
                <w:sz w:val="21"/>
                <w:szCs w:val="21"/>
                <w:highlight w:val="none"/>
                <w:lang w:eastAsia="zh-CN"/>
              </w:rPr>
              <w:t>：</w:t>
            </w:r>
            <w:r>
              <w:rPr>
                <w:rFonts w:hint="eastAsia" w:ascii="宋体" w:hAnsi="宋体" w:eastAsia="宋体" w:cs="宋体"/>
                <w:color w:val="000000"/>
                <w:kern w:val="2"/>
                <w:sz w:val="21"/>
                <w:szCs w:val="21"/>
                <w:highlight w:val="none"/>
                <w:lang w:val="en-US" w:eastAsia="zh-CN" w:bidi="ar-SA"/>
              </w:rPr>
              <w:t>管理人根据理财计划投资情况计算浮动管理费，本理财计划份额投资周期的折合年化收益率在〖业绩比较基准下限（含）至业绩比较基准上限（含）〗的部分，管理人提取〖50%〗作为浮动管理费，在折合年化收益率超过〖业绩比较基准上限〗的部分，管理人提取〖80%〗作为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w:t>
            </w:r>
            <w:r>
              <w:rPr>
                <w:rFonts w:hint="eastAsia" w:ascii="宋体" w:hAnsi="宋体" w:cs="宋体"/>
                <w:b/>
                <w:color w:val="000000"/>
                <w:kern w:val="0"/>
                <w:sz w:val="21"/>
                <w:szCs w:val="21"/>
                <w:highlight w:val="none"/>
                <w:lang w:eastAsia="zh-CN"/>
              </w:rPr>
              <w:t>全部或部分</w:t>
            </w:r>
            <w:r>
              <w:rPr>
                <w:rFonts w:hint="eastAsia" w:ascii="宋体" w:hAnsi="宋体" w:cs="宋体"/>
                <w:b/>
                <w:color w:val="000000"/>
                <w:kern w:val="0"/>
                <w:sz w:val="21"/>
                <w:szCs w:val="21"/>
                <w:highlight w:val="none"/>
              </w:rPr>
              <w:t>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投资者在理财期限内不能提前</w:t>
            </w:r>
            <w:r>
              <w:rPr>
                <w:rFonts w:hint="eastAsia" w:ascii="宋体" w:hAnsi="宋体" w:cs="宋体"/>
                <w:b/>
                <w:color w:val="000000"/>
                <w:kern w:val="0"/>
                <w:sz w:val="21"/>
                <w:szCs w:val="21"/>
                <w:highlight w:val="none"/>
                <w:lang w:eastAsia="zh-CN"/>
              </w:rPr>
              <w:t>赎回</w:t>
            </w: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认购期内按照活期存款利率计息，认购期内的利息不计入认购本金份额。到期日（或理财计划实际终止日）到理财资金返还到账日为清算期，清算期内不计付利息。</w:t>
            </w:r>
            <w:r>
              <w:rPr>
                <w:rFonts w:hint="eastAsia" w:ascii="宋体" w:hAnsi="宋体" w:cs="宋体"/>
                <w:color w:val="000000"/>
                <w:kern w:val="0"/>
                <w:sz w:val="21"/>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ind w:firstLine="482" w:firstLineChars="200"/>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auto"/>
          <w:kern w:val="2"/>
          <w:sz w:val="24"/>
          <w:szCs w:val="24"/>
          <w:highlight w:val="none"/>
          <w:lang w:val="en-US" w:eastAsia="zh-CN" w:bidi="ar-SA"/>
        </w:rPr>
        <w:t>本理财计划自成立日起〖1个月〗为建仓期，管理人应当在建仓期结束前使各项投资比例符合约定。</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本理财计划主要投资于符合监管要求的各类资产：</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auto"/>
          <w:kern w:val="2"/>
          <w:position w:val="-1"/>
          <w:sz w:val="24"/>
          <w:u w:val="none"/>
          <w:vertAlign w:val="baseline"/>
        </w:rPr>
        <w:t>1. 固定收益类资产：包括但不限于各类债券、存款、货币市场金融工具、债券基金、质押式及买断式回购、非标准化债权类资产，其他符合监管要求的固定收益类资产及资产管理产品。</w:t>
      </w:r>
      <w:r>
        <w:rPr>
          <w:rFonts w:ascii="宋体" w:hAnsi="宋体" w:eastAsia="宋体" w:cs="宋体"/>
          <w:b w:val="0"/>
          <w:i w:val="0"/>
          <w:caps w:val="0"/>
          <w:strike w:val="0"/>
          <w:dstrike w:val="0"/>
          <w:shadow w:val="0"/>
          <w:emboss w:val="0"/>
          <w:imprint w:val="0"/>
          <w:color w:val="auto"/>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4"/>
          <w:u w:val="none"/>
          <w:vertAlign w:val="baseline"/>
        </w:rPr>
        <w:t xml:space="preserve">    2. 权益类资产：包括国内发行上市优先股、上市公司股票、定向增发、员工持股计划、以及其他符合监管要求的权益类资产及资产管理产品（不包括未上市企业股权）。</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本理财计划各投资资产占</w:t>
      </w:r>
      <w:r>
        <w:rPr>
          <w:rFonts w:hint="eastAsia" w:ascii="宋体" w:hAnsi="宋体" w:cs="宋体"/>
          <w:bCs/>
          <w:sz w:val="24"/>
          <w:highlight w:val="none"/>
          <w:lang w:eastAsia="zh-CN"/>
        </w:rPr>
        <w:t>总</w:t>
      </w:r>
      <w:r>
        <w:rPr>
          <w:rFonts w:hint="eastAsia" w:ascii="宋体" w:hAnsi="宋体" w:cs="宋体"/>
          <w:bCs/>
          <w:sz w:val="24"/>
          <w:highlight w:val="none"/>
        </w:rPr>
        <w:t>资产的配置比例如下：</w:t>
      </w:r>
    </w:p>
    <w:tbl>
      <w:tblPr>
        <w:tblStyle w:val="11"/>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0"/>
        <w:gridCol w:w="4500"/>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投资资产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restart"/>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固定收益类资产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90%-100%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continue"/>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权益类资产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特殊资产类型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非标准化债权类资产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0%-50%</w:t>
            </w:r>
          </w:p>
        </w:tc>
      </w:tr>
    </w:tbl>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本理财计划特殊资产类型为基于大类资产类型项下的进一步细化分类，其配置比例不得超过大类资产配置比例。</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在</w:t>
      </w:r>
      <w:r>
        <w:rPr>
          <w:rFonts w:hint="eastAsia" w:ascii="宋体" w:hAnsi="宋体" w:cs="宋体"/>
          <w:bCs/>
          <w:color w:val="auto"/>
          <w:kern w:val="2"/>
          <w:highlight w:val="none"/>
        </w:rPr>
        <w:t>理财计划存续期间如遇市场变化导致各类投资品投资比例暂时超出以上范围，为保护投资者利益，管理人将在流动性受限资产可出售、可转让或者恢复交易的15个交易日内调整至上述比例范围。</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本理财计划存在投资退出期，投资退出期至理财计划到期终止期间，为保障投资管理平稳运作，投资组合比例可能超出约定投资范围比例。</w:t>
      </w:r>
    </w:p>
    <w:p>
      <w:pPr>
        <w:pStyle w:val="20"/>
        <w:numPr>
          <w:ilvl w:val="0"/>
          <w:numId w:val="13"/>
        </w:numPr>
        <w:adjustRightInd/>
        <w:spacing w:line="360" w:lineRule="auto"/>
        <w:ind w:firstLine="458" w:firstLineChars="190"/>
        <w:rPr>
          <w:rFonts w:hint="eastAsia" w:ascii="宋体" w:hAnsi="宋体" w:cs="宋体"/>
          <w:bCs/>
          <w:color w:val="auto"/>
          <w:kern w:val="2"/>
          <w:highlight w:val="none"/>
          <w:lang w:val="en-US" w:eastAsia="zh-CN"/>
        </w:rPr>
      </w:pPr>
      <w:r>
        <w:rPr>
          <w:rFonts w:hint="eastAsia" w:ascii="宋体" w:hAnsi="宋体" w:cs="宋体"/>
          <w:b/>
          <w:bCs w:val="0"/>
          <w:color w:val="000000"/>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投资策略</w:t>
      </w:r>
    </w:p>
    <w:p>
      <w:pPr>
        <w:pStyle w:val="9"/>
        <w:keepNext w:val="0"/>
        <w:keepLines w:val="0"/>
        <w:widowControl w:val="0"/>
        <w:numPr>
          <w:ilvl w:val="0"/>
          <w:numId w:val="14"/>
        </w:numPr>
        <w:suppressLineNumbers w:val="0"/>
        <w:autoSpaceDE w:val="0"/>
        <w:autoSpaceDN w:val="0"/>
        <w:adjustRightInd w:val="0"/>
        <w:spacing w:before="0" w:beforeAutospacing="0" w:after="0" w:afterAutospacing="0" w:line="360" w:lineRule="auto"/>
        <w:ind w:left="0" w:right="0" w:firstLine="400"/>
        <w:jc w:val="left"/>
        <w:rPr>
          <w:rFonts w:hint="eastAsia" w:ascii="宋体" w:hAnsi="宋体" w:eastAsia="宋体" w:cs="宋体"/>
          <w:kern w:val="2"/>
          <w:sz w:val="24"/>
          <w:szCs w:val="24"/>
        </w:rPr>
      </w:pPr>
      <w:r>
        <w:rPr>
          <w:rFonts w:hint="eastAsia" w:ascii="宋体" w:hAnsi="宋体" w:eastAsia="宋体" w:cs="宋体"/>
          <w:color w:val="000000"/>
          <w:kern w:val="2"/>
          <w:sz w:val="24"/>
          <w:szCs w:val="24"/>
          <w:lang w:val="en-US" w:eastAsia="zh-CN" w:bidi="ar"/>
        </w:rPr>
        <w:t>资产配置策略</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1"/>
          <w:szCs w:val="21"/>
        </w:rPr>
      </w:pPr>
      <w:r>
        <w:rPr>
          <w:rFonts w:hint="eastAsia" w:ascii="宋体" w:hAnsi="宋体" w:eastAsia="宋体" w:cs="宋体"/>
          <w:color w:val="000000"/>
          <w:kern w:val="2"/>
          <w:sz w:val="24"/>
          <w:szCs w:val="24"/>
          <w:lang w:val="en-US" w:eastAsia="zh-CN" w:bidi="ar"/>
        </w:rPr>
        <w:t xml:space="preserve">    将通过对宏观经济形势、各项国家政策、及证券市场环境的分析来判断经济周期目前的位置，主动判断市场时机进行资产配置，确定在债券、非标准化债权类资产、权益类资产等各类资产上的投资比例。</w:t>
      </w:r>
    </w:p>
    <w:p>
      <w:pPr>
        <w:keepNext w:val="0"/>
        <w:keepLines w:val="0"/>
        <w:widowControl w:val="0"/>
        <w:numPr>
          <w:ilvl w:val="0"/>
          <w:numId w:val="15"/>
        </w:numPr>
        <w:suppressLineNumbers w:val="0"/>
        <w:spacing w:before="0" w:beforeAutospacing="0" w:after="0" w:afterAutospacing="0" w:line="360" w:lineRule="auto"/>
        <w:ind w:left="0" w:right="0" w:firstLine="403"/>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债券投资策略</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firstLine="480" w:firstLineChars="200"/>
        <w:jc w:val="left"/>
        <w:rPr>
          <w:rFonts w:hint="eastAsia" w:ascii="宋体" w:hAnsi="宋体" w:eastAsia="宋体" w:cs="宋体"/>
          <w:color w:val="000000"/>
          <w:sz w:val="24"/>
          <w:szCs w:val="24"/>
        </w:rPr>
      </w:pPr>
      <w:r>
        <w:rPr>
          <w:rFonts w:hint="eastAsia" w:ascii="宋体" w:hAnsi="宋体" w:eastAsia="宋体" w:cs="宋体"/>
          <w:color w:val="000000"/>
          <w:kern w:val="2"/>
          <w:sz w:val="24"/>
          <w:szCs w:val="24"/>
          <w:lang w:val="en-US" w:eastAsia="zh-CN" w:bidi="ar"/>
        </w:rPr>
        <w:t>管理人本着稳健投资的理念，在研究债券市场宏观环境和利率走势的基础上，严格评估信用风险，通过久期策略、骑乘策略、杠杆策略和交易策略等，配置固定收益资产及资产管理产品，力争获取稳定收益。</w:t>
      </w:r>
    </w:p>
    <w:p>
      <w:pPr>
        <w:keepNext w:val="0"/>
        <w:keepLines w:val="0"/>
        <w:widowControl w:val="0"/>
        <w:numPr>
          <w:ilvl w:val="0"/>
          <w:numId w:val="15"/>
        </w:numPr>
        <w:suppressLineNumbers w:val="0"/>
        <w:spacing w:before="0" w:beforeAutospacing="0" w:after="0" w:afterAutospacing="0" w:line="360" w:lineRule="auto"/>
        <w:ind w:left="0" w:right="0" w:firstLine="403"/>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非标准化债权类资产投资策略</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管理人发挥自身能力优势，在合规前提下开展风险可控、期限匹配的非标准化债权类资产投资，力争获取稳定收益。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val="0"/>
          <w:bCs/>
          <w:sz w:val="24"/>
          <w:highlight w:val="none"/>
          <w:lang w:val="en-US" w:eastAsia="zh-CN"/>
        </w:rPr>
      </w:pPr>
      <w:r>
        <w:rPr>
          <w:rFonts w:hint="eastAsia" w:ascii="宋体" w:hAnsi="宋体" w:cs="宋体"/>
          <w:b w:val="0"/>
          <w:bCs/>
          <w:sz w:val="24"/>
          <w:highlight w:val="none"/>
          <w:lang w:val="en-US" w:eastAsia="zh-CN"/>
        </w:rPr>
        <w:t>投资限制中列示的资产品种不代表管理人的实际投向，本理财计划投资范围以“投资范围”章节表述为准。</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7"/>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"https://baike.baidu.com/item/%E8%AF%81%E5%88%B8%E6%8A%95%E8%B5%84%E5%9F%BA%E9%87%91/3746"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证券投资基金</w:t>
      </w:r>
      <w:r>
        <w:rPr>
          <w:rFonts w:ascii="宋体" w:hAnsi="宋体" w:cs="宋体"/>
          <w:bCs/>
          <w:sz w:val="24"/>
          <w:highlight w:val="none"/>
        </w:rP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管理人</w:t>
      </w:r>
      <w:r>
        <w:rPr>
          <w:rFonts w:hint="eastAsia" w:ascii="宋体" w:hAnsi="宋体" w:cs="宋体"/>
          <w:bCs/>
          <w:sz w:val="24"/>
          <w:highlight w:val="none"/>
        </w:rPr>
        <w:t>发行的全部</w:t>
      </w:r>
      <w:r>
        <w:rPr>
          <w:rFonts w:hint="eastAsia" w:ascii="宋体" w:hAnsi="宋体"/>
          <w:sz w:val="24"/>
          <w:highlight w:val="none"/>
        </w:rPr>
        <w:t>开放式公募</w:t>
      </w:r>
      <w:r>
        <w:rPr>
          <w:rFonts w:hint="eastAsia" w:ascii="宋体" w:hAnsi="宋体" w:cs="宋体"/>
          <w:bCs/>
          <w:sz w:val="24"/>
          <w:highlight w:val="none"/>
        </w:rPr>
        <w:t>理财计划</w:t>
      </w:r>
      <w:r>
        <w:rPr>
          <w:rFonts w:hint="eastAsia" w:ascii="宋体" w:hAnsi="宋体"/>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本理财计划投资的非标准化债权类资产到期日不得晚于理财计划最近一次开放日。</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本理财计划的总资产不得超过净资产的140%。</w:t>
      </w:r>
    </w:p>
    <w:p>
      <w:pPr>
        <w:numPr>
          <w:ilvl w:val="0"/>
          <w:numId w:val="18"/>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流动性限制</w:t>
      </w:r>
    </w:p>
    <w:p>
      <w:pPr>
        <w:numPr>
          <w:ilvl w:val="0"/>
          <w:numId w:val="1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本理财计划直接投资于流动性受限资产的市值在开放日不得超过该理财计划资产净值的15%。</w:t>
      </w:r>
    </w:p>
    <w:p>
      <w:pPr>
        <w:numPr>
          <w:ilvl w:val="0"/>
          <w:numId w:val="1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本理财计划还应满足以下限制</w:t>
      </w:r>
      <w:r>
        <w:rPr>
          <w:rFonts w:hint="eastAsia" w:ascii="宋体" w:hAnsi="宋体" w:cs="宋体"/>
          <w:bCs/>
          <w:color w:val="000000"/>
          <w:sz w:val="24"/>
          <w:highlight w:val="none"/>
        </w:rPr>
        <w:t>【</w:t>
      </w:r>
      <w:r>
        <w:rPr>
          <w:rFonts w:hint="eastAsia" w:ascii="宋体" w:hAnsi="宋体" w:cs="宋体"/>
          <w:bCs/>
          <w:color w:val="000000"/>
          <w:sz w:val="24"/>
          <w:highlight w:val="none"/>
          <w:lang w:eastAsia="zh"/>
        </w:rPr>
        <w:t>b</w:t>
      </w:r>
      <w:r>
        <w:rPr>
          <w:rFonts w:hint="eastAsia" w:ascii="宋体" w:hAnsi="宋体" w:cs="宋体"/>
          <w:bCs/>
          <w:color w:val="000000"/>
          <w:sz w:val="24"/>
          <w:highlight w:val="none"/>
        </w:rPr>
        <w:t>】</w:t>
      </w:r>
    </w:p>
    <w:p>
      <w:pPr>
        <w:numPr>
          <w:ilvl w:val="0"/>
          <w:numId w:val="20"/>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w:t>
      </w:r>
      <w:r>
        <w:rPr>
          <w:rFonts w:hint="eastAsia" w:ascii="宋体" w:hAnsi="宋体" w:cs="宋体"/>
          <w:bCs/>
          <w:color w:val="000000"/>
          <w:sz w:val="24"/>
          <w:highlight w:val="none"/>
        </w:rPr>
        <w:t>应当持有不低于该理财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资产净值5%的现金或者到期日在一年以内的国债、中央银行票据和政策性金融债券。</w:t>
      </w:r>
    </w:p>
    <w:p>
      <w:pPr>
        <w:numPr>
          <w:ilvl w:val="0"/>
          <w:numId w:val="20"/>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本理财计划应当在开放日及开放日前7个工作日内持有不低于该理财计划资产净值5%的现金或者到期日在一年以内的国债、中央银行票据和政策性金融债券。</w:t>
      </w:r>
    </w:p>
    <w:p>
      <w:pPr>
        <w:numPr>
          <w:ilvl w:val="0"/>
          <w:numId w:val="20"/>
        </w:numPr>
        <w:spacing w:line="360" w:lineRule="auto"/>
        <w:ind w:firstLine="720" w:firstLineChars="300"/>
        <w:jc w:val="left"/>
        <w:rPr>
          <w:rFonts w:hint="default" w:ascii="宋体" w:hAnsi="宋体" w:eastAsia="宋体" w:cs="宋体"/>
          <w:bCs/>
          <w:sz w:val="24"/>
          <w:highlight w:val="none"/>
          <w:lang w:val="en-US" w:eastAsia="zh-CN"/>
        </w:rPr>
      </w:pPr>
      <w:r>
        <w:rPr>
          <w:rFonts w:hint="eastAsia" w:ascii="宋体" w:hAnsi="宋体" w:cs="宋体"/>
          <w:bCs/>
          <w:sz w:val="24"/>
          <w:highlight w:val="none"/>
          <w:lang w:val="en-US" w:eastAsia="zh-CN"/>
        </w:rPr>
        <w:t>本理财计划不存在活跃交易市场，并且需要采用估值技术确定公允价值的资产比例不得超过理财产品净资产50%以上。</w:t>
      </w:r>
    </w:p>
    <w:p>
      <w:pPr>
        <w:numPr>
          <w:ilvl w:val="0"/>
          <w:numId w:val="19"/>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sz w:val="24"/>
          <w:highlight w:val="none"/>
          <w:lang w:val="en-US" w:eastAsia="zh-CN"/>
        </w:rPr>
        <w:t>在开放日前一工作日内，本理财计划7个工作日可变现资产的可变现价值应当不低于该理财计划资产净值的10%。</w:t>
      </w:r>
    </w:p>
    <w:p>
      <w:pPr>
        <w:numPr>
          <w:ilvl w:val="0"/>
          <w:numId w:val="21"/>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"https://baike.baidu.com/item/%E8%B5%84%E4%BA%A7%E6%94%AF%E6%8C%81%E8%AF%81%E5%88%B8/8989161"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资产支持证券</w:t>
      </w:r>
      <w:r>
        <w:rPr>
          <w:rFonts w:ascii="宋体" w:hAnsi="宋体" w:cs="宋体"/>
          <w:bCs/>
          <w:sz w:val="24"/>
          <w:highlight w:val="none"/>
        </w:rPr>
        <w:fldChar w:fldCharType="end"/>
      </w:r>
      <w:r>
        <w:rPr>
          <w:rFonts w:hint="eastAsia" w:ascii="宋体" w:hAnsi="宋体" w:cs="宋体"/>
          <w:bCs/>
          <w:sz w:val="24"/>
          <w:highlight w:val="none"/>
        </w:rPr>
        <w:t>，不得直接或间接投资于未上市公司股权及其受（收）益权。</w:t>
      </w:r>
    </w:p>
    <w:p>
      <w:pPr>
        <w:numPr>
          <w:ilvl w:val="0"/>
          <w:numId w:val="12"/>
        </w:numPr>
        <w:spacing w:line="360" w:lineRule="auto"/>
        <w:ind w:left="0" w:leftChars="0" w:firstLine="482" w:firstLineChars="200"/>
        <w:jc w:val="left"/>
        <w:outlineLvl w:val="2"/>
        <w:rPr>
          <w:rFonts w:hint="eastAsia" w:ascii="宋体" w:hAnsi="宋体" w:cs="宋体"/>
          <w:b/>
          <w:bCs w:val="0"/>
          <w:sz w:val="24"/>
          <w:highlight w:val="none"/>
        </w:rPr>
      </w:pPr>
      <w:r>
        <w:rPr>
          <w:rFonts w:hint="eastAsia" w:ascii="宋体" w:hAnsi="宋体" w:cs="宋体"/>
          <w:b/>
          <w:bCs w:val="0"/>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sz w:val="24"/>
          <w:highlight w:val="none"/>
          <w:lang w:val="en-US" w:eastAsia="zh-CN"/>
        </w:rPr>
      </w:pPr>
      <w:r>
        <w:rPr>
          <w:rFonts w:hint="eastAsia" w:ascii="宋体" w:hAnsi="宋体" w:cs="宋体"/>
          <w:b w:val="0"/>
          <w:bCs/>
          <w:sz w:val="24"/>
          <w:highlight w:val="none"/>
          <w:lang w:eastAsia="zh-CN"/>
        </w:rPr>
        <w:t>本理财计划</w:t>
      </w:r>
      <w:r>
        <w:rPr>
          <w:rFonts w:hint="eastAsia" w:ascii="宋体" w:hAnsi="宋体" w:cs="宋体"/>
          <w:b w:val="0"/>
          <w:bCs/>
          <w:sz w:val="24"/>
          <w:highlight w:val="none"/>
          <w:lang w:val="en-US" w:eastAsia="zh-CN"/>
        </w:rPr>
        <w:t>拟投资市场可能面临的流动性风险如下：</w:t>
      </w:r>
    </w:p>
    <w:p>
      <w:pPr>
        <w:numPr>
          <w:ilvl w:val="0"/>
          <w:numId w:val="2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eastAsia="zh-CN"/>
        </w:rPr>
        <w:t>投资于</w:t>
      </w:r>
      <w:r>
        <w:rPr>
          <w:rFonts w:hint="eastAsia" w:ascii="宋体" w:hAnsi="宋体" w:cs="宋体"/>
          <w:bCs/>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2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2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以上风险仅为列举性质，未能详尽列明拟投资市场和资产面临的全部流动性风险</w:t>
      </w:r>
      <w:r>
        <w:rPr>
          <w:rFonts w:hint="default" w:ascii="宋体" w:hAnsi="宋体" w:cs="宋体"/>
          <w:bCs/>
          <w:sz w:val="24"/>
          <w:highlight w:val="none"/>
          <w:lang w:val="en-US" w:eastAsia="zh-CN"/>
        </w:rPr>
        <w:t>可能导致投资者投资本金及收益损失</w:t>
      </w:r>
      <w:r>
        <w:rPr>
          <w:rFonts w:hint="eastAsia" w:ascii="宋体" w:hAnsi="宋体" w:cs="宋体"/>
          <w:bCs/>
          <w:sz w:val="24"/>
          <w:highlight w:val="none"/>
          <w:lang w:val="en-US" w:eastAsia="zh-CN"/>
        </w:rPr>
        <w:t>或延期兑付</w:t>
      </w:r>
      <w:r>
        <w:rPr>
          <w:rFonts w:hint="default" w:ascii="宋体" w:hAnsi="宋体" w:cs="宋体"/>
          <w:bCs/>
          <w:sz w:val="24"/>
          <w:highlight w:val="none"/>
          <w:lang w:val="en-US" w:eastAsia="zh-CN"/>
        </w:rPr>
        <w:t>的所有因素</w:t>
      </w:r>
      <w:r>
        <w:rPr>
          <w:rFonts w:hint="eastAsia" w:ascii="宋体" w:hAnsi="宋体" w:cs="宋体"/>
          <w:bCs/>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11"/>
        <w:tblW w:w="7530" w:type="dxa"/>
        <w:tblInd w:w="3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0"/>
        <w:gridCol w:w="5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3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托管人名称</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托管人住所</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托管人职责</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主要提供包括账户开立、资金保管、资金结算、估值核对等理财产品托管服务。</w:t>
            </w:r>
          </w:p>
        </w:tc>
      </w:tr>
    </w:tbl>
    <w:p>
      <w:pPr>
        <w:numPr>
          <w:ilvl w:val="0"/>
          <w:numId w:val="25"/>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销售机构</w:t>
      </w:r>
    </w:p>
    <w:tbl>
      <w:tblPr>
        <w:tblStyle w:val="11"/>
        <w:tblW w:w="7600" w:type="dxa"/>
        <w:tblInd w:w="37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00"/>
        <w:gridCol w:w="1600"/>
        <w:gridCol w:w="1200"/>
        <w:gridCol w:w="380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销售机构信息</w:t>
            </w: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杭州银行股份有限公司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浙江省杭州市上城区解放东路168号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95398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兰州银行股份有限公司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甘肃省兰州市城关区酒泉路211路</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400-88-96799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大连农村商业银行股份有限公司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辽宁省大连经济技术开发区五彩城A区1栋-A1号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96689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汉口银行股份有限公司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湖北省武汉市江汉区建设大道933号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4006096558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江苏昆山农村商业银行股份有限公司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江苏省昆山市前进东路828号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0512-57370966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绍兴银行股份有限公司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浙江省绍兴市越城区塔山街道中兴南路1号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13606751337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重庆银行股份有限公司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重庆市江北区永平门街6号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956023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Align w:val="center"/>
          </w:tcPr>
          <w:p>
            <w:pPr>
              <w:keepNext w:val="0"/>
              <w:keepLines w:val="0"/>
              <w:suppressLineNumbers w:val="0"/>
              <w:spacing w:before="0" w:beforeAutospacing="0" w:after="0" w:afterAutospacing="0"/>
              <w:ind w:left="0" w:right="0"/>
              <w:jc w:val="center"/>
              <w:rPr>
                <w:rFonts w:hint="default"/>
              </w:rPr>
            </w:pPr>
            <w:r>
              <w:rPr>
                <w:rFonts w:hint="default"/>
              </w:rPr>
              <w:t>销售机构职责</w:t>
            </w:r>
          </w:p>
        </w:tc>
        <w:tc>
          <w:tcPr>
            <w:tcW w:w="6600" w:type="dxa"/>
            <w:gridSpan w:val="3"/>
            <w:vAlign w:val="center"/>
          </w:tcPr>
          <w:p>
            <w:pPr>
              <w:keepNext w:val="0"/>
              <w:keepLines w:val="0"/>
              <w:suppressLineNumbers w:val="0"/>
              <w:spacing w:before="0" w:beforeAutospacing="0" w:after="0" w:afterAutospacing="0"/>
              <w:ind w:left="0" w:right="0"/>
              <w:jc w:val="left"/>
              <w:rPr>
                <w:rFonts w:hint="default"/>
              </w:rPr>
            </w:pPr>
            <w:r>
              <w:rPr>
                <w:rFonts w:hint="default"/>
              </w:rP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spacing w:line="360" w:lineRule="auto"/>
        <w:jc w:val="left"/>
        <w:rPr>
          <w:rFonts w:ascii="宋体" w:hAnsi="宋体" w:cs="宋体"/>
          <w:bCs/>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，定期由理财管理人和理财托管人核对估值结果并向投资者披露，具体日期以管理人公告为准。</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20"/>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债券及同业存单类资产，按市价法估值。市价法不能确定公允价值的，采用估值技术进行估值。</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债权类资产，按市价法估值。市价法不能确定其公允价值的，采用估值技术进行估值。</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8"/>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8"/>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lang w:val="en-US" w:eastAsia="zh-CN"/>
        </w:rPr>
        <w:t>1）</w:t>
      </w:r>
      <w:r>
        <w:rPr>
          <w:rFonts w:hint="eastAsia" w:ascii="宋体" w:hAnsi="宋体"/>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3）</w:t>
      </w:r>
      <w:r>
        <w:rPr>
          <w:rFonts w:hint="eastAsia" w:ascii="宋体" w:hAnsi="宋体"/>
          <w:sz w:val="24"/>
          <w:highlight w:val="none"/>
        </w:rPr>
        <w:t>首次发行未上市的股票，按发行价格进行估值；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4）</w:t>
      </w:r>
      <w:r>
        <w:rPr>
          <w:rFonts w:hint="eastAsia" w:ascii="宋体" w:hAnsi="宋体"/>
          <w:sz w:val="24"/>
          <w:highlight w:val="none"/>
        </w:rPr>
        <w:t>因持有股票而享有的配股权，采用估值技术确定公允价值。</w:t>
      </w:r>
    </w:p>
    <w:p>
      <w:pPr>
        <w:numPr>
          <w:ilvl w:val="0"/>
          <w:numId w:val="28"/>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20"/>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20"/>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000000"/>
          <w:sz w:val="24"/>
          <w:highlight w:val="none"/>
        </w:rPr>
        <w:t>延缓支付赎回款项或暂停接受理财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认购、赎回申请等</w:t>
      </w:r>
      <w:r>
        <w:rPr>
          <w:rFonts w:hint="eastAsia" w:ascii="宋体" w:hAnsi="宋体" w:cs="宋体"/>
          <w:bCs/>
          <w:color w:val="000000"/>
          <w:sz w:val="24"/>
          <w:highlight w:val="none"/>
          <w:lang w:val="en-US" w:eastAsia="zh-CN"/>
        </w:rPr>
        <w:t>措施。</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3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、托管费、固定管理费、认购费、申购费、赎回费、浮动管理费以及理财计划运作和清算中产生的其他费用等。</w:t>
      </w:r>
    </w:p>
    <w:p>
      <w:pPr>
        <w:numPr>
          <w:ilvl w:val="0"/>
          <w:numId w:val="3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费用计提方法、标准及支付方式</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lang w:eastAsia="zh-CN"/>
        </w:rPr>
        <w:t>销售服务费</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000000"/>
          <w:kern w:val="2"/>
          <w:position w:val="-1"/>
          <w:sz w:val="24"/>
          <w:u w:val="none"/>
          <w:vertAlign w:val="baseline"/>
        </w:rPr>
        <w:t>理财计划财产为每日计提销售服务费的〖A份额〗、〖B份额〗、〖H份额〗、〖L份额〗、〖ZA份额〗、〖ZB份额〗、〖ZC份额〗、〖ZD份额〗。A份额的年化销售服务费率为〖0.30%〗, B份额的年化销售服务费率为〖0.20%〗, H份额的年化销售服务费率为〖0.30%〗, L份额的年化销售服务费率为〖0.</w:t>
      </w:r>
      <w:r>
        <w:rPr>
          <w:rFonts w:hint="eastAsia" w:ascii="宋体" w:hAnsi="宋体" w:cs="宋体"/>
          <w:b w:val="0"/>
          <w:i w:val="0"/>
          <w:caps w:val="0"/>
          <w:strike w:val="0"/>
          <w:dstrike w:val="0"/>
          <w:shadow w:val="0"/>
          <w:emboss w:val="0"/>
          <w:imprint w:val="0"/>
          <w:color w:val="000000"/>
          <w:kern w:val="2"/>
          <w:position w:val="-1"/>
          <w:sz w:val="24"/>
          <w:u w:val="none"/>
          <w:vertAlign w:val="baseline"/>
          <w:lang w:val="en-US" w:eastAsia="zh-CN"/>
        </w:rPr>
        <w:t>20</w:t>
      </w:r>
      <w:r>
        <w:rPr>
          <w:rFonts w:ascii="宋体" w:hAnsi="宋体" w:eastAsia="宋体" w:cs="宋体"/>
          <w:b w:val="0"/>
          <w:i w:val="0"/>
          <w:caps w:val="0"/>
          <w:strike w:val="0"/>
          <w:dstrike w:val="0"/>
          <w:shadow w:val="0"/>
          <w:emboss w:val="0"/>
          <w:imprint w:val="0"/>
          <w:color w:val="000000"/>
          <w:kern w:val="2"/>
          <w:position w:val="-1"/>
          <w:sz w:val="24"/>
          <w:u w:val="none"/>
          <w:vertAlign w:val="baseline"/>
        </w:rPr>
        <w:t>%〗, ZA份额的年化销售服务费率为〖0.30%〗, ZB份额的年化销售服务费率为〖0.20%〗, ZC份额的年化销售服务费率为〖0.10%〗, ZD份额的年化销售服务费率为〖0.15%〗。计算方法如下：</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H1＝E1×〖0.30%〗÷365</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H1为〖A份额〗每日应计提的销售服务费</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E1为〖A份额〗前一日资产净值</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销售服务费原则上按日计提。</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理财计划财产的年化托管费为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托管费原则上按日计提。</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固定管理费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kern w:val="2"/>
          <w:sz w:val="24"/>
          <w:szCs w:val="24"/>
          <w:highlight w:val="none"/>
          <w:lang w:val="en-US" w:eastAsia="zh-CN" w:bidi="ar-SA"/>
        </w:rPr>
        <w:t>A份额的年化固定管理费率为〖0.20%〗, B份额的年化固定管理费率为〖0.20%〗, H份额的年化固定管理费率为〖0.20%〗, L份额的年化固定管理费率为〖0.20%〗, ZA份额的年化固定管理费率为〖0.20%〗, ZB份额的年化固定管理费率为〖0.20%〗, ZC份额的年化固定管理费率为〖0.20%〗, ZD份额的年化固定管理费率为〖0.20%〗, 以〖A份额〗</w:t>
      </w:r>
      <w:r>
        <w:rPr>
          <w:rFonts w:hint="eastAsia" w:ascii="宋体" w:hAnsi="宋体" w:eastAsia="宋体" w:cs="宋体"/>
          <w:bCs/>
          <w:color w:val="000000"/>
          <w:sz w:val="24"/>
          <w:szCs w:val="24"/>
          <w:highlight w:val="none"/>
        </w:rPr>
        <w:t>为例，计算方法如下：</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H＝E×</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0.20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H为每日应计提的</w:t>
      </w:r>
      <w:r>
        <w:rPr>
          <w:rFonts w:hint="eastAsia" w:ascii="宋体" w:hAnsi="宋体" w:eastAsia="宋体" w:cs="宋体"/>
          <w:bCs/>
          <w:color w:val="000000"/>
          <w:sz w:val="24"/>
          <w:szCs w:val="24"/>
          <w:highlight w:val="none"/>
          <w:lang w:eastAsia="zh-CN"/>
        </w:rPr>
        <w:t>固定</w:t>
      </w:r>
      <w:r>
        <w:rPr>
          <w:rFonts w:hint="eastAsia" w:ascii="宋体" w:hAnsi="宋体" w:eastAsia="宋体" w:cs="宋体"/>
          <w:bCs/>
          <w:color w:val="000000"/>
          <w:sz w:val="24"/>
          <w:szCs w:val="24"/>
          <w:highlight w:val="none"/>
        </w:rPr>
        <w:t>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E为本理财计划前一日资产净值</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Cs/>
          <w:color w:val="000000"/>
          <w:sz w:val="24"/>
          <w:highlight w:val="none"/>
          <w:lang w:eastAsia="zh-CN"/>
        </w:rPr>
      </w:pPr>
      <w:r>
        <w:rPr>
          <w:rFonts w:hint="eastAsia" w:ascii="宋体" w:hAnsi="宋体" w:eastAsia="宋体" w:cs="宋体"/>
          <w:bCs/>
          <w:color w:val="000000"/>
          <w:sz w:val="24"/>
          <w:szCs w:val="24"/>
          <w:highlight w:val="none"/>
        </w:rPr>
        <w:t>固定管理费原则上按日计提</w:t>
      </w:r>
      <w:r>
        <w:rPr>
          <w:rFonts w:hint="eastAsia" w:ascii="宋体" w:hAnsi="宋体" w:eastAsia="宋体" w:cs="宋体"/>
          <w:bCs/>
          <w:color w:val="000000"/>
          <w:sz w:val="24"/>
          <w:szCs w:val="24"/>
          <w:highlight w:val="none"/>
          <w:lang w:eastAsia="zh-CN"/>
        </w:rPr>
        <w:t>，</w:t>
      </w:r>
      <w:r>
        <w:rPr>
          <w:rFonts w:hint="eastAsia" w:ascii="宋体" w:hAnsi="宋体" w:eastAsia="宋体" w:cs="宋体"/>
          <w:color w:val="000000"/>
          <w:kern w:val="2"/>
          <w:sz w:val="24"/>
          <w:szCs w:val="24"/>
          <w:lang w:val="en-US" w:eastAsia="zh-CN" w:bidi="ar"/>
        </w:rPr>
        <w:t>管理人有权根据实际运作情况减免固定管理费。</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本理财计划免除认购费。</w:t>
      </w:r>
    </w:p>
    <w:p>
      <w:pPr>
        <w:numPr>
          <w:ilvl w:val="0"/>
          <w:numId w:val="32"/>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申购费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本理财计划免除申购费。</w:t>
      </w:r>
    </w:p>
    <w:p>
      <w:pPr>
        <w:numPr>
          <w:ilvl w:val="0"/>
          <w:numId w:val="32"/>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赎回费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本理财计划免除赎回费。</w:t>
      </w:r>
    </w:p>
    <w:p>
      <w:pPr>
        <w:numPr>
          <w:ilvl w:val="0"/>
          <w:numId w:val="33"/>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理财管理人根据理财计划投资情况计算浮动管理费，浮动管理费原则上按估值日计提，每个投资周期结束后收取。以〖A份额〗为例，计算方法如下：</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（1）若本理财计划份额</w:t>
      </w:r>
      <w:r>
        <w:rPr>
          <w:rFonts w:hint="eastAsia" w:ascii="宋体" w:hAnsi="宋体" w:eastAsia="宋体" w:cs="宋体"/>
          <w:kern w:val="2"/>
          <w:sz w:val="24"/>
          <w:szCs w:val="24"/>
          <w:lang w:val="en-US" w:eastAsia="zh-CN" w:bidi="ar"/>
        </w:rPr>
        <w:t>投资周期</w:t>
      </w:r>
      <w:r>
        <w:rPr>
          <w:rFonts w:hint="eastAsia" w:ascii="宋体" w:hAnsi="宋体" w:eastAsia="宋体" w:cs="宋体"/>
          <w:color w:val="000000"/>
          <w:kern w:val="2"/>
          <w:sz w:val="24"/>
          <w:szCs w:val="24"/>
          <w:lang w:val="en-US" w:eastAsia="zh-CN" w:bidi="ar"/>
        </w:rPr>
        <w:t>的折合年化收益率超过业绩比较基准下限但未达到业绩比较基准上限，则超过业绩比较基准下限的部分管理人收取〖50%〗作为浮动管理费，即：</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H=E×NAV0×（K-S)×〖50%〗×N÷365</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其中，K=(NAV1-NAV0+T)÷NAV0×365÷N</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（2）若本理财计划份额</w:t>
      </w:r>
      <w:r>
        <w:rPr>
          <w:rFonts w:hint="eastAsia" w:ascii="宋体" w:hAnsi="宋体" w:eastAsia="宋体" w:cs="宋体"/>
          <w:kern w:val="2"/>
          <w:sz w:val="24"/>
          <w:szCs w:val="24"/>
          <w:lang w:val="en-US" w:eastAsia="zh-CN" w:bidi="ar"/>
        </w:rPr>
        <w:t>投资周期</w:t>
      </w:r>
      <w:r>
        <w:rPr>
          <w:rFonts w:hint="eastAsia" w:ascii="宋体" w:hAnsi="宋体" w:eastAsia="宋体" w:cs="宋体"/>
          <w:color w:val="000000"/>
          <w:kern w:val="2"/>
          <w:sz w:val="24"/>
          <w:szCs w:val="24"/>
          <w:lang w:val="en-US" w:eastAsia="zh-CN" w:bidi="ar"/>
        </w:rPr>
        <w:t>的折合年化收益率超过业绩比较基准上限，则〖业绩比较基准下限(含)至上限(含)〗的部分管理人收取〖50%〗作为浮动管理费，超过〖业绩比较基准上限〗的部分管理人收取〖80%〗作为浮动管理费，即：</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H=E×NAV0×[(K-R)×〖80%〗+(R-S)×〖50%〗]×N÷365</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其中，K=(NAV1-NAV0+T)÷NAV0×365÷N</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H为产品〖A份额〗</w:t>
      </w:r>
      <w:r>
        <w:rPr>
          <w:rFonts w:hint="eastAsia" w:ascii="宋体" w:hAnsi="宋体" w:eastAsia="宋体" w:cs="宋体"/>
          <w:kern w:val="2"/>
          <w:sz w:val="24"/>
          <w:szCs w:val="24"/>
          <w:lang w:val="en-US" w:eastAsia="zh-CN" w:bidi="ar"/>
        </w:rPr>
        <w:t>当前确认日应收取浮动管理费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E为投资者持有份额</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K为〖A份额〗收取浮动管理费前投资者持有份额对应持有区间折合年化收益率</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NAV0为〖A份额〗上一个确认日前一日费后单位净值</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NAV1为〖A份额〗当前确认日前一日未扣除浮动管理费前的单位净值</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N为〖A份额〗上一个确认日（含）至当前确认日（不含）的实际理财天数</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T为〖A份额〗当前投资周期内每单位份额的实际分红金额的合计（如有）</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R为产品〖A份额〗业绩比较基准上限</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eastAsia="宋体" w:cs="宋体"/>
          <w:color w:val="000000"/>
          <w:kern w:val="2"/>
          <w:sz w:val="24"/>
          <w:szCs w:val="24"/>
          <w:lang w:val="en-US" w:eastAsia="zh-CN" w:bidi="ar"/>
        </w:rPr>
        <w:t>S为产品〖A份额〗业绩比较基准下限</w:t>
      </w:r>
    </w:p>
    <w:p>
      <w:pPr>
        <w:numPr>
          <w:ilvl w:val="0"/>
          <w:numId w:val="34"/>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ind w:firstLine="482" w:firstLineChars="200"/>
        <w:jc w:val="left"/>
        <w:rPr>
          <w:rFonts w:ascii="宋体" w:hAnsi="宋体" w:cs="宋体"/>
          <w:bCs/>
          <w:sz w:val="24"/>
          <w:highlight w:val="none"/>
        </w:rPr>
      </w:pP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税收说明</w:t>
      </w:r>
    </w:p>
    <w:p>
      <w:pPr>
        <w:numPr>
          <w:ilvl w:val="0"/>
          <w:numId w:val="37"/>
        </w:numPr>
        <w:spacing w:line="360" w:lineRule="auto"/>
        <w:ind w:firstLine="480" w:firstLineChars="200"/>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7"/>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投资者理财收益＝赎回份额×赎回确认日（提前终止日）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单位净值-认购或申购金额+</w:t>
      </w:r>
      <w:r>
        <w:rPr>
          <w:rFonts w:hint="eastAsia" w:ascii="宋体" w:hAnsi="宋体" w:cs="宋体"/>
          <w:bCs/>
          <w:sz w:val="24"/>
          <w:highlight w:val="none"/>
        </w:rPr>
        <w:t>份额持有期间累计分红（如有）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份额=认购或申购金额÷认购或申购确认日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赎回确认日（提前终止日）</w:t>
      </w:r>
      <w:r>
        <w:rPr>
          <w:rFonts w:hint="eastAsia" w:ascii="宋体" w:hAnsi="宋体" w:cs="宋体"/>
          <w:bCs/>
          <w:color w:val="000000"/>
          <w:sz w:val="24"/>
          <w:highlight w:val="none"/>
          <w:lang w:val="en-US" w:eastAsia="zh-CN"/>
        </w:rPr>
        <w:t>前一日的</w:t>
      </w:r>
      <w:r>
        <w:rPr>
          <w:rFonts w:hint="eastAsia" w:ascii="宋体" w:hAnsi="宋体" w:cs="宋体"/>
          <w:bCs/>
          <w:color w:val="000000"/>
          <w:sz w:val="24"/>
          <w:highlight w:val="none"/>
        </w:rPr>
        <w:t>单位净值为提取相关费用及税费后的单位理财计划份额净值。</w:t>
      </w:r>
    </w:p>
    <w:p>
      <w:pPr>
        <w:numPr>
          <w:ilvl w:val="0"/>
          <w:numId w:val="38"/>
        </w:numPr>
        <w:spacing w:line="360" w:lineRule="auto"/>
        <w:jc w:val="left"/>
        <w:outlineLvl w:val="2"/>
        <w:rPr>
          <w:rFonts w:hint="eastAsia" w:ascii="宋体" w:hAnsi="宋体" w:cs="宋体"/>
          <w:bCs/>
          <w:color w:val="000000"/>
          <w:sz w:val="24"/>
          <w:highlight w:val="none"/>
        </w:rPr>
      </w:pPr>
      <w:r>
        <w:rPr>
          <w:rFonts w:hint="eastAsia" w:ascii="宋体" w:hAnsi="宋体" w:cs="宋体"/>
          <w:b/>
          <w:sz w:val="24"/>
          <w:highlight w:val="none"/>
        </w:rPr>
        <w:t>示例说明</w:t>
      </w:r>
    </w:p>
    <w:p>
      <w:pPr>
        <w:numPr>
          <w:ilvl w:val="0"/>
          <w:numId w:val="0"/>
        </w:numPr>
        <w:spacing w:line="360" w:lineRule="auto"/>
        <w:ind w:left="420" w:leftChars="0"/>
        <w:jc w:val="left"/>
        <w:outlineLvl w:val="9"/>
        <w:rPr>
          <w:rFonts w:hint="eastAsia" w:ascii="宋体" w:hAnsi="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1.0615，此时，(1.0615/1.0000-1)×365/362=6.20%&gt;5.00%，即在〖4.00%-5.00%〗部分的投资收益管理人收取50%作为浮动管理费，超过〖5.00%〗部分的投资收益管理人收取80%作为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100,000×1.0000×{[（1.0615/1.0000-1）×365/362-5.00%]×80%+(5.00%-4.00%)×50%}×362/365=1,448.77（元）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扣除浮动管理费后，理财计划的单位净值大于1，故理财计划进行现金分红，分红金额为</w:t>
      </w:r>
      <w:r>
        <w:rPr>
          <w:rFonts w:hint="eastAsia" w:ascii="宋体" w:hAnsi="宋体" w:eastAsia="宋体" w:cs="宋体"/>
          <w:color w:val="000000"/>
          <w:kern w:val="2"/>
          <w:sz w:val="24"/>
          <w:szCs w:val="24"/>
          <w:lang w:val="en-US" w:eastAsia="zh-CN" w:bidi="ar"/>
        </w:rPr>
        <w:t>4,701.23</w:t>
      </w:r>
      <w:r>
        <w:rPr>
          <w:rFonts w:hint="eastAsia" w:ascii="宋体" w:hAnsi="宋体" w:eastAsia="宋体" w:cs="宋体"/>
          <w:kern w:val="2"/>
          <w:sz w:val="24"/>
          <w:szCs w:val="24"/>
          <w:lang w:val="en-US" w:eastAsia="zh-CN" w:bidi="ar"/>
        </w:rPr>
        <w:t>元，分红后产品的单位净值为1.0000。</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kern w:val="2"/>
          <w:sz w:val="24"/>
          <w:szCs w:val="24"/>
          <w:lang w:val="en-US" w:eastAsia="zh-CN" w:bidi="ar"/>
        </w:rPr>
        <w:t>投资者最终收益为：100,000.00×（1.0000-1.0000）+</w:t>
      </w:r>
      <w:r>
        <w:rPr>
          <w:rFonts w:hint="eastAsia" w:ascii="宋体" w:hAnsi="宋体" w:eastAsia="宋体" w:cs="宋体"/>
          <w:color w:val="000000"/>
          <w:kern w:val="2"/>
          <w:sz w:val="24"/>
          <w:szCs w:val="24"/>
          <w:lang w:val="en-US" w:eastAsia="zh-CN" w:bidi="ar"/>
        </w:rPr>
        <w:t>4,701.23</w:t>
      </w:r>
      <w:r>
        <w:rPr>
          <w:rFonts w:hint="eastAsia" w:ascii="宋体" w:hAnsi="宋体" w:eastAsia="宋体" w:cs="宋体"/>
          <w:kern w:val="2"/>
          <w:sz w:val="24"/>
          <w:szCs w:val="24"/>
          <w:lang w:val="en-US" w:eastAsia="zh-CN" w:bidi="ar"/>
        </w:rPr>
        <w:t>=</w:t>
      </w:r>
      <w:r>
        <w:rPr>
          <w:rFonts w:hint="eastAsia" w:ascii="宋体" w:hAnsi="宋体" w:eastAsia="宋体" w:cs="宋体"/>
          <w:color w:val="000000"/>
          <w:kern w:val="2"/>
          <w:sz w:val="24"/>
          <w:szCs w:val="24"/>
          <w:lang w:val="en-US" w:eastAsia="zh-CN" w:bidi="ar"/>
        </w:rPr>
        <w:t>4,701.23</w:t>
      </w:r>
      <w:r>
        <w:rPr>
          <w:rFonts w:hint="eastAsia" w:ascii="宋体" w:hAnsi="宋体" w:eastAsia="宋体" w:cs="宋体"/>
          <w:kern w:val="2"/>
          <w:sz w:val="24"/>
          <w:szCs w:val="24"/>
          <w:lang w:val="en-US" w:eastAsia="zh-CN" w:bidi="ar"/>
        </w:rPr>
        <w:t>（元），理财计划赎回时</w:t>
      </w:r>
      <w:r>
        <w:rPr>
          <w:rFonts w:hint="eastAsia" w:ascii="宋体" w:hAnsi="宋体" w:eastAsia="宋体" w:cs="宋体"/>
          <w:color w:val="000000"/>
          <w:kern w:val="2"/>
          <w:sz w:val="24"/>
          <w:szCs w:val="24"/>
          <w:lang w:val="en-US" w:eastAsia="zh-CN" w:bidi="ar"/>
        </w:rPr>
        <w:t>，投资者获得的实际收益相当于达到年化收益率水平为：4,701.23/100,000.00×365/362=4.74%。</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扣除托管费、固定管理费、销售服务费（如有）后，投资收益率超过业绩比较基准下限，但未达到业绩比较基准上限。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1.0415，此时，(1.0415/1.0000-1)×365/362=4.18%，即投资收益超过〖4.00%〗但未达到〖5.00%〗，则超过〖4.00%〗部分的投资收益管理人收取50%作为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100,000.00×1.0000×[(1.0415/1.0000-1)×365/362-4.00%]×50%×362/365=91.44（元）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扣除浮动管理费后，理财计划的单位净值大于1，故理财计划进行现金分红，分红金额为</w:t>
      </w:r>
      <w:r>
        <w:rPr>
          <w:rFonts w:hint="eastAsia" w:ascii="宋体" w:hAnsi="宋体" w:eastAsia="宋体" w:cs="宋体"/>
          <w:color w:val="000000"/>
          <w:kern w:val="2"/>
          <w:sz w:val="24"/>
          <w:szCs w:val="24"/>
          <w:lang w:val="en-US" w:eastAsia="zh-CN" w:bidi="ar"/>
        </w:rPr>
        <w:t>4058.56</w:t>
      </w:r>
      <w:r>
        <w:rPr>
          <w:rFonts w:hint="eastAsia" w:ascii="宋体" w:hAnsi="宋体" w:eastAsia="宋体" w:cs="宋体"/>
          <w:kern w:val="2"/>
          <w:sz w:val="24"/>
          <w:szCs w:val="24"/>
          <w:lang w:val="en-US" w:eastAsia="zh-CN" w:bidi="ar"/>
        </w:rPr>
        <w:t>元，分红后产品的单位净值为1.0000。</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100,000.00×（1.0000-1.0000）+4058.56 =4058.56（元），理财计划赎回时，投资者获得的实际收益相当于达到年化收益率水平为：4058.56/100,000.00×365/362=4.09%。</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示例三</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扣除托管费、固定管理费、销售服务费（如有）后，投资发生未达到〖业绩比较基准下限〗。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1.0362，此时，(1.0362/1.0000-1)×365/362=3.65%&lt;4.00%，即投资收益未达到〖4.00%〗，则投资管理人不收取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理财计划的单位净值大于1，故理财计划进行现金分红，分红金额为</w:t>
      </w:r>
      <w:r>
        <w:rPr>
          <w:rFonts w:hint="eastAsia" w:ascii="宋体" w:hAnsi="宋体" w:eastAsia="宋体" w:cs="宋体"/>
          <w:color w:val="000000"/>
          <w:kern w:val="2"/>
          <w:sz w:val="24"/>
          <w:szCs w:val="24"/>
          <w:lang w:val="en-US" w:eastAsia="zh-CN" w:bidi="ar"/>
        </w:rPr>
        <w:t>3,650.00</w:t>
      </w:r>
      <w:r>
        <w:rPr>
          <w:rFonts w:hint="eastAsia" w:ascii="宋体" w:hAnsi="宋体" w:eastAsia="宋体" w:cs="宋体"/>
          <w:kern w:val="2"/>
          <w:sz w:val="24"/>
          <w:szCs w:val="24"/>
          <w:lang w:val="en-US" w:eastAsia="zh-CN" w:bidi="ar"/>
        </w:rPr>
        <w:t>元，分红后产品的单位净值为1.0000。</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100,000.00×（1.0000-1.0000）+3,650.00 =3,650.00（元），理财计划赎回时，投资者获得的实际收益相当于达到年化收益率水平为：3,650.00/100,000.00×365/362=3.68%。</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示例四</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扣除托管费、固定管理费、销售服务费（如有）后，投资发生亏损。</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0.9975，则投资管理人不收取浮动管理费，理财计划不分红，投资者最终收益为：100,000.00×（0.9975-1.0000）=-250.00（元）。</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w:t>
      </w:r>
      <w:r>
        <w:rPr>
          <w:rFonts w:hint="eastAsia" w:ascii="宋体" w:hAnsi="宋体" w:cs="宋体"/>
          <w:bCs/>
          <w:color w:val="000000"/>
          <w:sz w:val="24"/>
          <w:highlight w:val="none"/>
          <w:lang w:eastAsia="zh-CN"/>
        </w:rPr>
        <w:t>赎回或</w:t>
      </w:r>
      <w:r>
        <w:rPr>
          <w:rFonts w:hint="eastAsia" w:ascii="宋体" w:hAnsi="宋体" w:cs="宋体"/>
          <w:bCs/>
          <w:color w:val="000000"/>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41"/>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41"/>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41"/>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成立</w:t>
      </w:r>
    </w:p>
    <w:p>
      <w:pPr>
        <w:numPr>
          <w:ilvl w:val="0"/>
          <w:numId w:val="42"/>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42"/>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申购及赎回</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交易确认及时间</w:t>
      </w:r>
    </w:p>
    <w:p>
      <w:pPr>
        <w:numPr>
          <w:ilvl w:val="0"/>
          <w:numId w:val="4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本理财计划在每个开放期的开放日工作时间可进行申购</w:t>
      </w:r>
      <w:r>
        <w:rPr>
          <w:rFonts w:hint="eastAsia" w:ascii="宋体" w:hAnsi="宋体" w:cs="宋体"/>
          <w:bCs/>
          <w:sz w:val="24"/>
          <w:highlight w:val="none"/>
          <w:lang w:val="en-US" w:eastAsia="zh-CN"/>
        </w:rPr>
        <w:t>和赎回</w:t>
      </w:r>
      <w:r>
        <w:rPr>
          <w:rFonts w:hint="eastAsia" w:ascii="宋体" w:hAnsi="宋体" w:cs="宋体"/>
          <w:bCs/>
          <w:sz w:val="24"/>
          <w:highlight w:val="none"/>
        </w:rPr>
        <w:t>，申购</w:t>
      </w:r>
      <w:r>
        <w:rPr>
          <w:rFonts w:hint="eastAsia" w:ascii="宋体" w:hAnsi="宋体" w:cs="宋体"/>
          <w:bCs/>
          <w:sz w:val="24"/>
          <w:highlight w:val="none"/>
          <w:lang w:val="en-US" w:eastAsia="zh-CN"/>
        </w:rPr>
        <w:t>和赎回</w:t>
      </w:r>
      <w:r>
        <w:rPr>
          <w:rFonts w:hint="eastAsia" w:ascii="宋体" w:hAnsi="宋体" w:cs="宋体"/>
          <w:bCs/>
          <w:sz w:val="24"/>
          <w:highlight w:val="none"/>
        </w:rPr>
        <w:t>申请将在确认日进行确认，即开放期后的第〖</w:t>
      </w:r>
      <w:r>
        <w:rPr>
          <w:rFonts w:hint="eastAsia" w:ascii="宋体" w:hAnsi="宋体" w:cs="宋体"/>
          <w:bCs/>
          <w:color w:val="000000"/>
          <w:sz w:val="24"/>
          <w:highlight w:val="none"/>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〗进行确认。</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工作时间为每个〖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〗上午〖</w:t>
      </w:r>
      <w:r>
        <w:rPr>
          <w:rFonts w:hint="eastAsia" w:ascii="宋体" w:hAnsi="宋体" w:cs="宋体"/>
          <w:bCs/>
          <w:color w:val="000000"/>
          <w:sz w:val="24"/>
          <w:highlight w:val="none"/>
        </w:rPr>
        <w:t>9:00</w:t>
      </w:r>
      <w:r>
        <w:rPr>
          <w:rFonts w:hint="eastAsia" w:ascii="宋体" w:hAnsi="宋体" w:cs="宋体"/>
          <w:bCs/>
          <w:sz w:val="24"/>
          <w:highlight w:val="none"/>
        </w:rPr>
        <w:t>〗至下午〖</w:t>
      </w:r>
      <w:r>
        <w:rPr>
          <w:rFonts w:hint="eastAsia" w:ascii="宋体" w:hAnsi="宋体" w:cs="宋体"/>
          <w:bCs/>
          <w:color w:val="000000"/>
          <w:sz w:val="24"/>
          <w:highlight w:val="none"/>
        </w:rPr>
        <w:t>17:00〗</w:t>
      </w:r>
      <w:r>
        <w:rPr>
          <w:rFonts w:hint="eastAsia" w:ascii="宋体" w:hAnsi="宋体" w:cs="宋体"/>
          <w:bCs/>
          <w:sz w:val="24"/>
          <w:highlight w:val="none"/>
        </w:rPr>
        <w:t>。</w:t>
      </w:r>
      <w:r>
        <w:rPr>
          <w:rFonts w:hint="eastAsia" w:ascii="宋体" w:hAnsi="宋体" w:cs="宋体"/>
          <w:color w:val="000000"/>
          <w:kern w:val="0"/>
          <w:sz w:val="24"/>
          <w:szCs w:val="24"/>
          <w:highlight w:val="none"/>
        </w:rPr>
        <w:t>（具体以销售机构规定为准）</w:t>
      </w:r>
    </w:p>
    <w:p>
      <w:pPr>
        <w:numPr>
          <w:ilvl w:val="0"/>
          <w:numId w:val="44"/>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如新增申</w:t>
      </w:r>
      <w:r>
        <w:rPr>
          <w:rFonts w:hint="eastAsia" w:ascii="宋体" w:hAnsi="宋体" w:cs="宋体"/>
          <w:bCs/>
          <w:color w:val="000000"/>
          <w:sz w:val="24"/>
          <w:highlight w:val="none"/>
          <w:lang w:val="en-US" w:eastAsia="zh-CN"/>
        </w:rPr>
        <w:t>购使得单一投资者持有份额比例超过理财计划总份额的50％，管理人将不再接受超出部分的申购申请。非因投资管理人主观因素导致突破前款规定比例限制的，在单一投资者持有比例降至50％以下之前，管理人将不再接受该投资者对该理财计划的申购申请。投资者持有份额的计算以管理人登记为准。</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到账时间</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赎回资金确认后，最快</w:t>
      </w:r>
      <w:r>
        <w:rPr>
          <w:rFonts w:hint="eastAsia" w:ascii="宋体" w:hAnsi="宋体" w:eastAsia="宋体" w:cs="宋体"/>
          <w:bCs/>
          <w:kern w:val="2"/>
          <w:sz w:val="24"/>
          <w:szCs w:val="24"/>
          <w:highlight w:val="none"/>
          <w:lang w:val="en-US" w:eastAsia="zh-CN" w:bidi="ar-SA"/>
        </w:rPr>
        <w:t>〖确认日当日〗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确认日后〖2〗个〖工作日〗内</w:t>
      </w:r>
      <w:r>
        <w:rPr>
          <w:rFonts w:hint="eastAsia" w:ascii="宋体" w:hAnsi="宋体" w:cs="宋体"/>
          <w:bCs/>
          <w:sz w:val="24"/>
          <w:highlight w:val="none"/>
        </w:rPr>
        <w:t>（遇节假日顺延）支付。如遇资金在途或法定工作日调整，实际资金到账日以公告为准。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numPr>
          <w:ilvl w:val="0"/>
          <w:numId w:val="45"/>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巨额赎回认定</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理财计划存续期内，若理财计划开放日净赎回申请份额超过上一日日终理财计划总份额〖</w:t>
      </w:r>
      <w:r>
        <w:rPr>
          <w:rFonts w:hint="eastAsia" w:ascii="宋体" w:hAnsi="宋体" w:cs="宋体"/>
          <w:bCs/>
          <w:color w:val="000000"/>
          <w:sz w:val="24"/>
          <w:highlight w:val="none"/>
        </w:rPr>
        <w:t>10%</w:t>
      </w:r>
      <w:r>
        <w:rPr>
          <w:rFonts w:hint="eastAsia" w:ascii="宋体" w:hAnsi="宋体" w:cs="宋体"/>
          <w:bCs/>
          <w:sz w:val="24"/>
          <w:highlight w:val="none"/>
        </w:rPr>
        <w:t>〗时，即构成巨额赎回。</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sz w:val="24"/>
          <w:highlight w:val="none"/>
        </w:rPr>
      </w:pPr>
      <w:r>
        <w:rPr>
          <w:rFonts w:hint="eastAsia" w:ascii="宋体" w:hAnsi="宋体" w:cs="宋体"/>
          <w:bCs/>
          <w:sz w:val="24"/>
          <w:highlight w:val="none"/>
        </w:rPr>
        <w:t>当出现巨额赎回时，管理人可以根据资产组合状况决定采取全额赎回或拒绝超出部分的赎回申请。</w:t>
      </w:r>
      <w:r>
        <w:rPr>
          <w:rFonts w:hint="eastAsia" w:ascii="宋体" w:hAnsi="宋体" w:cs="宋体"/>
          <w:bCs/>
          <w:sz w:val="24"/>
          <w:highlight w:val="none"/>
          <w:lang w:val="en-US" w:eastAsia="zh-CN"/>
        </w:rPr>
        <w:t>如连续2日（含）以上开放日发生巨额赎回，对于已经接受的赎回申请，管理人可以延缓支付赎回款项，但延缓期限不得超过20个工作日。</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全部赎回</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当管理人认为全额兑付投资者的赎回申请将不会对本理财计划净值造成较大波动或给本理财计划造成重大损失时，按正常赎回程序执行。</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拒绝超出部分的赎回申请</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当管理人认为全部满足投资者的赎回申请可能会对本理财计划造成重大损失或可能会对理财计划净值造成较大波动时，在当日接受赎回比例不低于理财计划上一确认日日终总份额的〖</w:t>
      </w:r>
      <w:r>
        <w:rPr>
          <w:rFonts w:hint="eastAsia" w:ascii="宋体" w:hAnsi="宋体" w:cs="宋体"/>
          <w:bCs/>
          <w:color w:val="000000"/>
          <w:sz w:val="24"/>
          <w:highlight w:val="none"/>
        </w:rPr>
        <w:t>10%</w:t>
      </w:r>
      <w:r>
        <w:rPr>
          <w:rFonts w:hint="eastAsia" w:ascii="宋体" w:hAnsi="宋体" w:cs="宋体"/>
          <w:bCs/>
          <w:sz w:val="24"/>
          <w:highlight w:val="none"/>
        </w:rPr>
        <w:t>〗的前提下，对其余赎回申请予以拒绝，但投资者可于下一赎回开放期重新进行赎回申请。</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在</w:t>
      </w:r>
      <w:r>
        <w:rPr>
          <w:rFonts w:hint="eastAsia" w:ascii="宋体" w:hAnsi="宋体" w:cs="宋体"/>
          <w:bCs/>
          <w:sz w:val="24"/>
          <w:highlight w:val="none"/>
        </w:rPr>
        <w:t>理财计划存续期内，管理人有权根据市场情况调整巨额赎回金额比例，并及时进行对外公告。</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暂停申购、赎回及延期支付赎回的情形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发生以下情形，管理人可暂停接受全部或部分投资者的申购申请：</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w:t>
      </w:r>
      <w:r>
        <w:rPr>
          <w:rFonts w:hint="eastAsia" w:ascii="宋体" w:hAnsi="宋体" w:cs="宋体"/>
          <w:bCs/>
          <w:sz w:val="24"/>
          <w:highlight w:val="none"/>
          <w:lang w:val="en-US" w:eastAsia="zh-CN"/>
        </w:rPr>
        <w:t>资产规模过大，继续接受申购可能对理财计划业绩产生负面影响，从而损害现有份额持有人利益的情形时</w:t>
      </w:r>
      <w:r>
        <w:rPr>
          <w:rFonts w:hint="eastAsia" w:ascii="宋体" w:hAnsi="宋体" w:cs="宋体"/>
          <w:bCs/>
          <w:sz w:val="24"/>
          <w:highlight w:val="none"/>
        </w:rPr>
        <w:t>。</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当</w:t>
      </w:r>
      <w:r>
        <w:rPr>
          <w:rFonts w:hint="eastAsia" w:ascii="宋体" w:hAnsi="宋体" w:cs="宋体"/>
          <w:bCs/>
          <w:sz w:val="24"/>
          <w:highlight w:val="none"/>
          <w:lang w:val="en-US" w:eastAsia="zh-CN"/>
        </w:rPr>
        <w:t>管理人认为某笔申购申请会有损于其他份额持有人利益的情形时。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发生产品说明书约定的暂停估值的情形时。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发生以下情形，对超出前一日终理财产品总份额10%的赎回申请，管理人可暂停接受全部或部分、延期办理投资者的赎回申请：</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理财计划发生巨额赎回情形时。</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当继续</w:t>
      </w:r>
      <w:r>
        <w:rPr>
          <w:rFonts w:hint="default" w:ascii="宋体" w:hAnsi="宋体" w:cs="宋体"/>
          <w:bCs/>
          <w:sz w:val="24"/>
          <w:highlight w:val="none"/>
          <w:lang w:val="en-US" w:eastAsia="zh-CN"/>
        </w:rPr>
        <w:t>接受赎回申请将损害存量投资者利益的情形</w:t>
      </w:r>
      <w:r>
        <w:rPr>
          <w:rFonts w:hint="eastAsia" w:ascii="宋体" w:hAnsi="宋体" w:cs="宋体"/>
          <w:bCs/>
          <w:sz w:val="24"/>
          <w:highlight w:val="none"/>
          <w:lang w:val="en-US" w:eastAsia="zh-CN"/>
        </w:rPr>
        <w:t>时。</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w:t>
      </w:r>
      <w:r>
        <w:rPr>
          <w:rFonts w:hint="default" w:ascii="宋体" w:hAnsi="宋体" w:cs="宋体"/>
          <w:bCs/>
          <w:sz w:val="24"/>
          <w:highlight w:val="none"/>
          <w:lang w:val="en-US" w:eastAsia="zh-CN"/>
        </w:rPr>
        <w:t>前一估值日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发生</w:t>
      </w:r>
      <w:r>
        <w:rPr>
          <w:rFonts w:hint="eastAsia" w:ascii="宋体" w:hAnsi="宋体" w:cs="宋体"/>
          <w:bCs/>
          <w:sz w:val="24"/>
          <w:highlight w:val="none"/>
          <w:lang w:eastAsia="zh-CN"/>
        </w:rPr>
        <w:t>产品说明书约定的暂停估值的情形时。</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发生以下情形，管理人对已接受的赎回申请，可延期支付赎回款项：</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因</w:t>
      </w:r>
      <w:r>
        <w:rPr>
          <w:rFonts w:hint="eastAsia" w:ascii="宋体" w:hAnsi="宋体" w:cs="宋体"/>
          <w:bCs/>
          <w:sz w:val="24"/>
          <w:highlight w:val="none"/>
          <w:lang w:val="en-US" w:eastAsia="zh-CN"/>
        </w:rPr>
        <w:t>不可抗力等原因，导致管理人接受赎回申请后无法及时兑付的情形时。</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连续</w:t>
      </w:r>
      <w:r>
        <w:rPr>
          <w:rFonts w:hint="default" w:ascii="宋体" w:hAnsi="宋体" w:cs="宋体"/>
          <w:bCs/>
          <w:sz w:val="24"/>
          <w:highlight w:val="none"/>
          <w:lang w:val="en-US" w:eastAsia="zh-CN"/>
        </w:rPr>
        <w:t>2</w:t>
      </w:r>
      <w:r>
        <w:rPr>
          <w:rFonts w:hint="eastAsia" w:ascii="宋体" w:hAnsi="宋体" w:cs="宋体"/>
          <w:bCs/>
          <w:sz w:val="24"/>
          <w:highlight w:val="none"/>
          <w:lang w:val="en-US" w:eastAsia="zh-CN"/>
        </w:rPr>
        <w:t>日</w:t>
      </w:r>
      <w:r>
        <w:rPr>
          <w:rFonts w:hint="default" w:ascii="宋体" w:hAnsi="宋体" w:cs="宋体"/>
          <w:bCs/>
          <w:sz w:val="24"/>
          <w:highlight w:val="none"/>
          <w:lang w:val="en-US" w:eastAsia="zh-CN"/>
        </w:rPr>
        <w:t>（含）以上开放日发生巨额赎回的</w:t>
      </w:r>
      <w:r>
        <w:rPr>
          <w:rFonts w:hint="eastAsia" w:ascii="宋体" w:hAnsi="宋体" w:cs="宋体"/>
          <w:bCs/>
          <w:sz w:val="24"/>
          <w:highlight w:val="none"/>
          <w:lang w:val="en-US" w:eastAsia="zh-CN"/>
        </w:rPr>
        <w:t>情形时。</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当前</w:t>
      </w:r>
      <w:r>
        <w:rPr>
          <w:rFonts w:hint="default" w:ascii="宋体" w:hAnsi="宋体" w:cs="宋体"/>
          <w:bCs/>
          <w:sz w:val="24"/>
          <w:highlight w:val="none"/>
          <w:lang w:val="en-US" w:eastAsia="zh-CN"/>
        </w:rPr>
        <w:t>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法律法规规定或监管机构认定的其他情形。</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到期清算</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bCs/>
          <w:kern w:val="2"/>
          <w:sz w:val="24"/>
          <w:szCs w:val="24"/>
          <w:highlight w:val="none"/>
          <w:lang w:val="en-US" w:eastAsia="zh-CN" w:bidi="ar-SA"/>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3</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szCs w:val="24"/>
          <w:highlight w:val="none"/>
        </w:rPr>
        <w:t>〖</w:t>
      </w:r>
      <w:r>
        <w:rPr>
          <w:rFonts w:hint="eastAsia" w:ascii="宋体" w:hAnsi="宋体" w:cs="宋体"/>
          <w:bCs/>
          <w:color w:val="000000"/>
          <w:sz w:val="24"/>
          <w:highlight w:val="none"/>
        </w:rPr>
        <w:t>2〗</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〗通过管理人或销售机构发布提前终止公告，并于终止日后</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3</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w:t>
      </w:r>
      <w:r>
        <w:rPr>
          <w:rFonts w:hint="eastAsia" w:ascii="宋体" w:hAnsi="宋体" w:cs="宋体"/>
          <w:b/>
          <w:sz w:val="24"/>
          <w:highlight w:val="none"/>
          <w:lang w:eastAsia="zh-CN"/>
        </w:rPr>
        <w:t>或部分</w:t>
      </w:r>
      <w:r>
        <w:rPr>
          <w:rFonts w:hint="eastAsia" w:ascii="宋体" w:hAnsi="宋体" w:cs="宋体"/>
          <w:b/>
          <w:sz w:val="24"/>
          <w:highlight w:val="none"/>
        </w:rPr>
        <w:t>提前终止权：</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lang w:eastAsia="zh-CN"/>
        </w:rPr>
        <w:t>融资人行使提前到期或还款权利的。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51"/>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5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53"/>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53"/>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5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54"/>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理财计划净值：管理人应在理财计划成立后，每个开放确认日后</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个工作日内披露本理财计划净值。</w:t>
      </w:r>
      <w:r>
        <w:rPr>
          <w:rFonts w:hint="eastAsia" w:ascii="宋体" w:hAnsi="宋体" w:cs="宋体"/>
          <w:bCs/>
          <w:color w:val="000000"/>
          <w:sz w:val="24"/>
          <w:highlight w:val="none"/>
          <w:lang w:eastAsia="zh"/>
        </w:rPr>
        <w:t>公募开放式产品至少每周披露净值。</w:t>
      </w:r>
    </w:p>
    <w:p>
      <w:pPr>
        <w:numPr>
          <w:ilvl w:val="0"/>
          <w:numId w:val="54"/>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sz w:val="24"/>
          <w:highlight w:val="none"/>
          <w:lang w:eastAsia="zh-CN"/>
        </w:rPr>
        <w:t>如本理财计划成立不足</w:t>
      </w:r>
      <w:r>
        <w:rPr>
          <w:rFonts w:hint="eastAsia" w:ascii="宋体" w:hAnsi="宋体" w:cs="宋体"/>
          <w:bCs/>
          <w:color w:val="000000"/>
          <w:sz w:val="24"/>
          <w:highlight w:val="none"/>
          <w:lang w:val="en-US" w:eastAsia="zh-CN"/>
        </w:rPr>
        <w:t>90个工作日或剩余存续期不超过90个工作日的，管理人可不编制当期的季度、半年和年度报告等运行报告。</w:t>
      </w:r>
    </w:p>
    <w:p>
      <w:pPr>
        <w:numPr>
          <w:ilvl w:val="0"/>
          <w:numId w:val="54"/>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5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5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lang w:eastAsia="zh-CN"/>
        </w:rPr>
        <w:t>应在发生可能对理财计划投资者或者理财计划收益产</w:t>
      </w:r>
      <w:r>
        <w:rPr>
          <w:rFonts w:hint="eastAsia" w:ascii="宋体" w:hAnsi="宋体" w:cs="宋体"/>
          <w:bCs/>
          <w:color w:val="000000"/>
          <w:sz w:val="24"/>
          <w:highlight w:val="none"/>
        </w:rPr>
        <w:t>生重大事项的事件后2个工作日内发布重大事项公告。</w:t>
      </w:r>
    </w:p>
    <w:p>
      <w:pPr>
        <w:numPr>
          <w:ilvl w:val="0"/>
          <w:numId w:val="55"/>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51"/>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5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5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w:t>
      </w:r>
      <w:r>
        <w:rPr>
          <w:rFonts w:hint="eastAsia" w:ascii="宋体" w:hAnsi="宋体" w:cs="宋体"/>
          <w:bCs/>
          <w:color w:val="000000"/>
          <w:sz w:val="24"/>
          <w:highlight w:val="none"/>
          <w:lang w:val="en-US" w:eastAsia="zh-CN"/>
        </w:rPr>
        <w:t>被告人</w:t>
      </w:r>
      <w:r>
        <w:rPr>
          <w:rFonts w:hint="eastAsia" w:ascii="宋体" w:hAnsi="宋体" w:cs="宋体"/>
          <w:bCs/>
          <w:color w:val="000000"/>
          <w:sz w:val="24"/>
          <w:highlight w:val="none"/>
        </w:rPr>
        <w:t>所在地有管辖权的人民法院诉讼解决。</w:t>
      </w:r>
    </w:p>
    <w:p>
      <w:pPr>
        <w:numPr>
          <w:ilvl w:val="0"/>
          <w:numId w:val="5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879860"/>
    <w:multiLevelType w:val="singleLevel"/>
    <w:tmpl w:val="81879860"/>
    <w:lvl w:ilvl="0" w:tentative="0">
      <w:start w:val="8"/>
      <w:numFmt w:val="decimal"/>
      <w:suff w:val="nothing"/>
      <w:lvlText w:val="%1．"/>
      <w:lvlJc w:val="left"/>
      <w:pPr>
        <w:ind w:left="0" w:firstLine="403"/>
      </w:pPr>
      <w:rPr>
        <w:rFonts w:hint="default"/>
      </w:rPr>
    </w:lvl>
  </w:abstractNum>
  <w:abstractNum w:abstractNumId="1">
    <w:nsid w:val="85460E80"/>
    <w:multiLevelType w:val="singleLevel"/>
    <w:tmpl w:val="85460E80"/>
    <w:lvl w:ilvl="0" w:tentative="0">
      <w:start w:val="1"/>
      <w:numFmt w:val="decimal"/>
      <w:suff w:val="nothing"/>
      <w:lvlText w:val="（%1）"/>
      <w:lvlJc w:val="left"/>
      <w:rPr>
        <w:rFonts w:hint="default"/>
        <w:b w:val="0"/>
        <w:bCs w:val="0"/>
      </w:rPr>
    </w:lvl>
  </w:abstractNum>
  <w:abstractNum w:abstractNumId="2">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
    <w:nsid w:val="8906C252"/>
    <w:multiLevelType w:val="singleLevel"/>
    <w:tmpl w:val="8906C252"/>
    <w:lvl w:ilvl="0" w:tentative="0">
      <w:start w:val="1"/>
      <w:numFmt w:val="decimal"/>
      <w:suff w:val="nothing"/>
      <w:lvlText w:val="（%1）"/>
      <w:lvlJc w:val="left"/>
      <w:rPr>
        <w:rFonts w:hint="default"/>
        <w:b w:val="0"/>
        <w:bCs w:val="0"/>
      </w:rPr>
    </w:lvl>
  </w:abstractNum>
  <w:abstractNum w:abstractNumId="4">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highlight w:val="none"/>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4">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5">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6">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7">
    <w:nsid w:val="D86C2766"/>
    <w:multiLevelType w:val="singleLevel"/>
    <w:tmpl w:val="D86C2766"/>
    <w:lvl w:ilvl="0" w:tentative="0">
      <w:start w:val="5"/>
      <w:numFmt w:val="decimal"/>
      <w:suff w:val="nothing"/>
      <w:lvlText w:val="%1．"/>
      <w:lvlJc w:val="left"/>
      <w:pPr>
        <w:ind w:left="0" w:firstLine="403"/>
      </w:pPr>
      <w:rPr>
        <w:rFonts w:hint="default"/>
      </w:rPr>
    </w:lvl>
  </w:abstractNum>
  <w:abstractNum w:abstractNumId="18">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19">
    <w:nsid w:val="D8D75090"/>
    <w:multiLevelType w:val="singleLevel"/>
    <w:tmpl w:val="D8D75090"/>
    <w:lvl w:ilvl="0" w:tentative="0">
      <w:start w:val="1"/>
      <w:numFmt w:val="decimal"/>
      <w:suff w:val="nothing"/>
      <w:lvlText w:val="（%1）"/>
      <w:lvlJc w:val="left"/>
      <w:rPr>
        <w:rFonts w:hint="default"/>
        <w:b w:val="0"/>
        <w:bCs w:val="0"/>
      </w:rPr>
    </w:lvl>
  </w:abstractNum>
  <w:abstractNum w:abstractNumId="20">
    <w:nsid w:val="DD2251DF"/>
    <w:multiLevelType w:val="singleLevel"/>
    <w:tmpl w:val="DD2251DF"/>
    <w:lvl w:ilvl="0" w:tentative="0">
      <w:start w:val="1"/>
      <w:numFmt w:val="decimal"/>
      <w:suff w:val="nothing"/>
      <w:lvlText w:val="（%1）"/>
      <w:lvlJc w:val="left"/>
      <w:rPr>
        <w:rFonts w:hint="default"/>
        <w:b w:val="0"/>
        <w:bCs w:val="0"/>
      </w:rPr>
    </w:lvl>
  </w:abstractNum>
  <w:abstractNum w:abstractNumId="21">
    <w:nsid w:val="DFFE6DAD"/>
    <w:multiLevelType w:val="multilevel"/>
    <w:tmpl w:val="DFFE6DAD"/>
    <w:lvl w:ilvl="0" w:tentative="0">
      <w:start w:val="1"/>
      <w:numFmt w:val="decimal"/>
      <w:suff w:val="nothing"/>
      <w:lvlText w:val="%1．"/>
      <w:lvlJc w:val="left"/>
      <w:pPr>
        <w:ind w:left="0" w:firstLine="40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2">
    <w:nsid w:val="E20DF07A"/>
    <w:multiLevelType w:val="singleLevel"/>
    <w:tmpl w:val="E20DF07A"/>
    <w:lvl w:ilvl="0" w:tentative="0">
      <w:start w:val="1"/>
      <w:numFmt w:val="chineseCounting"/>
      <w:suff w:val="nothing"/>
      <w:lvlText w:val="（%1）"/>
      <w:lvlJc w:val="left"/>
      <w:pPr>
        <w:ind w:left="0" w:firstLine="420"/>
      </w:pPr>
      <w:rPr>
        <w:rFonts w:hint="eastAsia"/>
        <w:b/>
        <w:bCs/>
      </w:rPr>
    </w:lvl>
  </w:abstractNum>
  <w:abstractNum w:abstractNumId="23">
    <w:nsid w:val="E70DF796"/>
    <w:multiLevelType w:val="singleLevel"/>
    <w:tmpl w:val="E70DF796"/>
    <w:lvl w:ilvl="0" w:tentative="0">
      <w:start w:val="1"/>
      <w:numFmt w:val="decimal"/>
      <w:suff w:val="nothing"/>
      <w:lvlText w:val="（%1）"/>
      <w:lvlJc w:val="left"/>
    </w:lvl>
  </w:abstractNum>
  <w:abstractNum w:abstractNumId="24">
    <w:nsid w:val="EFF37F09"/>
    <w:multiLevelType w:val="singleLevel"/>
    <w:tmpl w:val="EFF37F09"/>
    <w:lvl w:ilvl="0" w:tentative="0">
      <w:start w:val="1"/>
      <w:numFmt w:val="decimal"/>
      <w:suff w:val="nothing"/>
      <w:lvlText w:val="（%1）"/>
      <w:lvlJc w:val="left"/>
      <w:rPr>
        <w:rFonts w:hint="default"/>
        <w:b w:val="0"/>
        <w:bCs w:val="0"/>
      </w:rPr>
    </w:lvl>
  </w:abstractNum>
  <w:abstractNum w:abstractNumId="25">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6">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7">
    <w:nsid w:val="F44DF26E"/>
    <w:multiLevelType w:val="singleLevel"/>
    <w:tmpl w:val="F44DF26E"/>
    <w:lvl w:ilvl="0" w:tentative="0">
      <w:start w:val="1"/>
      <w:numFmt w:val="decimal"/>
      <w:suff w:val="nothing"/>
      <w:lvlText w:val="%1．"/>
      <w:lvlJc w:val="left"/>
      <w:pPr>
        <w:ind w:left="0" w:firstLine="400"/>
      </w:pPr>
      <w:rPr>
        <w:rFonts w:hint="default"/>
      </w:rPr>
    </w:lvl>
  </w:abstractNum>
  <w:abstractNum w:abstractNumId="28">
    <w:nsid w:val="F574F5B6"/>
    <w:multiLevelType w:val="singleLevel"/>
    <w:tmpl w:val="F574F5B6"/>
    <w:lvl w:ilvl="0" w:tentative="0">
      <w:start w:val="1"/>
      <w:numFmt w:val="decimal"/>
      <w:suff w:val="nothing"/>
      <w:lvlText w:val="（%1）"/>
      <w:lvlJc w:val="left"/>
    </w:lvl>
  </w:abstractNum>
  <w:abstractNum w:abstractNumId="29">
    <w:nsid w:val="F8DD71ED"/>
    <w:multiLevelType w:val="multilevel"/>
    <w:tmpl w:val="F8DD71ED"/>
    <w:lvl w:ilvl="0" w:tentative="0">
      <w:start w:val="1"/>
      <w:numFmt w:val="decimal"/>
      <w:suff w:val="nothing"/>
      <w:lvlText w:val="%1．"/>
      <w:lvlJc w:val="left"/>
      <w:pPr>
        <w:ind w:left="0" w:firstLine="40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0">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31">
    <w:nsid w:val="FBBA18C3"/>
    <w:multiLevelType w:val="singleLevel"/>
    <w:tmpl w:val="FBBA18C3"/>
    <w:lvl w:ilvl="0" w:tentative="0">
      <w:start w:val="1"/>
      <w:numFmt w:val="decimal"/>
      <w:lvlText w:val="%1."/>
      <w:lvlJc w:val="left"/>
      <w:pPr>
        <w:tabs>
          <w:tab w:val="left" w:pos="312"/>
        </w:tabs>
      </w:pPr>
      <w:rPr>
        <w:rFonts w:hint="default"/>
        <w:b w:val="0"/>
        <w:bCs w:val="0"/>
        <w:highlight w:val="none"/>
      </w:rPr>
    </w:lvl>
  </w:abstractNum>
  <w:abstractNum w:abstractNumId="32">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33">
    <w:nsid w:val="084A6179"/>
    <w:multiLevelType w:val="singleLevel"/>
    <w:tmpl w:val="084A6179"/>
    <w:lvl w:ilvl="0" w:tentative="0">
      <w:start w:val="1"/>
      <w:numFmt w:val="decimal"/>
      <w:suff w:val="nothing"/>
      <w:lvlText w:val="（%1）"/>
      <w:lvlJc w:val="left"/>
      <w:rPr>
        <w:rFonts w:hint="default"/>
        <w:highlight w:val="none"/>
      </w:rPr>
    </w:lvl>
  </w:abstractNum>
  <w:abstractNum w:abstractNumId="34">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35">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6">
    <w:nsid w:val="167B0BB4"/>
    <w:multiLevelType w:val="singleLevel"/>
    <w:tmpl w:val="167B0BB4"/>
    <w:lvl w:ilvl="0" w:tentative="0">
      <w:start w:val="1"/>
      <w:numFmt w:val="decimal"/>
      <w:suff w:val="nothing"/>
      <w:lvlText w:val="（%1）"/>
      <w:lvlJc w:val="left"/>
    </w:lvl>
  </w:abstractNum>
  <w:abstractNum w:abstractNumId="37">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38">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9">
    <w:nsid w:val="2A987C4E"/>
    <w:multiLevelType w:val="singleLevel"/>
    <w:tmpl w:val="2A987C4E"/>
    <w:lvl w:ilvl="0" w:tentative="0">
      <w:start w:val="5"/>
      <w:numFmt w:val="decimal"/>
      <w:suff w:val="nothing"/>
      <w:lvlText w:val="%1．"/>
      <w:lvlJc w:val="left"/>
      <w:pPr>
        <w:ind w:left="0" w:firstLine="403"/>
      </w:pPr>
      <w:rPr>
        <w:rFonts w:hint="default"/>
      </w:rPr>
    </w:lvl>
  </w:abstractNum>
  <w:abstractNum w:abstractNumId="40">
    <w:nsid w:val="2CB63BE6"/>
    <w:multiLevelType w:val="singleLevel"/>
    <w:tmpl w:val="2CB63BE6"/>
    <w:lvl w:ilvl="0" w:tentative="0">
      <w:start w:val="1"/>
      <w:numFmt w:val="decimal"/>
      <w:suff w:val="nothing"/>
      <w:lvlText w:val="（%1）"/>
      <w:lvlJc w:val="left"/>
      <w:rPr>
        <w:rFonts w:hint="default"/>
        <w:b w:val="0"/>
        <w:bCs w:val="0"/>
      </w:rPr>
    </w:lvl>
  </w:abstractNum>
  <w:abstractNum w:abstractNumId="41">
    <w:nsid w:val="3775F290"/>
    <w:multiLevelType w:val="singleLevel"/>
    <w:tmpl w:val="3775F290"/>
    <w:lvl w:ilvl="0" w:tentative="0">
      <w:start w:val="7"/>
      <w:numFmt w:val="decimal"/>
      <w:suff w:val="nothing"/>
      <w:lvlText w:val="%1．"/>
      <w:lvlJc w:val="left"/>
      <w:pPr>
        <w:ind w:left="0" w:firstLine="403"/>
      </w:pPr>
      <w:rPr>
        <w:rFonts w:hint="default"/>
      </w:rPr>
    </w:lvl>
  </w:abstractNum>
  <w:abstractNum w:abstractNumId="42">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43">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44">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45">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46">
    <w:nsid w:val="4A032168"/>
    <w:multiLevelType w:val="singleLevel"/>
    <w:tmpl w:val="4A032168"/>
    <w:lvl w:ilvl="0" w:tentative="0">
      <w:start w:val="4"/>
      <w:numFmt w:val="decimal"/>
      <w:suff w:val="nothing"/>
      <w:lvlText w:val="%1．"/>
      <w:lvlJc w:val="left"/>
      <w:pPr>
        <w:ind w:left="0" w:firstLine="403"/>
      </w:pPr>
      <w:rPr>
        <w:rFonts w:hint="default"/>
        <w:highlight w:val="none"/>
      </w:rPr>
    </w:lvl>
  </w:abstractNum>
  <w:abstractNum w:abstractNumId="47">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48">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49">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50">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51">
    <w:nsid w:val="5BA91325"/>
    <w:multiLevelType w:val="singleLevel"/>
    <w:tmpl w:val="5BA91325"/>
    <w:lvl w:ilvl="0" w:tentative="0">
      <w:start w:val="1"/>
      <w:numFmt w:val="decimal"/>
      <w:suff w:val="nothing"/>
      <w:lvlText w:val="（%1）"/>
      <w:lvlJc w:val="left"/>
    </w:lvl>
  </w:abstractNum>
  <w:abstractNum w:abstractNumId="52">
    <w:nsid w:val="61F30F62"/>
    <w:multiLevelType w:val="singleLevel"/>
    <w:tmpl w:val="61F30F62"/>
    <w:lvl w:ilvl="0" w:tentative="0">
      <w:start w:val="1"/>
      <w:numFmt w:val="decimal"/>
      <w:suff w:val="nothing"/>
      <w:lvlText w:val="（%1）"/>
      <w:lvlJc w:val="left"/>
      <w:rPr>
        <w:rFonts w:hint="default"/>
        <w:b w:val="0"/>
        <w:bCs w:val="0"/>
      </w:rPr>
    </w:lvl>
  </w:abstractNum>
  <w:abstractNum w:abstractNumId="53">
    <w:nsid w:val="69C07A9C"/>
    <w:multiLevelType w:val="singleLevel"/>
    <w:tmpl w:val="69C07A9C"/>
    <w:lvl w:ilvl="0" w:tentative="0">
      <w:start w:val="1"/>
      <w:numFmt w:val="lowerLetter"/>
      <w:suff w:val="space"/>
      <w:lvlText w:val="%1."/>
      <w:lvlJc w:val="left"/>
    </w:lvl>
  </w:abstractNum>
  <w:abstractNum w:abstractNumId="54">
    <w:nsid w:val="6BA7AFBC"/>
    <w:multiLevelType w:val="singleLevel"/>
    <w:tmpl w:val="6BA7AFBC"/>
    <w:lvl w:ilvl="0" w:tentative="0">
      <w:start w:val="1"/>
      <w:numFmt w:val="chineseCounting"/>
      <w:suff w:val="nothing"/>
      <w:lvlText w:val="（%1）"/>
      <w:lvlJc w:val="left"/>
      <w:pPr>
        <w:ind w:left="0" w:firstLine="420"/>
      </w:pPr>
      <w:rPr>
        <w:rFonts w:hint="eastAsia"/>
      </w:rPr>
    </w:lvl>
  </w:abstractNum>
  <w:abstractNum w:abstractNumId="55">
    <w:nsid w:val="6FFB1D5F"/>
    <w:multiLevelType w:val="multilevel"/>
    <w:tmpl w:val="6FFB1D5F"/>
    <w:lvl w:ilvl="0" w:tentative="0">
      <w:start w:val="2"/>
      <w:numFmt w:val="decimal"/>
      <w:suff w:val="nothing"/>
      <w:lvlText w:val="%1．"/>
      <w:lvlJc w:val="left"/>
      <w:pPr>
        <w:ind w:left="0" w:firstLine="403"/>
      </w:pPr>
      <w:rPr>
        <w:rFonts w:hint="eastAsia" w:ascii="宋体" w:hAnsi="宋体" w:eastAsia="宋体" w:cs="宋体"/>
        <w:b w:val="0"/>
        <w:bCs w:val="0"/>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num w:numId="1">
    <w:abstractNumId w:val="49"/>
  </w:num>
  <w:num w:numId="2">
    <w:abstractNumId w:val="45"/>
  </w:num>
  <w:num w:numId="3">
    <w:abstractNumId w:val="30"/>
  </w:num>
  <w:num w:numId="4">
    <w:abstractNumId w:val="26"/>
  </w:num>
  <w:num w:numId="5">
    <w:abstractNumId w:val="34"/>
  </w:num>
  <w:num w:numId="6">
    <w:abstractNumId w:val="25"/>
  </w:num>
  <w:num w:numId="7">
    <w:abstractNumId w:val="16"/>
  </w:num>
  <w:num w:numId="8">
    <w:abstractNumId w:val="10"/>
  </w:num>
  <w:num w:numId="9">
    <w:abstractNumId w:val="13"/>
  </w:num>
  <w:num w:numId="10">
    <w:abstractNumId w:val="7"/>
  </w:num>
  <w:num w:numId="11">
    <w:abstractNumId w:val="8"/>
  </w:num>
  <w:num w:numId="12">
    <w:abstractNumId w:val="6"/>
  </w:num>
  <w:num w:numId="13">
    <w:abstractNumId w:val="31"/>
  </w:num>
  <w:num w:numId="14">
    <w:abstractNumId w:val="21"/>
  </w:num>
  <w:num w:numId="15">
    <w:abstractNumId w:val="55"/>
  </w:num>
  <w:num w:numId="16">
    <w:abstractNumId w:val="44"/>
  </w:num>
  <w:num w:numId="17">
    <w:abstractNumId w:val="28"/>
  </w:num>
  <w:num w:numId="18">
    <w:abstractNumId w:val="46"/>
  </w:num>
  <w:num w:numId="19">
    <w:abstractNumId w:val="51"/>
  </w:num>
  <w:num w:numId="20">
    <w:abstractNumId w:val="53"/>
  </w:num>
  <w:num w:numId="21">
    <w:abstractNumId w:val="39"/>
  </w:num>
  <w:num w:numId="22">
    <w:abstractNumId w:val="15"/>
  </w:num>
  <w:num w:numId="23">
    <w:abstractNumId w:val="38"/>
  </w:num>
  <w:num w:numId="24">
    <w:abstractNumId w:val="18"/>
  </w:num>
  <w:num w:numId="25">
    <w:abstractNumId w:val="5"/>
  </w:num>
  <w:num w:numId="26">
    <w:abstractNumId w:val="48"/>
  </w:num>
  <w:num w:numId="27">
    <w:abstractNumId w:val="4"/>
  </w:num>
  <w:num w:numId="28">
    <w:abstractNumId w:val="33"/>
  </w:num>
  <w:num w:numId="29">
    <w:abstractNumId w:val="37"/>
  </w:num>
  <w:num w:numId="30">
    <w:abstractNumId w:val="54"/>
  </w:num>
  <w:num w:numId="31">
    <w:abstractNumId w:val="32"/>
  </w:num>
  <w:num w:numId="32">
    <w:abstractNumId w:val="17"/>
  </w:num>
  <w:num w:numId="33">
    <w:abstractNumId w:val="41"/>
  </w:num>
  <w:num w:numId="34">
    <w:abstractNumId w:val="0"/>
  </w:num>
  <w:num w:numId="35">
    <w:abstractNumId w:val="20"/>
  </w:num>
  <w:num w:numId="36">
    <w:abstractNumId w:val="43"/>
  </w:num>
  <w:num w:numId="37">
    <w:abstractNumId w:val="2"/>
  </w:num>
  <w:num w:numId="38">
    <w:abstractNumId w:val="22"/>
  </w:num>
  <w:num w:numId="39">
    <w:abstractNumId w:val="29"/>
  </w:num>
  <w:num w:numId="40">
    <w:abstractNumId w:val="47"/>
  </w:num>
  <w:num w:numId="41">
    <w:abstractNumId w:val="35"/>
  </w:num>
  <w:num w:numId="42">
    <w:abstractNumId w:val="14"/>
  </w:num>
  <w:num w:numId="43">
    <w:abstractNumId w:val="27"/>
  </w:num>
  <w:num w:numId="44">
    <w:abstractNumId w:val="23"/>
  </w:num>
  <w:num w:numId="45">
    <w:abstractNumId w:val="24"/>
  </w:num>
  <w:num w:numId="46">
    <w:abstractNumId w:val="52"/>
  </w:num>
  <w:num w:numId="47">
    <w:abstractNumId w:val="40"/>
  </w:num>
  <w:num w:numId="48">
    <w:abstractNumId w:val="1"/>
  </w:num>
  <w:num w:numId="49">
    <w:abstractNumId w:val="50"/>
  </w:num>
  <w:num w:numId="50">
    <w:abstractNumId w:val="11"/>
  </w:num>
  <w:num w:numId="51">
    <w:abstractNumId w:val="9"/>
  </w:num>
  <w:num w:numId="52">
    <w:abstractNumId w:val="12"/>
  </w:num>
  <w:num w:numId="53">
    <w:abstractNumId w:val="36"/>
  </w:num>
  <w:num w:numId="54">
    <w:abstractNumId w:val="19"/>
  </w:num>
  <w:num w:numId="55">
    <w:abstractNumId w:val="3"/>
  </w:num>
  <w:num w:numId="56">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A214A9E"/>
    <w:rsid w:val="0CB54915"/>
    <w:rsid w:val="0CE01EEC"/>
    <w:rsid w:val="0D2F3D4F"/>
    <w:rsid w:val="0D5B65FA"/>
    <w:rsid w:val="0D7A6610"/>
    <w:rsid w:val="0E0C54BC"/>
    <w:rsid w:val="0E4F5341"/>
    <w:rsid w:val="0F6D2F4F"/>
    <w:rsid w:val="0FFB8BAD"/>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DEE92B"/>
    <w:rsid w:val="1BFB7C22"/>
    <w:rsid w:val="1C09008C"/>
    <w:rsid w:val="1D0817CE"/>
    <w:rsid w:val="1E635082"/>
    <w:rsid w:val="1F0F7AA5"/>
    <w:rsid w:val="1F962D64"/>
    <w:rsid w:val="1FED382C"/>
    <w:rsid w:val="213B4CFA"/>
    <w:rsid w:val="21527232"/>
    <w:rsid w:val="21575C30"/>
    <w:rsid w:val="21B70797"/>
    <w:rsid w:val="21F67436"/>
    <w:rsid w:val="220D70EF"/>
    <w:rsid w:val="23750EC4"/>
    <w:rsid w:val="24885625"/>
    <w:rsid w:val="24A063EA"/>
    <w:rsid w:val="24C8157C"/>
    <w:rsid w:val="255170B3"/>
    <w:rsid w:val="25BD3406"/>
    <w:rsid w:val="260415D7"/>
    <w:rsid w:val="26896537"/>
    <w:rsid w:val="27DB5649"/>
    <w:rsid w:val="284E53B8"/>
    <w:rsid w:val="28F73A05"/>
    <w:rsid w:val="2977FA01"/>
    <w:rsid w:val="29E223F6"/>
    <w:rsid w:val="2A7A79DE"/>
    <w:rsid w:val="2B5C1F0C"/>
    <w:rsid w:val="2BD054E2"/>
    <w:rsid w:val="2D3FA85E"/>
    <w:rsid w:val="2E16D822"/>
    <w:rsid w:val="2EAD6691"/>
    <w:rsid w:val="2EEC1543"/>
    <w:rsid w:val="2F0D25D9"/>
    <w:rsid w:val="3086176D"/>
    <w:rsid w:val="31124CF4"/>
    <w:rsid w:val="31A3269E"/>
    <w:rsid w:val="322D08A3"/>
    <w:rsid w:val="32626F15"/>
    <w:rsid w:val="329E36D6"/>
    <w:rsid w:val="33DF1C5D"/>
    <w:rsid w:val="34105616"/>
    <w:rsid w:val="3486580A"/>
    <w:rsid w:val="34A35A92"/>
    <w:rsid w:val="34A453A9"/>
    <w:rsid w:val="34EC3C25"/>
    <w:rsid w:val="351A5D92"/>
    <w:rsid w:val="35AA025C"/>
    <w:rsid w:val="35CA7D73"/>
    <w:rsid w:val="377307FA"/>
    <w:rsid w:val="37F449A0"/>
    <w:rsid w:val="3B1C12F3"/>
    <w:rsid w:val="3BD53B5C"/>
    <w:rsid w:val="3CC57F13"/>
    <w:rsid w:val="3D4C282D"/>
    <w:rsid w:val="3D970F4E"/>
    <w:rsid w:val="3DE106C6"/>
    <w:rsid w:val="3E540971"/>
    <w:rsid w:val="3E786275"/>
    <w:rsid w:val="3E931F0D"/>
    <w:rsid w:val="3EEF0E4F"/>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3D3AEA"/>
    <w:rsid w:val="4745701D"/>
    <w:rsid w:val="47AC6180"/>
    <w:rsid w:val="47FD5A9C"/>
    <w:rsid w:val="48BF1281"/>
    <w:rsid w:val="4B2F6DF6"/>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BFA8688"/>
    <w:rsid w:val="5C664A4B"/>
    <w:rsid w:val="5CE67D31"/>
    <w:rsid w:val="5E5F4050"/>
    <w:rsid w:val="5EB30B9F"/>
    <w:rsid w:val="5F04726A"/>
    <w:rsid w:val="5F6D37D2"/>
    <w:rsid w:val="5F9C081D"/>
    <w:rsid w:val="606677EA"/>
    <w:rsid w:val="60F34C3C"/>
    <w:rsid w:val="617668BD"/>
    <w:rsid w:val="61D01645"/>
    <w:rsid w:val="63723353"/>
    <w:rsid w:val="64164D78"/>
    <w:rsid w:val="64993141"/>
    <w:rsid w:val="659F27EB"/>
    <w:rsid w:val="659F600E"/>
    <w:rsid w:val="65ED28A3"/>
    <w:rsid w:val="67CE6661"/>
    <w:rsid w:val="680A5A06"/>
    <w:rsid w:val="68B9403E"/>
    <w:rsid w:val="68D511B9"/>
    <w:rsid w:val="68FA6041"/>
    <w:rsid w:val="69827CEE"/>
    <w:rsid w:val="699E5049"/>
    <w:rsid w:val="6BDE71F2"/>
    <w:rsid w:val="6C9577EB"/>
    <w:rsid w:val="6CBA3A99"/>
    <w:rsid w:val="6D3A1203"/>
    <w:rsid w:val="6D7F6733"/>
    <w:rsid w:val="6E9C369D"/>
    <w:rsid w:val="6EF41B11"/>
    <w:rsid w:val="6FAB028B"/>
    <w:rsid w:val="6FB17196"/>
    <w:rsid w:val="702573F3"/>
    <w:rsid w:val="706E8E93"/>
    <w:rsid w:val="70B57531"/>
    <w:rsid w:val="70FA499F"/>
    <w:rsid w:val="730C182D"/>
    <w:rsid w:val="73FC9A3F"/>
    <w:rsid w:val="751974A1"/>
    <w:rsid w:val="758B30E4"/>
    <w:rsid w:val="75F42331"/>
    <w:rsid w:val="761F7C3C"/>
    <w:rsid w:val="76683D2A"/>
    <w:rsid w:val="76C62D9E"/>
    <w:rsid w:val="779F8057"/>
    <w:rsid w:val="77BF7507"/>
    <w:rsid w:val="78244617"/>
    <w:rsid w:val="7A0BDE84"/>
    <w:rsid w:val="7A923507"/>
    <w:rsid w:val="7ACB640D"/>
    <w:rsid w:val="7BFF1A29"/>
    <w:rsid w:val="7C044D89"/>
    <w:rsid w:val="7C63442B"/>
    <w:rsid w:val="7C704D3F"/>
    <w:rsid w:val="7C7C3745"/>
    <w:rsid w:val="7D3AA22F"/>
    <w:rsid w:val="7D56646C"/>
    <w:rsid w:val="7D9B44EF"/>
    <w:rsid w:val="7DBB84CA"/>
    <w:rsid w:val="7DE35ECA"/>
    <w:rsid w:val="7DEFCC9B"/>
    <w:rsid w:val="7E1A0C5A"/>
    <w:rsid w:val="7E3212D3"/>
    <w:rsid w:val="7E3B83F0"/>
    <w:rsid w:val="7EEF5777"/>
    <w:rsid w:val="7F365A97"/>
    <w:rsid w:val="7F5F887D"/>
    <w:rsid w:val="7FA95972"/>
    <w:rsid w:val="7FAF35E2"/>
    <w:rsid w:val="7FAF3BBC"/>
    <w:rsid w:val="7FCC7D05"/>
    <w:rsid w:val="7FEF42B8"/>
    <w:rsid w:val="7FFF0B3B"/>
    <w:rsid w:val="8FDF62B9"/>
    <w:rsid w:val="96BDDFD1"/>
    <w:rsid w:val="9FD01BC3"/>
    <w:rsid w:val="AF77296E"/>
    <w:rsid w:val="AFDF70B9"/>
    <w:rsid w:val="B3FE25BF"/>
    <w:rsid w:val="B7BFE81B"/>
    <w:rsid w:val="BDF8743E"/>
    <w:rsid w:val="BE6E0F8F"/>
    <w:rsid w:val="BED5C19F"/>
    <w:rsid w:val="BFD7DA14"/>
    <w:rsid w:val="C38B20D8"/>
    <w:rsid w:val="C679D4D5"/>
    <w:rsid w:val="CA7F3105"/>
    <w:rsid w:val="D3FFF2E3"/>
    <w:rsid w:val="D4B948F0"/>
    <w:rsid w:val="D4F43AA8"/>
    <w:rsid w:val="D7BE90C3"/>
    <w:rsid w:val="D8BF47B9"/>
    <w:rsid w:val="DB7AB19E"/>
    <w:rsid w:val="DDFE51CF"/>
    <w:rsid w:val="DF7FBDD5"/>
    <w:rsid w:val="DFBFEE2A"/>
    <w:rsid w:val="E36AC743"/>
    <w:rsid w:val="E97E32AA"/>
    <w:rsid w:val="EADF5A3D"/>
    <w:rsid w:val="EFFAC79B"/>
    <w:rsid w:val="EFFE02DC"/>
    <w:rsid w:val="F3AFB096"/>
    <w:rsid w:val="F3C7F184"/>
    <w:rsid w:val="F3F331A4"/>
    <w:rsid w:val="F3FE7E0E"/>
    <w:rsid w:val="F3FF81F7"/>
    <w:rsid w:val="F7FE62B6"/>
    <w:rsid w:val="FA543BA3"/>
    <w:rsid w:val="FB3B5DB3"/>
    <w:rsid w:val="FD7F9463"/>
    <w:rsid w:val="FDFC361F"/>
    <w:rsid w:val="FDFD5128"/>
    <w:rsid w:val="FE8FD80F"/>
    <w:rsid w:val="FEAED78B"/>
    <w:rsid w:val="FF4BD653"/>
    <w:rsid w:val="FF6C6882"/>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qFormat/>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批注文字 字符"/>
    <w:link w:val="5"/>
    <w:qFormat/>
    <w:uiPriority w:val="0"/>
    <w:rPr>
      <w:rFonts w:ascii="Calibri" w:hAnsi="Calibri" w:cs="黑体"/>
      <w:kern w:val="2"/>
      <w:sz w:val="21"/>
      <w:szCs w:val="24"/>
    </w:rPr>
  </w:style>
  <w:style w:type="character" w:customStyle="1" w:styleId="17">
    <w:name w:val="批注框文本 字符"/>
    <w:link w:val="6"/>
    <w:qFormat/>
    <w:uiPriority w:val="0"/>
    <w:rPr>
      <w:rFonts w:ascii="Calibri" w:hAnsi="Calibri" w:cs="黑体"/>
      <w:kern w:val="2"/>
      <w:sz w:val="18"/>
      <w:szCs w:val="18"/>
    </w:rPr>
  </w:style>
  <w:style w:type="character" w:customStyle="1" w:styleId="18">
    <w:name w:val="批注主题 字符"/>
    <w:link w:val="10"/>
    <w:qFormat/>
    <w:uiPriority w:val="0"/>
    <w:rPr>
      <w:rFonts w:ascii="Calibri" w:hAnsi="Calibri" w:cs="黑体"/>
      <w:b/>
      <w:bCs/>
      <w:kern w:val="2"/>
      <w:sz w:val="21"/>
      <w:szCs w:val="24"/>
    </w:rPr>
  </w:style>
  <w:style w:type="paragraph" w:customStyle="1" w:styleId="19">
    <w:name w:val="List Paragraph"/>
    <w:basedOn w:val="1"/>
    <w:unhideWhenUsed/>
    <w:qFormat/>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61</Pages>
  <Words>39073</Words>
  <Characters>41780</Characters>
  <Lines>1</Lines>
  <Paragraphs>1</Paragraphs>
  <TotalTime>0</TotalTime>
  <ScaleCrop>false</ScaleCrop>
  <LinksUpToDate>false</LinksUpToDate>
  <CharactersWithSpaces>42165</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2014-11-07T12:08:00Z</dcterms:created>
  <dc:creator>Administrator</dc:creator>
  <cp:lastModifiedBy>hccb</cp:lastModifiedBy>
  <dcterms:modified xsi:type="dcterms:W3CDTF">2026-04-01T08:41:28Z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1F19AF32DD05F1CAAED5CC69F26485F1_43</vt:lpwstr>
  </property>
</Properties>
</file>