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jc w:val="center"/>
        <w:outlineLvl w:val="0"/>
        <w:rPr>
          <w:rFonts w:hint="eastAsia" w:ascii="宋体" w:hAnsi="宋体" w:cs="宋体"/>
          <w:b/>
          <w:bCs/>
          <w:sz w:val="44"/>
          <w:szCs w:val="44"/>
          <w:highlight w:val="none"/>
        </w:rPr>
      </w:pPr>
      <w:r>
        <w:rPr>
          <w:rFonts w:hint="eastAsia" w:ascii="宋体" w:hAnsi="宋体" w:eastAsia="宋体" w:cs="宋体"/>
          <w:b/>
          <w:bCs/>
          <w:kern w:val="2"/>
          <w:sz w:val="44"/>
          <w:szCs w:val="44"/>
          <w:highlight w:val="none"/>
          <w:lang w:val="en-US" w:eastAsia="zh-CN" w:bidi="ar-SA"/>
        </w:rPr>
        <w:t>杭银理财幸福99半年添益2004期理财</w:t>
      </w:r>
      <w:r>
        <w:rPr>
          <w:rFonts w:hint="eastAsia" w:ascii="宋体" w:hAnsi="宋体" w:cs="宋体"/>
          <w:b/>
          <w:bCs/>
          <w:sz w:val="44"/>
          <w:szCs w:val="44"/>
          <w:highlight w:val="none"/>
        </w:rPr>
        <w:t>产品说明书</w:t>
      </w:r>
    </w:p>
    <w:p>
      <w:pPr>
        <w:jc w:val="center"/>
        <w:outlineLvl w:val="1"/>
        <w:rPr>
          <w:rFonts w:hint="eastAsia" w:ascii="宋体" w:hAnsi="宋体" w:cs="宋体"/>
          <w:b/>
          <w:bCs/>
          <w:sz w:val="44"/>
          <w:szCs w:val="44"/>
          <w:highlight w:val="none"/>
        </w:rPr>
      </w:pPr>
      <w:r>
        <w:rPr>
          <w:rFonts w:hint="eastAsia" w:ascii="宋体" w:hAnsi="宋体" w:cs="宋体"/>
          <w:sz w:val="28"/>
          <w:szCs w:val="28"/>
          <w:highlight w:val="none"/>
        </w:rPr>
        <w:t>（</w:t>
      </w:r>
      <w:r>
        <w:rPr>
          <w:rFonts w:hint="eastAsia" w:ascii="宋体" w:hAnsi="宋体" w:cs="宋体"/>
          <w:sz w:val="28"/>
          <w:szCs w:val="28"/>
          <w:highlight w:val="none"/>
          <w:lang w:eastAsia="zh-CN"/>
        </w:rPr>
        <w:t>202502</w:t>
      </w:r>
      <w:r>
        <w:rPr>
          <w:rFonts w:hint="eastAsia" w:ascii="宋体" w:hAnsi="宋体" w:cs="宋体"/>
          <w:sz w:val="28"/>
          <w:szCs w:val="28"/>
          <w:highlight w:val="none"/>
        </w:rPr>
        <w:t>版）</w:t>
      </w:r>
    </w:p>
    <w:p>
      <w:pPr>
        <w:spacing w:line="360" w:lineRule="auto"/>
        <w:jc w:val="right"/>
        <w:rPr>
          <w:rFonts w:hint="eastAsia" w:ascii="宋体" w:hAnsi="宋体" w:cs="宋体"/>
          <w:bCs/>
          <w:sz w:val="24"/>
          <w:highlight w:val="none"/>
        </w:rPr>
      </w:pPr>
      <w:r>
        <w:rPr>
          <w:rFonts w:hint="eastAsia" w:ascii="宋体" w:hAnsi="宋体" w:cs="宋体"/>
          <w:color w:val="000000"/>
          <w:sz w:val="24"/>
          <w:highlight w:val="none"/>
        </w:rPr>
        <w:t>备案编号:</w:t>
      </w:r>
      <w:r>
        <w:rPr>
          <w:rFonts w:hint="eastAsia" w:ascii="宋体" w:hAnsi="宋体" w:cs="宋体"/>
          <w:bCs/>
          <w:sz w:val="24"/>
          <w:highlight w:val="none"/>
        </w:rPr>
        <w:t>〖</w:t>
      </w:r>
      <w:r>
        <w:rPr>
          <w:rFonts w:hint="eastAsia" w:ascii="宋体" w:hAnsi="宋体" w:eastAsia="宋体" w:cs="宋体"/>
          <w:bCs/>
          <w:kern w:val="2"/>
          <w:sz w:val="24"/>
          <w:szCs w:val="24"/>
          <w:highlight w:val="none"/>
          <w:lang w:val="en-US" w:eastAsia="zh-CN" w:bidi="ar-SA"/>
        </w:rPr>
        <w:t>Z7002221000091</w:t>
      </w:r>
      <w:r>
        <w:rPr>
          <w:rFonts w:hint="eastAsia" w:ascii="宋体" w:hAnsi="宋体" w:cs="宋体"/>
          <w:bCs/>
          <w:sz w:val="24"/>
          <w:highlight w:val="none"/>
        </w:rPr>
        <w:t>〗</w:t>
      </w:r>
    </w:p>
    <w:p>
      <w:pPr>
        <w:spacing w:line="360" w:lineRule="auto"/>
        <w:jc w:val="center"/>
        <w:rPr>
          <w:rFonts w:hint="eastAsia" w:ascii="宋体" w:hAnsi="宋体" w:cs="宋体"/>
          <w:bCs/>
          <w:sz w:val="24"/>
          <w:highlight w:val="none"/>
        </w:rPr>
      </w:pPr>
    </w:p>
    <w:p>
      <w:pPr>
        <w:numPr>
          <w:ilvl w:val="0"/>
          <w:numId w:val="1"/>
        </w:numPr>
        <w:spacing w:line="360" w:lineRule="auto"/>
        <w:ind w:firstLine="482" w:firstLineChars="200"/>
        <w:jc w:val="left"/>
        <w:outlineLvl w:val="1"/>
        <w:rPr>
          <w:rFonts w:ascii="宋体" w:hAnsi="宋体" w:cs="宋体"/>
          <w:b/>
          <w:sz w:val="24"/>
          <w:highlight w:val="none"/>
        </w:rPr>
      </w:pPr>
      <w:r>
        <w:rPr>
          <w:rFonts w:hint="eastAsia" w:ascii="宋体" w:hAnsi="宋体" w:cs="宋体"/>
          <w:b/>
          <w:sz w:val="24"/>
          <w:highlight w:val="none"/>
        </w:rPr>
        <w:t>重要须知</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本理财计划不等同于银行存款、预期收益型理财产品或其他产品。</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本理财计划仅向依据中华人民共和国有关法律法规及本理财计划产品说明书规定可以购买本理财计划的投资者发售。</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在购买本理财计划前，请投资者确保完全明白本理财计划的性质、其中涉及的风险以及投资者的自身情况。投资者若对本理财计划产品说明书的内容有任何疑问，请向销售机构咨询。</w:t>
      </w:r>
    </w:p>
    <w:p>
      <w:pPr>
        <w:numPr>
          <w:ilvl w:val="0"/>
          <w:numId w:val="2"/>
        </w:numPr>
        <w:spacing w:line="360" w:lineRule="auto"/>
        <w:ind w:firstLine="482" w:firstLineChars="200"/>
        <w:jc w:val="left"/>
        <w:outlineLvl w:val="9"/>
        <w:rPr>
          <w:rFonts w:hint="eastAsia" w:ascii="宋体" w:hAnsi="宋体" w:cs="宋体"/>
          <w:bCs/>
          <w:sz w:val="24"/>
          <w:highlight w:val="none"/>
        </w:rPr>
      </w:pPr>
      <w:r>
        <w:rPr>
          <w:rFonts w:hint="eastAsia" w:ascii="宋体" w:hAnsi="宋体" w:cs="宋体"/>
          <w:b/>
          <w:sz w:val="24"/>
          <w:highlight w:val="none"/>
        </w:rPr>
        <w:t>本理财计划是非保本净值型产品。管理人对本理财计划的本金和收益不提供保证承诺。</w:t>
      </w:r>
      <w:r>
        <w:rPr>
          <w:rFonts w:hint="eastAsia" w:ascii="宋体" w:hAnsi="宋体" w:cs="宋体"/>
          <w:bCs/>
          <w:sz w:val="24"/>
          <w:highlight w:val="none"/>
        </w:rPr>
        <w:t>本理财计划主要风险为理财本金及收益风险，在极端市场情况下，投资者将损失本金，请投资者基于自身的独立判断进行投资决策。</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投资者签署理财合同购买本理财计划前，应当仔细阅读本说明书及其他相关销售文件的全部内容，同时向管理人或销售机构了解本理财计划的具体信息，确保自身完全了解该项投资的性质、投资所涉及的风险以及自身的风险承受能力，在慎重考虑后独立做出认购决定。本说明书及投资者签署的《</w:t>
      </w:r>
      <w:r>
        <w:rPr>
          <w:rFonts w:hint="eastAsia" w:ascii="宋体" w:hAnsi="宋体" w:cs="宋体"/>
          <w:bCs/>
          <w:sz w:val="24"/>
          <w:highlight w:val="none"/>
          <w:lang w:eastAsia="zh-CN"/>
        </w:rPr>
        <w:t>理财计划</w:t>
      </w:r>
      <w:r>
        <w:rPr>
          <w:rFonts w:hint="eastAsia" w:ascii="宋体" w:hAnsi="宋体" w:cs="宋体"/>
          <w:bCs/>
          <w:sz w:val="24"/>
          <w:highlight w:val="none"/>
        </w:rPr>
        <w:t>风险揭示书》《投资者权益须知》《理财计划投资协议书》</w:t>
      </w:r>
      <w:r>
        <w:rPr>
          <w:rFonts w:hint="eastAsia" w:ascii="宋体" w:hAnsi="宋体" w:cs="宋体"/>
          <w:bCs/>
          <w:sz w:val="24"/>
          <w:highlight w:val="none"/>
          <w:lang w:eastAsia="zh-CN"/>
        </w:rPr>
        <w:t>《理财计划销售协议书》</w:t>
      </w:r>
      <w:r>
        <w:rPr>
          <w:rFonts w:hint="eastAsia" w:ascii="宋体" w:hAnsi="宋体" w:cs="宋体"/>
          <w:bCs/>
          <w:sz w:val="24"/>
          <w:highlight w:val="none"/>
        </w:rPr>
        <w:t>，将共同构成投资者与管理人之间的理财计划</w:t>
      </w:r>
      <w:r>
        <w:rPr>
          <w:rFonts w:hint="eastAsia" w:ascii="宋体" w:hAnsi="宋体" w:cs="宋体"/>
          <w:bCs/>
          <w:sz w:val="24"/>
          <w:highlight w:val="none"/>
          <w:lang w:val="en-US" w:eastAsia="zh-CN"/>
        </w:rPr>
        <w:t>销售文件</w:t>
      </w:r>
      <w:r>
        <w:rPr>
          <w:rFonts w:hint="eastAsia" w:ascii="宋体" w:hAnsi="宋体" w:cs="宋体"/>
          <w:bCs/>
          <w:sz w:val="24"/>
          <w:highlight w:val="none"/>
        </w:rPr>
        <w:t>。</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投资者在购买本理财计划后，应随时关注本理财计划的信息披露情况，及时获取相关信息。如对本理财计划有任何疑问、异议或意见，请联系管理人或销售机构。</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投资者承诺其用于购买理财计划的资金来源合法合规，不存在使用贷款、发行债券等筹集的非自有资金投资本理财计划的情形，不存在依据联合国、中国政府或其他可适用政府或国际组织制裁范围。</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投资者承诺其用于购买理财计划的资金为投资者合法持有，不存在他人持有或投资理财的情形；仅为合法目的持有本理财计划，如发生异常情况，投资者应配合管理人或销售机构开展客户身份识别及尽职调查等反洗钱活动，真实、准确提供相关身份与资金来源信息。</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本理财计划的任何业绩比较基准等类似表述均不具有法律约束性，不代表投资者可能获得的实际收益，不构成管理人对于本理财计划的任何收益承诺。</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管理人及销售机构将依据相关法律、法规严格履行投资者信息保密责任，除监管机构或司法机关等有权机构外，不得对其他第三方商业机构提供任何投资者信息。</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在本理财计划存续期内，如因监管政策或法律法规发生变化，在不损害投资者利益的前提下，管理人有权对</w:t>
      </w:r>
      <w:r>
        <w:rPr>
          <w:rFonts w:hint="eastAsia" w:ascii="宋体" w:hAnsi="宋体" w:cs="宋体"/>
          <w:bCs/>
          <w:sz w:val="24"/>
          <w:highlight w:val="none"/>
          <w:lang w:val="en-US" w:eastAsia="zh-CN"/>
        </w:rPr>
        <w:t>因上述变化导致的</w:t>
      </w:r>
      <w:r>
        <w:rPr>
          <w:rFonts w:hint="eastAsia" w:ascii="宋体" w:hAnsi="宋体" w:cs="宋体"/>
          <w:bCs/>
          <w:sz w:val="24"/>
          <w:highlight w:val="none"/>
        </w:rPr>
        <w:t>本理财计划说明书条款</w:t>
      </w:r>
      <w:r>
        <w:rPr>
          <w:rFonts w:hint="eastAsia" w:ascii="宋体" w:hAnsi="宋体" w:cs="宋体"/>
          <w:bCs/>
          <w:sz w:val="24"/>
          <w:highlight w:val="none"/>
          <w:lang w:val="en-US" w:eastAsia="zh-CN"/>
        </w:rPr>
        <w:t>变化</w:t>
      </w:r>
      <w:r>
        <w:rPr>
          <w:rFonts w:hint="eastAsia" w:ascii="宋体" w:hAnsi="宋体" w:cs="宋体"/>
          <w:bCs/>
          <w:sz w:val="24"/>
          <w:highlight w:val="none"/>
        </w:rPr>
        <w:t>进行修订。</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管理人承诺以诚实守信、勤勉尽职的原则，根据本理财计划说明书所载要求管理和运用理财计划资产。</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管理人有权依法对本理财计划产品说明书进行解释。</w:t>
      </w:r>
    </w:p>
    <w:p>
      <w:pPr>
        <w:numPr>
          <w:ilvl w:val="0"/>
          <w:numId w:val="0"/>
        </w:numPr>
        <w:spacing w:line="360" w:lineRule="auto"/>
        <w:jc w:val="left"/>
        <w:rPr>
          <w:rFonts w:hint="eastAsia" w:ascii="宋体" w:hAnsi="宋体" w:cs="宋体"/>
          <w:bCs/>
          <w:sz w:val="24"/>
          <w:highlight w:val="none"/>
        </w:rPr>
      </w:pPr>
    </w:p>
    <w:p>
      <w:pPr>
        <w:numPr>
          <w:ilvl w:val="0"/>
          <w:numId w:val="3"/>
        </w:numPr>
        <w:spacing w:line="360" w:lineRule="auto"/>
        <w:ind w:firstLine="482" w:firstLineChars="200"/>
        <w:jc w:val="left"/>
        <w:outlineLvl w:val="1"/>
        <w:rPr>
          <w:rFonts w:ascii="宋体" w:hAnsi="宋体" w:cs="宋体"/>
          <w:b/>
          <w:sz w:val="24"/>
          <w:highlight w:val="none"/>
        </w:rPr>
      </w:pPr>
      <w:r>
        <w:rPr>
          <w:rFonts w:hint="eastAsia" w:ascii="宋体" w:hAnsi="宋体" w:cs="宋体"/>
          <w:b/>
          <w:sz w:val="24"/>
          <w:highlight w:val="none"/>
        </w:rPr>
        <w:t>释义</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本说明书中，除非另有明确说明，否则下列词语或简称具有如下含义：</w:t>
      </w:r>
    </w:p>
    <w:p>
      <w:pPr>
        <w:pStyle w:val="20"/>
        <w:numPr>
          <w:ilvl w:val="0"/>
          <w:numId w:val="4"/>
        </w:numPr>
        <w:adjustRightInd/>
        <w:spacing w:line="360" w:lineRule="auto"/>
        <w:ind w:firstLine="482" w:firstLineChars="200"/>
        <w:outlineLvl w:val="2"/>
        <w:rPr>
          <w:rFonts w:hint="eastAsia" w:ascii="宋体" w:hAnsi="宋体" w:cs="宋体"/>
          <w:b/>
          <w:color w:val="auto"/>
          <w:kern w:val="2"/>
          <w:highlight w:val="none"/>
        </w:rPr>
      </w:pPr>
      <w:r>
        <w:rPr>
          <w:rFonts w:hint="eastAsia" w:ascii="宋体" w:hAnsi="宋体" w:cs="宋体"/>
          <w:b/>
          <w:color w:val="auto"/>
          <w:kern w:val="2"/>
          <w:highlight w:val="none"/>
        </w:rPr>
        <w:t>参与主体用语</w:t>
      </w:r>
    </w:p>
    <w:p>
      <w:pPr>
        <w:pStyle w:val="20"/>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理财计划管理人/产品管理人/管理人/本公司：</w:t>
      </w:r>
      <w:r>
        <w:rPr>
          <w:rFonts w:hint="eastAsia" w:ascii="宋体" w:hAnsi="宋体" w:cs="宋体"/>
          <w:bCs/>
          <w:color w:val="auto"/>
          <w:kern w:val="2"/>
          <w:highlight w:val="none"/>
        </w:rPr>
        <w:t>指杭银理财有限责任公司，主要从事面向不特定社会公众公开发行理财产品、面向合格投资者非公开发行理财产品、理财顾问和咨询服务等相关业务。</w:t>
      </w:r>
      <w:r>
        <w:rPr>
          <w:rFonts w:hint="eastAsia" w:ascii="宋体" w:hAnsi="宋体" w:cs="宋体"/>
          <w:bCs/>
          <w:color w:val="auto"/>
          <w:kern w:val="2"/>
          <w:highlight w:val="none"/>
          <w:lang w:eastAsia="zh-CN"/>
        </w:rPr>
        <w:t>杭银理财有限责任公司简称杭银理财，官网网站为</w:t>
      </w:r>
      <w:r>
        <w:rPr>
          <w:rFonts w:hint="eastAsia" w:ascii="宋体" w:hAnsi="宋体" w:cs="宋体"/>
          <w:bCs/>
          <w:color w:val="auto"/>
          <w:kern w:val="2"/>
          <w:highlight w:val="none"/>
          <w:u w:val="none"/>
          <w:lang w:val="en-US" w:eastAsia="zh-CN"/>
        </w:rPr>
        <w:t>https://</w:t>
      </w:r>
      <w:r>
        <w:rPr>
          <w:rFonts w:hint="eastAsia" w:ascii="宋体" w:hAnsi="宋体" w:cs="宋体"/>
          <w:bCs/>
          <w:color w:val="auto"/>
          <w:kern w:val="2"/>
          <w:highlight w:val="none"/>
          <w:u w:val="none"/>
        </w:rPr>
        <w:fldChar w:fldCharType="begin"/>
      </w:r>
      <w:r>
        <w:rPr>
          <w:rFonts w:hint="eastAsia" w:ascii="宋体" w:hAnsi="宋体" w:cs="宋体"/>
          <w:bCs/>
          <w:color w:val="auto"/>
          <w:kern w:val="2"/>
          <w:highlight w:val="none"/>
          <w:u w:val="none"/>
        </w:rPr>
        <w:instrText xml:space="preserve"> HYPERLINK "http://www.hzbank.com.cn" </w:instrText>
      </w:r>
      <w:r>
        <w:rPr>
          <w:rFonts w:hint="eastAsia" w:ascii="宋体" w:hAnsi="宋体" w:cs="宋体"/>
          <w:bCs/>
          <w:color w:val="auto"/>
          <w:kern w:val="2"/>
          <w:highlight w:val="none"/>
          <w:u w:val="none"/>
        </w:rPr>
        <w:fldChar w:fldCharType="separate"/>
      </w:r>
      <w:r>
        <w:rPr>
          <w:rFonts w:hint="eastAsia" w:ascii="宋体" w:hAnsi="宋体" w:cs="宋体"/>
          <w:bCs/>
          <w:color w:val="auto"/>
          <w:kern w:val="2"/>
          <w:highlight w:val="none"/>
          <w:u w:val="none"/>
        </w:rPr>
        <w:t>www.hzbank</w:t>
      </w:r>
      <w:r>
        <w:rPr>
          <w:rFonts w:hint="eastAsia" w:ascii="宋体" w:hAnsi="宋体" w:cs="宋体"/>
          <w:bCs/>
          <w:color w:val="auto"/>
          <w:kern w:val="2"/>
          <w:highlight w:val="none"/>
          <w:u w:val="none"/>
          <w:lang w:val="en-US" w:eastAsia="zh-CN"/>
        </w:rPr>
        <w:t>wealth</w:t>
      </w:r>
      <w:r>
        <w:rPr>
          <w:rFonts w:hint="eastAsia" w:ascii="宋体" w:hAnsi="宋体" w:cs="宋体"/>
          <w:bCs/>
          <w:color w:val="auto"/>
          <w:kern w:val="2"/>
          <w:highlight w:val="none"/>
          <w:u w:val="none"/>
        </w:rPr>
        <w:t>.com.cn</w:t>
      </w:r>
      <w:r>
        <w:rPr>
          <w:rFonts w:hint="eastAsia" w:ascii="宋体" w:hAnsi="宋体" w:cs="宋体"/>
          <w:bCs/>
          <w:color w:val="auto"/>
          <w:kern w:val="2"/>
          <w:highlight w:val="none"/>
          <w:u w:val="none"/>
        </w:rPr>
        <w:fldChar w:fldCharType="end"/>
      </w:r>
      <w:r>
        <w:rPr>
          <w:rFonts w:hint="eastAsia" w:ascii="宋体" w:hAnsi="宋体" w:cs="宋体"/>
          <w:bCs/>
          <w:color w:val="auto"/>
          <w:kern w:val="2"/>
          <w:highlight w:val="none"/>
          <w:u w:val="none"/>
          <w:lang w:eastAsia="zh-CN"/>
        </w:rPr>
        <w:t>，</w:t>
      </w:r>
      <w:r>
        <w:rPr>
          <w:rFonts w:hint="eastAsia" w:ascii="宋体" w:hAnsi="宋体" w:cs="宋体"/>
          <w:bCs/>
          <w:color w:val="auto"/>
          <w:kern w:val="2"/>
          <w:highlight w:val="none"/>
          <w:u w:val="none"/>
          <w:lang w:val="en-US" w:eastAsia="zh-CN"/>
        </w:rPr>
        <w:t>客服电话400-8950-999</w:t>
      </w:r>
      <w:r>
        <w:rPr>
          <w:rFonts w:hint="eastAsia" w:ascii="宋体" w:hAnsi="宋体" w:cs="宋体"/>
          <w:bCs/>
          <w:color w:val="auto"/>
          <w:kern w:val="2"/>
          <w:highlight w:val="none"/>
          <w:u w:val="none"/>
        </w:rPr>
        <w:t>。</w:t>
      </w:r>
    </w:p>
    <w:p>
      <w:pPr>
        <w:pStyle w:val="20"/>
        <w:numPr>
          <w:ilvl w:val="0"/>
          <w:numId w:val="5"/>
        </w:numPr>
        <w:adjustRightInd/>
        <w:spacing w:line="360" w:lineRule="auto"/>
        <w:ind w:firstLine="482" w:firstLineChars="200"/>
        <w:rPr>
          <w:rFonts w:hint="eastAsia" w:ascii="宋体" w:hAnsi="宋体" w:cs="宋体"/>
          <w:b/>
          <w:color w:val="000000"/>
          <w:kern w:val="2"/>
          <w:highlight w:val="none"/>
        </w:rPr>
      </w:pPr>
      <w:r>
        <w:rPr>
          <w:rFonts w:hint="eastAsia" w:ascii="宋体" w:hAnsi="宋体" w:cs="宋体"/>
          <w:b/>
          <w:color w:val="000000"/>
          <w:kern w:val="2"/>
          <w:highlight w:val="none"/>
        </w:rPr>
        <w:t>销售机构：</w:t>
      </w:r>
      <w:r>
        <w:rPr>
          <w:rFonts w:hint="eastAsia" w:ascii="宋体" w:hAnsi="宋体" w:cs="宋体"/>
          <w:bCs/>
          <w:color w:val="000000"/>
          <w:kern w:val="2"/>
          <w:highlight w:val="none"/>
        </w:rPr>
        <w:t>指包含但不限于指杭州银行股份有限公司等其他银行业金融机构或者国务院银行业监督管理机构认可的其他机构，可代为办理理财产品销售业务。杭州银行股份有限公司简称杭州银行，官方网站为</w:t>
      </w:r>
      <w:r>
        <w:rPr>
          <w:rFonts w:hint="eastAsia" w:ascii="宋体" w:hAnsi="宋体" w:cs="宋体"/>
          <w:bCs/>
          <w:color w:val="000000"/>
          <w:kern w:val="2"/>
          <w:highlight w:val="none"/>
          <w:u w:val="none"/>
        </w:rPr>
        <w:fldChar w:fldCharType="begin"/>
      </w:r>
      <w:r>
        <w:rPr>
          <w:rFonts w:hint="eastAsia" w:ascii="宋体" w:hAnsi="宋体" w:cs="宋体"/>
          <w:bCs/>
          <w:color w:val="000000"/>
          <w:kern w:val="2"/>
          <w:highlight w:val="none"/>
          <w:u w:val="none"/>
        </w:rPr>
        <w:instrText xml:space="preserve"> HYPERLINK "http://www.hzbank.com.cn" </w:instrText>
      </w:r>
      <w:r>
        <w:rPr>
          <w:rFonts w:hint="eastAsia" w:ascii="宋体" w:hAnsi="宋体" w:cs="宋体"/>
          <w:bCs/>
          <w:color w:val="000000"/>
          <w:kern w:val="2"/>
          <w:highlight w:val="none"/>
          <w:u w:val="none"/>
        </w:rPr>
        <w:fldChar w:fldCharType="separate"/>
      </w:r>
      <w:r>
        <w:rPr>
          <w:rFonts w:hint="eastAsia" w:ascii="宋体" w:hAnsi="宋体" w:cs="宋体"/>
          <w:bCs/>
          <w:color w:val="000000"/>
          <w:kern w:val="2"/>
          <w:highlight w:val="none"/>
          <w:u w:val="none"/>
        </w:rPr>
        <w:t>www.hzbank.com.cn</w:t>
      </w:r>
      <w:r>
        <w:rPr>
          <w:rFonts w:hint="eastAsia" w:ascii="宋体" w:hAnsi="宋体" w:cs="宋体"/>
          <w:bCs/>
          <w:color w:val="000000"/>
          <w:kern w:val="2"/>
          <w:highlight w:val="none"/>
          <w:u w:val="none"/>
        </w:rPr>
        <w:fldChar w:fldCharType="end"/>
      </w:r>
      <w:r>
        <w:rPr>
          <w:rFonts w:hint="eastAsia" w:ascii="宋体" w:hAnsi="宋体" w:cs="宋体"/>
          <w:bCs/>
          <w:color w:val="000000"/>
          <w:kern w:val="2"/>
          <w:highlight w:val="none"/>
        </w:rPr>
        <w:t>，客服热线为95398。</w:t>
      </w:r>
    </w:p>
    <w:p>
      <w:pPr>
        <w:pStyle w:val="20"/>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理财计划托管人/产品托管人/托管人：</w:t>
      </w:r>
      <w:r>
        <w:rPr>
          <w:rFonts w:hint="eastAsia" w:ascii="宋体" w:hAnsi="宋体" w:cs="宋体"/>
          <w:bCs/>
          <w:color w:val="auto"/>
          <w:kern w:val="2"/>
          <w:highlight w:val="none"/>
        </w:rPr>
        <w:t>指</w:t>
      </w:r>
      <w:r>
        <w:rPr>
          <w:rFonts w:hint="eastAsia" w:ascii="宋体" w:hAnsi="宋体" w:cs="宋体"/>
          <w:sz w:val="24"/>
          <w:szCs w:val="24"/>
          <w:highlight w:val="none"/>
        </w:rPr>
        <w:t>〖</w:t>
      </w:r>
      <w:r>
        <w:rPr>
          <w:rFonts w:hint="eastAsia" w:ascii="宋体" w:hAnsi="宋体" w:eastAsia="宋体" w:cs="宋体"/>
          <w:color w:val="000000"/>
          <w:sz w:val="24"/>
          <w:szCs w:val="24"/>
          <w:highlight w:val="none"/>
          <w:lang w:val="en-US" w:eastAsia="zh-CN" w:bidi="ar-SA"/>
        </w:rPr>
        <w:t>杭州银行股份有限公司</w:t>
      </w:r>
      <w:r>
        <w:rPr>
          <w:rFonts w:hint="eastAsia" w:ascii="宋体" w:hAnsi="宋体" w:cs="宋体"/>
          <w:sz w:val="24"/>
          <w:szCs w:val="24"/>
          <w:highlight w:val="none"/>
        </w:rPr>
        <w:t>〗</w:t>
      </w:r>
      <w:r>
        <w:rPr>
          <w:rFonts w:hint="eastAsia" w:ascii="宋体" w:hAnsi="宋体" w:cs="宋体"/>
          <w:bCs/>
          <w:color w:val="auto"/>
          <w:kern w:val="2"/>
          <w:highlight w:val="none"/>
        </w:rPr>
        <w:t>。</w:t>
      </w:r>
    </w:p>
    <w:p>
      <w:pPr>
        <w:pStyle w:val="20"/>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认购人：</w:t>
      </w:r>
      <w:r>
        <w:rPr>
          <w:rFonts w:hint="eastAsia" w:ascii="宋体" w:hAnsi="宋体" w:cs="宋体"/>
          <w:bCs/>
          <w:color w:val="auto"/>
          <w:kern w:val="2"/>
          <w:highlight w:val="none"/>
        </w:rPr>
        <w:t>指在理财计划认购期间签署理财计划合同并向理财计划管理人交付认购资金的个人、机构投资者。</w:t>
      </w:r>
    </w:p>
    <w:p>
      <w:pPr>
        <w:pStyle w:val="20"/>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理财计划份额持有人/持有人：</w:t>
      </w:r>
      <w:r>
        <w:rPr>
          <w:rFonts w:hint="eastAsia" w:ascii="宋体" w:hAnsi="宋体" w:cs="宋体"/>
          <w:bCs/>
          <w:color w:val="auto"/>
          <w:kern w:val="2"/>
          <w:highlight w:val="none"/>
        </w:rPr>
        <w:t>指认购/申购申请后，经过管理人确认成功后，从而持有理财计划份额的投资者。</w:t>
      </w:r>
    </w:p>
    <w:p>
      <w:pPr>
        <w:pStyle w:val="20"/>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监管机构：</w:t>
      </w:r>
      <w:r>
        <w:rPr>
          <w:rFonts w:hint="eastAsia" w:ascii="宋体" w:hAnsi="宋体" w:cs="宋体"/>
          <w:bCs/>
          <w:color w:val="auto"/>
          <w:kern w:val="2"/>
          <w:highlight w:val="none"/>
        </w:rPr>
        <w:t>指对管理人（包括本理财计划管理人、所投资的信托计划/资管计划的管理人/受托人、相关投资顾问等）实施监督管理的机构，包括但不限于中国人民银行、</w:t>
      </w:r>
      <w:r>
        <w:rPr>
          <w:rFonts w:hint="eastAsia" w:ascii="宋体" w:hAnsi="宋体" w:cs="宋体"/>
          <w:bCs/>
          <w:color w:val="auto"/>
          <w:kern w:val="2"/>
          <w:highlight w:val="none"/>
          <w:lang w:eastAsia="zh-CN"/>
        </w:rPr>
        <w:t>国家金融监督管理总局</w:t>
      </w:r>
      <w:r>
        <w:rPr>
          <w:rFonts w:hint="eastAsia" w:ascii="宋体" w:hAnsi="宋体" w:cs="宋体"/>
          <w:bCs/>
          <w:color w:val="auto"/>
          <w:kern w:val="2"/>
          <w:highlight w:val="none"/>
        </w:rPr>
        <w:t>、中国证券监督管理委员会、外汇管理局、银行业理财登记托管中心等。</w:t>
      </w:r>
    </w:p>
    <w:p>
      <w:pPr>
        <w:pStyle w:val="20"/>
        <w:numPr>
          <w:ilvl w:val="0"/>
          <w:numId w:val="4"/>
        </w:numPr>
        <w:adjustRightInd/>
        <w:spacing w:line="360" w:lineRule="auto"/>
        <w:ind w:firstLine="482" w:firstLineChars="200"/>
        <w:outlineLvl w:val="2"/>
        <w:rPr>
          <w:rFonts w:hint="eastAsia" w:ascii="宋体" w:hAnsi="宋体" w:cs="宋体"/>
          <w:b/>
          <w:color w:val="auto"/>
          <w:kern w:val="2"/>
          <w:highlight w:val="none"/>
        </w:rPr>
      </w:pPr>
      <w:r>
        <w:rPr>
          <w:rFonts w:hint="eastAsia" w:ascii="宋体" w:hAnsi="宋体" w:cs="宋体"/>
          <w:b/>
          <w:color w:val="auto"/>
          <w:kern w:val="2"/>
          <w:highlight w:val="none"/>
        </w:rPr>
        <w:t>法律文件用语</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理财计划说明书/产品说明书：</w:t>
      </w:r>
      <w:r>
        <w:rPr>
          <w:rFonts w:hint="eastAsia" w:ascii="宋体" w:hAnsi="宋体" w:cs="宋体"/>
          <w:bCs/>
          <w:color w:val="auto"/>
          <w:kern w:val="2"/>
          <w:highlight w:val="none"/>
        </w:rPr>
        <w:t>指《</w:t>
      </w:r>
      <w:r>
        <w:rPr>
          <w:rFonts w:hint="eastAsia" w:ascii="宋体" w:hAnsi="宋体" w:eastAsia="宋体" w:cs="宋体"/>
          <w:bCs/>
          <w:color w:val="auto"/>
          <w:kern w:val="2"/>
          <w:sz w:val="24"/>
          <w:szCs w:val="24"/>
          <w:highlight w:val="none"/>
          <w:lang w:val="en-US" w:eastAsia="zh-CN" w:bidi="ar-SA"/>
        </w:rPr>
        <w:t>杭银理财幸福99半年添益2004期理财</w:t>
      </w:r>
      <w:r>
        <w:rPr>
          <w:rFonts w:hint="eastAsia" w:ascii="宋体" w:hAnsi="宋体" w:cs="宋体"/>
          <w:bCs/>
          <w:highlight w:val="none"/>
        </w:rPr>
        <w:t>产品说明书</w:t>
      </w:r>
      <w:r>
        <w:rPr>
          <w:rFonts w:hint="eastAsia" w:ascii="宋体" w:hAnsi="宋体" w:cs="宋体"/>
          <w:bCs/>
          <w:color w:val="auto"/>
          <w:kern w:val="2"/>
          <w:highlight w:val="none"/>
        </w:rPr>
        <w:t>》，以及对该文件的有效修改与补充。</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风险揭示书：</w:t>
      </w:r>
      <w:r>
        <w:rPr>
          <w:rFonts w:hint="eastAsia" w:ascii="宋体" w:hAnsi="宋体" w:cs="宋体"/>
          <w:bCs/>
          <w:color w:val="auto"/>
          <w:kern w:val="2"/>
          <w:highlight w:val="none"/>
        </w:rPr>
        <w:t>指作为</w:t>
      </w:r>
      <w:r>
        <w:rPr>
          <w:rFonts w:hint="eastAsia" w:ascii="宋体" w:hAnsi="宋体" w:eastAsia="宋体" w:cs="宋体"/>
          <w:bCs/>
          <w:color w:val="auto"/>
          <w:kern w:val="2"/>
          <w:sz w:val="24"/>
          <w:szCs w:val="24"/>
          <w:highlight w:val="none"/>
          <w:lang w:val="en-US" w:eastAsia="zh-CN" w:bidi="ar-SA"/>
        </w:rPr>
        <w:t>杭银理财幸福99半年添益2004期理财</w:t>
      </w:r>
      <w:r>
        <w:rPr>
          <w:rFonts w:hint="eastAsia" w:ascii="宋体" w:hAnsi="宋体" w:cs="宋体"/>
          <w:bCs/>
          <w:highlight w:val="none"/>
        </w:rPr>
        <w:t>合同不可分割组成部分的风险揭示书，</w:t>
      </w:r>
      <w:r>
        <w:rPr>
          <w:rFonts w:hint="eastAsia" w:ascii="宋体" w:hAnsi="宋体" w:cs="宋体"/>
          <w:bCs/>
          <w:color w:val="auto"/>
          <w:kern w:val="2"/>
          <w:highlight w:val="none"/>
        </w:rPr>
        <w:t>以及对该文件的有效修改与补充。</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投资者权益须知：</w:t>
      </w:r>
      <w:r>
        <w:rPr>
          <w:rFonts w:hint="eastAsia" w:ascii="宋体" w:hAnsi="宋体" w:cs="宋体"/>
          <w:bCs/>
          <w:color w:val="auto"/>
          <w:kern w:val="2"/>
          <w:highlight w:val="none"/>
        </w:rPr>
        <w:t>指作为</w:t>
      </w:r>
      <w:r>
        <w:rPr>
          <w:rFonts w:hint="eastAsia" w:ascii="宋体" w:hAnsi="宋体" w:eastAsia="宋体" w:cs="宋体"/>
          <w:bCs/>
          <w:color w:val="auto"/>
          <w:kern w:val="2"/>
          <w:sz w:val="24"/>
          <w:szCs w:val="24"/>
          <w:highlight w:val="none"/>
          <w:lang w:val="en-US" w:eastAsia="zh-CN" w:bidi="ar-SA"/>
        </w:rPr>
        <w:t>杭银理财幸福99半年添益2004期理财</w:t>
      </w:r>
      <w:r>
        <w:rPr>
          <w:rFonts w:hint="eastAsia" w:ascii="宋体" w:hAnsi="宋体" w:cs="宋体"/>
          <w:bCs/>
          <w:highlight w:val="none"/>
        </w:rPr>
        <w:t>合同不可分割组成部分的投资者权益须知，</w:t>
      </w:r>
      <w:r>
        <w:rPr>
          <w:rFonts w:hint="eastAsia" w:ascii="宋体" w:hAnsi="宋体" w:cs="宋体"/>
          <w:bCs/>
          <w:color w:val="auto"/>
          <w:kern w:val="2"/>
          <w:highlight w:val="none"/>
        </w:rPr>
        <w:t>以及对该文件的有效修改与补充。</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w:t>
      </w:r>
      <w:r>
        <w:rPr>
          <w:rFonts w:hint="eastAsia" w:ascii="宋体" w:hAnsi="宋体" w:cs="宋体"/>
          <w:b/>
          <w:color w:val="auto"/>
          <w:kern w:val="2"/>
          <w:highlight w:val="none"/>
          <w:lang w:val="en-US" w:eastAsia="zh-CN"/>
        </w:rPr>
        <w:t>计划</w:t>
      </w:r>
      <w:r>
        <w:rPr>
          <w:rFonts w:hint="eastAsia" w:ascii="宋体" w:hAnsi="宋体" w:cs="宋体"/>
          <w:b/>
          <w:color w:val="auto"/>
          <w:kern w:val="2"/>
          <w:highlight w:val="none"/>
        </w:rPr>
        <w:t>投资协议书：</w:t>
      </w:r>
      <w:r>
        <w:rPr>
          <w:rFonts w:hint="eastAsia" w:ascii="宋体" w:hAnsi="宋体" w:cs="宋体"/>
          <w:bCs/>
          <w:color w:val="auto"/>
          <w:kern w:val="2"/>
          <w:highlight w:val="none"/>
        </w:rPr>
        <w:t>指作为</w:t>
      </w:r>
      <w:r>
        <w:rPr>
          <w:rFonts w:hint="eastAsia" w:ascii="宋体" w:hAnsi="宋体" w:eastAsia="宋体" w:cs="宋体"/>
          <w:bCs/>
          <w:color w:val="auto"/>
          <w:kern w:val="2"/>
          <w:sz w:val="24"/>
          <w:szCs w:val="24"/>
          <w:highlight w:val="none"/>
          <w:lang w:val="en-US" w:eastAsia="zh-CN" w:bidi="ar-SA"/>
        </w:rPr>
        <w:t>杭银理财幸福99半年添益2004期理财</w:t>
      </w:r>
      <w:r>
        <w:rPr>
          <w:rFonts w:hint="eastAsia" w:ascii="宋体" w:hAnsi="宋体" w:cs="宋体"/>
          <w:bCs/>
          <w:highlight w:val="none"/>
        </w:rPr>
        <w:t>合同不可分割组成部分的理财计划投资协议书，</w:t>
      </w:r>
      <w:r>
        <w:rPr>
          <w:rFonts w:hint="eastAsia" w:ascii="宋体" w:hAnsi="宋体" w:cs="宋体"/>
          <w:bCs/>
          <w:color w:val="auto"/>
          <w:kern w:val="2"/>
          <w:highlight w:val="none"/>
        </w:rPr>
        <w:t>以及对该文件的有效修改与补充。</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bCs w:val="0"/>
          <w:color w:val="auto"/>
          <w:kern w:val="2"/>
          <w:highlight w:val="none"/>
          <w:lang w:eastAsia="zh-CN"/>
        </w:rPr>
        <w:t>理财</w:t>
      </w:r>
      <w:r>
        <w:rPr>
          <w:rFonts w:hint="eastAsia" w:ascii="宋体" w:hAnsi="宋体" w:cs="宋体"/>
          <w:b/>
          <w:bCs w:val="0"/>
          <w:color w:val="auto"/>
          <w:kern w:val="2"/>
          <w:highlight w:val="none"/>
          <w:lang w:val="en-US" w:eastAsia="zh-CN"/>
        </w:rPr>
        <w:t>计划</w:t>
      </w:r>
      <w:r>
        <w:rPr>
          <w:rFonts w:hint="eastAsia" w:ascii="宋体" w:hAnsi="宋体" w:cs="宋体"/>
          <w:b/>
          <w:bCs w:val="0"/>
          <w:color w:val="auto"/>
          <w:kern w:val="2"/>
          <w:highlight w:val="none"/>
          <w:lang w:eastAsia="zh-CN"/>
        </w:rPr>
        <w:t>销售协议书：</w:t>
      </w:r>
      <w:r>
        <w:rPr>
          <w:rFonts w:hint="eastAsia" w:ascii="宋体" w:hAnsi="宋体" w:cs="宋体"/>
          <w:bCs/>
          <w:color w:val="auto"/>
          <w:kern w:val="2"/>
          <w:highlight w:val="none"/>
          <w:lang w:eastAsia="zh-CN"/>
        </w:rPr>
        <w:t>指作为</w:t>
      </w:r>
      <w:r>
        <w:rPr>
          <w:rFonts w:hint="eastAsia" w:ascii="宋体" w:hAnsi="宋体" w:eastAsia="宋体" w:cs="宋体"/>
          <w:bCs/>
          <w:color w:val="auto"/>
          <w:kern w:val="2"/>
          <w:sz w:val="24"/>
          <w:szCs w:val="24"/>
          <w:highlight w:val="none"/>
          <w:lang w:val="en-US" w:eastAsia="zh-CN" w:bidi="ar-SA"/>
        </w:rPr>
        <w:t>杭银理财幸福99半年添益2004期理财</w:t>
      </w:r>
      <w:r>
        <w:rPr>
          <w:rFonts w:hint="eastAsia" w:ascii="宋体" w:hAnsi="宋体" w:cs="宋体"/>
          <w:bCs/>
          <w:color w:val="auto"/>
          <w:kern w:val="2"/>
          <w:highlight w:val="none"/>
          <w:lang w:val="en-US" w:eastAsia="zh-CN"/>
        </w:rPr>
        <w:t>合同不可分割组成部分的理财计划销售协议书，以及对该文件的有效修改与补充。</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w:t>
      </w:r>
      <w:r>
        <w:rPr>
          <w:rFonts w:hint="eastAsia" w:ascii="宋体" w:hAnsi="宋体" w:cs="宋体"/>
          <w:b/>
          <w:color w:val="auto"/>
          <w:kern w:val="2"/>
          <w:highlight w:val="none"/>
          <w:lang w:val="en-US" w:eastAsia="zh-CN"/>
        </w:rPr>
        <w:t>计划</w:t>
      </w:r>
      <w:r>
        <w:rPr>
          <w:rFonts w:hint="eastAsia" w:ascii="宋体" w:hAnsi="宋体" w:cs="宋体"/>
          <w:b/>
          <w:color w:val="auto"/>
          <w:kern w:val="2"/>
          <w:highlight w:val="none"/>
        </w:rPr>
        <w:t>合同/销售文件：</w:t>
      </w:r>
      <w:r>
        <w:rPr>
          <w:rFonts w:hint="eastAsia" w:ascii="宋体" w:hAnsi="宋体" w:cs="宋体"/>
          <w:bCs/>
          <w:color w:val="auto"/>
          <w:kern w:val="2"/>
          <w:highlight w:val="none"/>
        </w:rPr>
        <w:t>指《理财</w:t>
      </w:r>
      <w:r>
        <w:rPr>
          <w:rFonts w:hint="eastAsia" w:ascii="宋体" w:hAnsi="宋体" w:cs="宋体"/>
          <w:bCs/>
          <w:color w:val="auto"/>
          <w:kern w:val="2"/>
          <w:highlight w:val="none"/>
          <w:lang w:val="en-US" w:eastAsia="zh-CN"/>
        </w:rPr>
        <w:t>计划</w:t>
      </w:r>
      <w:r>
        <w:rPr>
          <w:rFonts w:hint="eastAsia" w:ascii="宋体" w:hAnsi="宋体" w:cs="宋体"/>
          <w:bCs/>
          <w:color w:val="auto"/>
          <w:kern w:val="2"/>
          <w:highlight w:val="none"/>
          <w:lang w:eastAsia="zh-CN"/>
        </w:rPr>
        <w:t>风险揭示书</w:t>
      </w:r>
      <w:r>
        <w:rPr>
          <w:rFonts w:hint="eastAsia" w:ascii="宋体" w:hAnsi="宋体" w:cs="宋体"/>
          <w:bCs/>
          <w:color w:val="auto"/>
          <w:kern w:val="2"/>
          <w:highlight w:val="none"/>
        </w:rPr>
        <w:t>》《</w:t>
      </w:r>
      <w:r>
        <w:rPr>
          <w:rFonts w:hint="eastAsia" w:ascii="宋体" w:hAnsi="宋体" w:cs="宋体"/>
          <w:bCs/>
          <w:color w:val="auto"/>
          <w:kern w:val="2"/>
          <w:highlight w:val="none"/>
          <w:lang w:eastAsia="zh-CN"/>
        </w:rPr>
        <w:t>理财</w:t>
      </w:r>
      <w:r>
        <w:rPr>
          <w:rFonts w:hint="eastAsia" w:ascii="宋体" w:hAnsi="宋体" w:cs="宋体"/>
          <w:bCs/>
          <w:color w:val="auto"/>
          <w:kern w:val="2"/>
          <w:highlight w:val="none"/>
          <w:lang w:val="en-US" w:eastAsia="zh-CN"/>
        </w:rPr>
        <w:t>计划</w:t>
      </w:r>
      <w:r>
        <w:rPr>
          <w:rFonts w:hint="eastAsia" w:ascii="宋体" w:hAnsi="宋体" w:cs="宋体"/>
          <w:bCs/>
          <w:color w:val="auto"/>
          <w:kern w:val="2"/>
          <w:highlight w:val="none"/>
          <w:lang w:eastAsia="zh-CN"/>
        </w:rPr>
        <w:t>产品说明书</w:t>
      </w:r>
      <w:r>
        <w:rPr>
          <w:rFonts w:hint="eastAsia" w:ascii="宋体" w:hAnsi="宋体" w:cs="宋体"/>
          <w:bCs/>
          <w:color w:val="auto"/>
          <w:kern w:val="2"/>
          <w:highlight w:val="none"/>
        </w:rPr>
        <w:t>》《投资者权益须知》《理财</w:t>
      </w:r>
      <w:r>
        <w:rPr>
          <w:rFonts w:hint="eastAsia" w:ascii="宋体" w:hAnsi="宋体" w:cs="宋体"/>
          <w:bCs/>
          <w:color w:val="auto"/>
          <w:kern w:val="2"/>
          <w:highlight w:val="none"/>
          <w:lang w:val="en-US" w:eastAsia="zh-CN"/>
        </w:rPr>
        <w:t>计划</w:t>
      </w:r>
      <w:r>
        <w:rPr>
          <w:rFonts w:hint="eastAsia" w:ascii="宋体" w:hAnsi="宋体" w:cs="宋体"/>
          <w:bCs/>
          <w:color w:val="auto"/>
          <w:kern w:val="2"/>
          <w:highlight w:val="none"/>
        </w:rPr>
        <w:t>投资协议书》</w:t>
      </w:r>
      <w:r>
        <w:rPr>
          <w:rFonts w:hint="eastAsia" w:ascii="宋体" w:hAnsi="宋体" w:cs="宋体"/>
          <w:bCs/>
          <w:color w:val="auto"/>
          <w:kern w:val="2"/>
          <w:highlight w:val="none"/>
          <w:lang w:eastAsia="zh-CN"/>
        </w:rPr>
        <w:t>《理财</w:t>
      </w:r>
      <w:r>
        <w:rPr>
          <w:rFonts w:hint="eastAsia" w:ascii="宋体" w:hAnsi="宋体" w:cs="宋体"/>
          <w:bCs/>
          <w:color w:val="auto"/>
          <w:kern w:val="2"/>
          <w:highlight w:val="none"/>
          <w:lang w:val="en-US" w:eastAsia="zh-CN"/>
        </w:rPr>
        <w:t>计划</w:t>
      </w:r>
      <w:r>
        <w:rPr>
          <w:rFonts w:hint="eastAsia" w:ascii="宋体" w:hAnsi="宋体" w:cs="宋体"/>
          <w:bCs/>
          <w:color w:val="auto"/>
          <w:kern w:val="2"/>
          <w:highlight w:val="none"/>
          <w:lang w:eastAsia="zh-CN"/>
        </w:rPr>
        <w:t>销售协议书》五</w:t>
      </w:r>
      <w:r>
        <w:rPr>
          <w:rFonts w:hint="eastAsia" w:ascii="宋体" w:hAnsi="宋体" w:cs="宋体"/>
          <w:bCs/>
          <w:color w:val="auto"/>
          <w:kern w:val="2"/>
          <w:highlight w:val="none"/>
        </w:rPr>
        <w:t>个部分。</w:t>
      </w:r>
    </w:p>
    <w:p>
      <w:pPr>
        <w:pStyle w:val="20"/>
        <w:numPr>
          <w:ilvl w:val="0"/>
          <w:numId w:val="4"/>
        </w:numPr>
        <w:adjustRightInd/>
        <w:spacing w:line="360" w:lineRule="auto"/>
        <w:ind w:firstLine="482" w:firstLineChars="200"/>
        <w:outlineLvl w:val="2"/>
        <w:rPr>
          <w:rFonts w:hint="eastAsia" w:ascii="宋体" w:hAnsi="宋体" w:cs="宋体"/>
          <w:b/>
          <w:color w:val="auto"/>
          <w:kern w:val="2"/>
          <w:highlight w:val="none"/>
        </w:rPr>
      </w:pPr>
      <w:r>
        <w:rPr>
          <w:rFonts w:hint="eastAsia" w:ascii="宋体" w:hAnsi="宋体" w:cs="宋体"/>
          <w:b/>
          <w:color w:val="auto"/>
          <w:kern w:val="2"/>
          <w:highlight w:val="none"/>
        </w:rPr>
        <w:t>理财产品用语</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理财计划/理财产品/产品：</w:t>
      </w:r>
      <w:r>
        <w:rPr>
          <w:rFonts w:hint="eastAsia" w:ascii="宋体" w:hAnsi="宋体" w:cs="宋体"/>
          <w:bCs/>
          <w:color w:val="auto"/>
          <w:kern w:val="2"/>
          <w:highlight w:val="none"/>
        </w:rPr>
        <w:t>指</w:t>
      </w:r>
      <w:r>
        <w:rPr>
          <w:rFonts w:hint="eastAsia" w:ascii="宋体" w:hAnsi="宋体" w:eastAsia="宋体" w:cs="宋体"/>
          <w:bCs/>
          <w:color w:val="auto"/>
          <w:kern w:val="2"/>
          <w:sz w:val="24"/>
          <w:szCs w:val="24"/>
          <w:highlight w:val="none"/>
          <w:lang w:val="en-US" w:eastAsia="zh-CN" w:bidi="ar-SA"/>
        </w:rPr>
        <w:t>杭银理财幸福99半年添益2004期理财</w:t>
      </w:r>
      <w:r>
        <w:rPr>
          <w:rFonts w:hint="eastAsia" w:ascii="宋体" w:hAnsi="宋体" w:cs="宋体"/>
          <w:bCs/>
          <w:highlight w:val="none"/>
        </w:rPr>
        <w:t>。</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理财计划份额/产品份额：</w:t>
      </w:r>
      <w:r>
        <w:rPr>
          <w:rFonts w:hint="eastAsia" w:ascii="宋体" w:hAnsi="宋体" w:cs="宋体"/>
          <w:bCs/>
          <w:highlight w:val="none"/>
        </w:rPr>
        <w:t>指管理人根据理财计划合同向投资者发行的资产收益凭证。理财计划份额持有人基于其所持有的理财计划份额享有理财计划相关利益、承担理财计划相关风险。</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理财计划份额净值/产品份额净值：</w:t>
      </w:r>
      <w:r>
        <w:rPr>
          <w:rFonts w:hint="eastAsia" w:ascii="宋体" w:hAnsi="宋体" w:cs="宋体"/>
          <w:bCs/>
          <w:highlight w:val="none"/>
        </w:rPr>
        <w:t>指理财计划份额的单位净值，即每1份理财计划份额以人民币或外币（以产品说明书交易币种为准）计价的价格。</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理财计划份额累计净值/产品份额累计净值：</w:t>
      </w:r>
      <w:r>
        <w:rPr>
          <w:rFonts w:hint="eastAsia" w:ascii="宋体" w:hAnsi="宋体" w:cs="宋体"/>
          <w:bCs/>
          <w:highlight w:val="none"/>
        </w:rPr>
        <w:t>指理财计划份额的单位净值与理财计划成立后历次累计单位收益分配的总和。</w:t>
      </w:r>
    </w:p>
    <w:p>
      <w:pPr>
        <w:pStyle w:val="20"/>
        <w:numPr>
          <w:ilvl w:val="0"/>
          <w:numId w:val="7"/>
        </w:numPr>
        <w:adjustRightInd/>
        <w:spacing w:line="360" w:lineRule="auto"/>
        <w:ind w:firstLine="482" w:firstLineChars="200"/>
        <w:rPr>
          <w:rFonts w:hint="eastAsia" w:ascii="宋体" w:hAnsi="宋体" w:cs="宋体"/>
          <w:b/>
          <w:highlight w:val="none"/>
        </w:rPr>
      </w:pPr>
      <w:r>
        <w:rPr>
          <w:rFonts w:hint="eastAsia" w:ascii="宋体" w:hAnsi="宋体" w:cs="宋体"/>
          <w:b/>
          <w:highlight w:val="none"/>
        </w:rPr>
        <w:t>工作日：</w:t>
      </w:r>
      <w:r>
        <w:rPr>
          <w:rFonts w:hint="eastAsia" w:ascii="宋体" w:hAnsi="宋体" w:cs="宋体"/>
          <w:bCs/>
          <w:highlight w:val="none"/>
        </w:rPr>
        <w:t>指除国家法定节假日和休息日外的日期。</w:t>
      </w:r>
    </w:p>
    <w:p>
      <w:pPr>
        <w:pStyle w:val="20"/>
        <w:numPr>
          <w:ilvl w:val="0"/>
          <w:numId w:val="7"/>
        </w:numPr>
        <w:adjustRightInd/>
        <w:spacing w:line="360" w:lineRule="auto"/>
        <w:ind w:firstLine="482" w:firstLineChars="200"/>
        <w:rPr>
          <w:rFonts w:hint="eastAsia" w:ascii="宋体" w:hAnsi="宋体" w:cs="宋体"/>
          <w:b/>
          <w:highlight w:val="none"/>
        </w:rPr>
      </w:pPr>
      <w:r>
        <w:rPr>
          <w:rFonts w:hint="eastAsia" w:ascii="宋体" w:hAnsi="宋体" w:cs="宋体"/>
          <w:b/>
          <w:highlight w:val="none"/>
        </w:rPr>
        <w:t>交易日：</w:t>
      </w:r>
      <w:r>
        <w:rPr>
          <w:rFonts w:hint="eastAsia" w:ascii="宋体" w:hAnsi="宋体" w:cs="宋体"/>
          <w:bCs/>
          <w:highlight w:val="none"/>
        </w:rPr>
        <w:t>指</w:t>
      </w:r>
      <w:r>
        <w:rPr>
          <w:rFonts w:hint="eastAsia" w:ascii="宋体" w:hAnsi="宋体" w:cs="宋体"/>
          <w:szCs w:val="21"/>
          <w:highlight w:val="none"/>
        </w:rPr>
        <w:t>〖</w:t>
      </w:r>
      <w:r>
        <w:rPr>
          <w:rFonts w:hint="eastAsia" w:ascii="宋体" w:hAnsi="宋体" w:cs="宋体"/>
          <w:bCs/>
          <w:color w:val="000000"/>
          <w:highlight w:val="none"/>
        </w:rPr>
        <w:t>上海证券交易所、深圳证券交易所</w:t>
      </w:r>
      <w:r>
        <w:rPr>
          <w:rFonts w:hint="eastAsia" w:ascii="宋体" w:hAnsi="宋体" w:cs="宋体"/>
          <w:szCs w:val="21"/>
          <w:highlight w:val="none"/>
        </w:rPr>
        <w:t>〗</w:t>
      </w:r>
      <w:r>
        <w:rPr>
          <w:rFonts w:hint="eastAsia" w:ascii="宋体" w:hAnsi="宋体" w:cs="宋体"/>
          <w:bCs/>
          <w:highlight w:val="none"/>
        </w:rPr>
        <w:t>的正常交易日。</w:t>
      </w:r>
      <w:r>
        <w:rPr>
          <w:rFonts w:hint="eastAsia" w:ascii="宋体" w:hAnsi="宋体" w:cs="宋体"/>
          <w:bCs/>
          <w:highlight w:val="none"/>
          <w:lang w:val="en-US" w:eastAsia="zh-CN"/>
        </w:rPr>
        <w:t>如涉及到监管条例部分，统一以监管条例表述替代。</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成立日：</w:t>
      </w:r>
      <w:r>
        <w:rPr>
          <w:rFonts w:hint="eastAsia" w:ascii="宋体" w:hAnsi="宋体" w:cs="宋体"/>
          <w:bCs/>
          <w:highlight w:val="none"/>
        </w:rPr>
        <w:t>指理财计划完成首次募集发行后正式成立运作日。</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认购期：</w:t>
      </w:r>
      <w:r>
        <w:rPr>
          <w:rFonts w:hint="eastAsia" w:ascii="宋体" w:hAnsi="宋体" w:cs="宋体"/>
          <w:bCs/>
          <w:color w:val="auto"/>
          <w:kern w:val="2"/>
          <w:highlight w:val="none"/>
        </w:rPr>
        <w:t>指理财计划成立前，理财计划管理人接受理财计划认购的时间。</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封闭期：</w:t>
      </w:r>
      <w:r>
        <w:rPr>
          <w:rFonts w:hint="eastAsia" w:ascii="宋体" w:hAnsi="宋体" w:cs="宋体"/>
          <w:bCs/>
          <w:color w:val="auto"/>
          <w:kern w:val="2"/>
          <w:highlight w:val="none"/>
        </w:rPr>
        <w:t>指理财</w:t>
      </w:r>
      <w:r>
        <w:rPr>
          <w:rFonts w:hint="eastAsia" w:ascii="宋体" w:hAnsi="宋体" w:cs="宋体"/>
          <w:bCs/>
          <w:color w:val="auto"/>
          <w:kern w:val="2"/>
          <w:highlight w:val="none"/>
          <w:lang w:eastAsia="zh-CN"/>
        </w:rPr>
        <w:t>计划</w:t>
      </w:r>
      <w:r>
        <w:rPr>
          <w:rFonts w:hint="eastAsia" w:ascii="宋体" w:hAnsi="宋体" w:cs="宋体"/>
          <w:bCs/>
          <w:color w:val="auto"/>
          <w:kern w:val="2"/>
          <w:highlight w:val="none"/>
        </w:rPr>
        <w:t>成立后，理财计划不接受投资者申购赎回的时间。</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建仓期：</w:t>
      </w:r>
      <w:r>
        <w:rPr>
          <w:rFonts w:hint="eastAsia" w:ascii="宋体" w:hAnsi="宋体" w:cs="宋体"/>
          <w:bCs/>
          <w:color w:val="auto"/>
          <w:kern w:val="2"/>
          <w:highlight w:val="none"/>
        </w:rPr>
        <w:t>指理财计划成立后，在一定期限内投资比例无法满足本理财计划约定的投资比例要求。</w:t>
      </w:r>
    </w:p>
    <w:p>
      <w:pPr>
        <w:pStyle w:val="20"/>
        <w:numPr>
          <w:ilvl w:val="0"/>
          <w:numId w:val="7"/>
        </w:numPr>
        <w:adjustRightInd/>
        <w:spacing w:line="360" w:lineRule="auto"/>
        <w:ind w:left="0"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投资周期</w:t>
      </w:r>
      <w:r>
        <w:rPr>
          <w:rFonts w:hint="eastAsia" w:ascii="宋体" w:hAnsi="宋体" w:cs="宋体"/>
          <w:b/>
          <w:color w:val="auto"/>
          <w:kern w:val="2"/>
          <w:highlight w:val="none"/>
          <w:lang w:eastAsia="zh-CN"/>
        </w:rPr>
        <w:t>：</w:t>
      </w:r>
      <w:r>
        <w:rPr>
          <w:rFonts w:hint="eastAsia" w:ascii="宋体" w:hAnsi="宋体" w:cs="宋体"/>
          <w:b w:val="0"/>
          <w:bCs/>
          <w:color w:val="auto"/>
          <w:kern w:val="2"/>
          <w:highlight w:val="none"/>
          <w:lang w:eastAsia="zh-CN"/>
        </w:rPr>
        <w:t>指理财计划成立或申购</w:t>
      </w:r>
      <w:r>
        <w:rPr>
          <w:rFonts w:hint="eastAsia" w:ascii="宋体" w:hAnsi="宋体" w:cs="宋体"/>
          <w:b w:val="0"/>
          <w:bCs/>
          <w:color w:val="auto"/>
          <w:kern w:val="2"/>
          <w:highlight w:val="none"/>
          <w:lang w:val="en-US" w:eastAsia="zh-CN"/>
        </w:rPr>
        <w:t>/赎回</w:t>
      </w:r>
      <w:r>
        <w:rPr>
          <w:rFonts w:hint="eastAsia" w:ascii="宋体" w:hAnsi="宋体" w:cs="宋体"/>
          <w:b w:val="0"/>
          <w:bCs/>
          <w:color w:val="auto"/>
          <w:kern w:val="2"/>
          <w:highlight w:val="none"/>
          <w:lang w:eastAsia="zh-CN"/>
        </w:rPr>
        <w:t>开放期确认后，至下一个申购</w:t>
      </w:r>
      <w:r>
        <w:rPr>
          <w:rFonts w:hint="eastAsia" w:ascii="宋体" w:hAnsi="宋体" w:cs="宋体"/>
          <w:b w:val="0"/>
          <w:bCs/>
          <w:color w:val="auto"/>
          <w:kern w:val="2"/>
          <w:highlight w:val="none"/>
          <w:lang w:val="en-US" w:eastAsia="zh-CN"/>
        </w:rPr>
        <w:t>/赎回开放期确认前的时间。如申购和赎回开放期确认时间不一致，应明确以申购投资周期或赎回投资周期作为理财计划的投资周期。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到期日：</w:t>
      </w:r>
      <w:r>
        <w:rPr>
          <w:rFonts w:hint="eastAsia" w:ascii="宋体" w:hAnsi="宋体" w:cs="宋体"/>
          <w:bCs/>
          <w:color w:val="auto"/>
          <w:kern w:val="2"/>
          <w:highlight w:val="none"/>
        </w:rPr>
        <w:t>指理财计划终止运作的日期。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收益分配基准日：</w:t>
      </w:r>
      <w:r>
        <w:rPr>
          <w:rFonts w:hint="eastAsia" w:ascii="宋体" w:hAnsi="宋体" w:cs="宋体"/>
          <w:bCs/>
          <w:color w:val="auto"/>
          <w:kern w:val="2"/>
          <w:highlight w:val="none"/>
        </w:rPr>
        <w:t>指理财计划进行收益分配时用以确认分配收益金额的最终确认日期。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节假日临时调整：</w:t>
      </w:r>
      <w:r>
        <w:rPr>
          <w:rFonts w:hint="eastAsia" w:ascii="宋体" w:hAnsi="宋体" w:cs="宋体"/>
          <w:bCs/>
          <w:color w:val="auto"/>
          <w:kern w:val="2"/>
          <w:highlight w:val="none"/>
        </w:rPr>
        <w:t>如因国家相关主管部门临时调整节假日安排，导致原定成立日、到期日、估值日、申购和赎回开放期等日期安排发生变化的，原则上采用顺延方式对原定日期进行调整，如有特殊安排，以管理人对外披露的公告为准。</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提前终止权：</w:t>
      </w:r>
      <w:r>
        <w:rPr>
          <w:rFonts w:hint="eastAsia" w:ascii="宋体" w:hAnsi="宋体" w:cs="宋体"/>
          <w:bCs/>
          <w:highlight w:val="none"/>
        </w:rPr>
        <w:t>指在本理财计划存续期内，管理人单方面决定全部提前终止本理财计划的权利。</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提前终止日：</w:t>
      </w:r>
      <w:r>
        <w:rPr>
          <w:rFonts w:hint="eastAsia" w:ascii="宋体" w:hAnsi="宋体" w:cs="宋体"/>
          <w:bCs/>
          <w:color w:val="auto"/>
          <w:kern w:val="2"/>
          <w:highlight w:val="none"/>
        </w:rPr>
        <w:t>指</w:t>
      </w:r>
      <w:r>
        <w:rPr>
          <w:rFonts w:hint="eastAsia" w:ascii="宋体" w:hAnsi="宋体" w:cs="宋体"/>
          <w:bCs/>
          <w:highlight w:val="none"/>
        </w:rPr>
        <w:t>管理人行使提前终止权的日期，即本理财计划被提前终止、开始停止计算收益的日期。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资金到账日：</w:t>
      </w:r>
      <w:r>
        <w:rPr>
          <w:rFonts w:hint="eastAsia" w:ascii="宋体" w:hAnsi="宋体" w:cs="宋体"/>
          <w:bCs/>
          <w:highlight w:val="none"/>
        </w:rPr>
        <w:t>指理财计划终止运作后，资金返还至投资者账户的日期。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开放日：</w:t>
      </w:r>
      <w:r>
        <w:rPr>
          <w:rFonts w:hint="eastAsia" w:ascii="宋体" w:hAnsi="宋体" w:cs="宋体"/>
          <w:bCs/>
          <w:color w:val="auto"/>
          <w:kern w:val="2"/>
          <w:highlight w:val="none"/>
        </w:rPr>
        <w:t>指为投资者办理申购、赎回交易的日期。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开放期：</w:t>
      </w:r>
      <w:r>
        <w:rPr>
          <w:rFonts w:hint="eastAsia" w:ascii="宋体" w:hAnsi="宋体" w:cs="宋体"/>
          <w:bCs/>
          <w:highlight w:val="none"/>
        </w:rPr>
        <w:t>指管理人向投资者提供申购</w:t>
      </w:r>
      <w:r>
        <w:rPr>
          <w:rFonts w:hint="eastAsia" w:ascii="宋体" w:hAnsi="宋体" w:cs="宋体"/>
          <w:bCs/>
          <w:highlight w:val="none"/>
          <w:lang w:eastAsia="zh-CN"/>
        </w:rPr>
        <w:t>、</w:t>
      </w:r>
      <w:r>
        <w:rPr>
          <w:rFonts w:hint="eastAsia" w:ascii="宋体" w:hAnsi="宋体" w:cs="宋体"/>
          <w:bCs/>
          <w:highlight w:val="none"/>
          <w:lang w:val="en-US" w:eastAsia="zh-CN"/>
        </w:rPr>
        <w:t>赎回</w:t>
      </w:r>
      <w:r>
        <w:rPr>
          <w:rFonts w:hint="eastAsia" w:ascii="宋体" w:hAnsi="宋体" w:cs="宋体"/>
          <w:bCs/>
          <w:highlight w:val="none"/>
        </w:rPr>
        <w:t>交易的时间。</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确认日：</w:t>
      </w:r>
      <w:r>
        <w:rPr>
          <w:rFonts w:hint="eastAsia" w:ascii="宋体" w:hAnsi="宋体" w:cs="宋体"/>
          <w:bCs/>
          <w:color w:val="auto"/>
          <w:kern w:val="2"/>
          <w:highlight w:val="none"/>
        </w:rPr>
        <w:t>指管理人确认投资者申购</w:t>
      </w:r>
      <w:r>
        <w:rPr>
          <w:rFonts w:hint="eastAsia" w:ascii="宋体" w:hAnsi="宋体" w:cs="宋体"/>
          <w:bCs/>
          <w:color w:val="auto"/>
          <w:kern w:val="2"/>
          <w:highlight w:val="none"/>
          <w:lang w:eastAsia="zh-CN"/>
        </w:rPr>
        <w:t>、</w:t>
      </w:r>
      <w:r>
        <w:rPr>
          <w:rFonts w:hint="eastAsia" w:ascii="宋体" w:hAnsi="宋体" w:cs="宋体"/>
          <w:bCs/>
          <w:color w:val="auto"/>
          <w:kern w:val="2"/>
          <w:highlight w:val="none"/>
          <w:lang w:val="en-US" w:eastAsia="zh-CN"/>
        </w:rPr>
        <w:t>赎回</w:t>
      </w:r>
      <w:r>
        <w:rPr>
          <w:rFonts w:hint="eastAsia" w:ascii="宋体" w:hAnsi="宋体" w:cs="宋体"/>
          <w:bCs/>
          <w:color w:val="auto"/>
          <w:kern w:val="2"/>
          <w:highlight w:val="none"/>
        </w:rPr>
        <w:t>交易是否有效的日期。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认购：</w:t>
      </w:r>
      <w:r>
        <w:rPr>
          <w:rFonts w:hint="eastAsia" w:ascii="宋体" w:hAnsi="宋体" w:cs="宋体"/>
          <w:bCs/>
          <w:color w:val="auto"/>
          <w:kern w:val="2"/>
          <w:highlight w:val="none"/>
        </w:rPr>
        <w:t>指投资者根据理财计划约定申请购买本理财计划份额的行为。</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申购：</w:t>
      </w:r>
      <w:r>
        <w:rPr>
          <w:rFonts w:hint="eastAsia" w:ascii="宋体" w:hAnsi="宋体" w:cs="宋体"/>
          <w:bCs/>
          <w:color w:val="auto"/>
          <w:kern w:val="2"/>
          <w:highlight w:val="none"/>
        </w:rPr>
        <w:t>指理财计划申购开放期内，投资者向管理人进行理财计划份额购买的行为。</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赎回：</w:t>
      </w:r>
      <w:r>
        <w:rPr>
          <w:rFonts w:hint="eastAsia" w:ascii="宋体" w:hAnsi="宋体" w:cs="宋体"/>
          <w:bCs/>
          <w:color w:val="auto"/>
          <w:kern w:val="2"/>
          <w:highlight w:val="none"/>
        </w:rPr>
        <w:t>指理财计划</w:t>
      </w:r>
      <w:r>
        <w:rPr>
          <w:rFonts w:hint="eastAsia" w:ascii="宋体" w:hAnsi="宋体" w:cs="宋体"/>
          <w:bCs/>
          <w:color w:val="auto"/>
          <w:kern w:val="2"/>
          <w:highlight w:val="none"/>
          <w:lang w:eastAsia="zh-CN"/>
        </w:rPr>
        <w:t>赎回</w:t>
      </w:r>
      <w:r>
        <w:rPr>
          <w:rFonts w:hint="eastAsia" w:ascii="宋体" w:hAnsi="宋体" w:cs="宋体"/>
          <w:bCs/>
          <w:color w:val="auto"/>
          <w:kern w:val="2"/>
          <w:highlight w:val="none"/>
        </w:rPr>
        <w:t>开放期内，投资者向管理人进行理财计划份额卖出的行为。</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收益分配：</w:t>
      </w:r>
      <w:r>
        <w:rPr>
          <w:rFonts w:hint="eastAsia" w:ascii="宋体" w:hAnsi="宋体" w:cs="宋体"/>
          <w:bCs/>
          <w:color w:val="auto"/>
          <w:kern w:val="2"/>
          <w:highlight w:val="none"/>
        </w:rPr>
        <w:t>指管理人在满足收益分配基准日理财计划份额净值大于1元的情况下，定期或不定期将大于1元部分的收益进行全部或部分分配的行为。</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理财计划费用/产品费用：</w:t>
      </w:r>
      <w:r>
        <w:rPr>
          <w:rFonts w:hint="eastAsia" w:ascii="宋体" w:hAnsi="宋体" w:cs="宋体"/>
          <w:bCs/>
          <w:highlight w:val="none"/>
        </w:rPr>
        <w:t>指管理人为成立理财计划及处理理财计划事务而支出的所有费用，包括但不限于管理人收取的固定管理费、浮动管理费、</w:t>
      </w:r>
      <w:r>
        <w:rPr>
          <w:rFonts w:hint="eastAsia" w:ascii="宋体" w:hAnsi="宋体" w:cs="宋体"/>
          <w:bCs/>
          <w:highlight w:val="none"/>
          <w:lang w:eastAsia="zh-CN"/>
        </w:rPr>
        <w:t>销售服务费</w:t>
      </w:r>
      <w:r>
        <w:rPr>
          <w:rFonts w:hint="eastAsia" w:ascii="宋体" w:hAnsi="宋体" w:cs="宋体"/>
          <w:bCs/>
          <w:highlight w:val="none"/>
        </w:rPr>
        <w:t>、托管人收取的托管费、交易费用、执行费用等相关费用，具体以</w:t>
      </w:r>
      <w:r>
        <w:rPr>
          <w:rFonts w:hint="eastAsia" w:ascii="宋体" w:hAnsi="宋体" w:cs="宋体"/>
          <w:bCs/>
          <w:highlight w:val="none"/>
          <w:lang w:eastAsia="zh-CN"/>
        </w:rPr>
        <w:t>实际发生</w:t>
      </w:r>
      <w:r>
        <w:rPr>
          <w:rFonts w:hint="eastAsia" w:ascii="宋体" w:hAnsi="宋体" w:cs="宋体"/>
          <w:bCs/>
          <w:highlight w:val="none"/>
        </w:rPr>
        <w:t>为准。</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bCs w:val="0"/>
          <w:highlight w:val="none"/>
          <w:lang w:eastAsia="zh-CN"/>
        </w:rPr>
        <w:t>其他费用：</w:t>
      </w:r>
      <w:r>
        <w:rPr>
          <w:rFonts w:hint="eastAsia" w:ascii="宋体" w:hAnsi="宋体" w:cs="宋体"/>
          <w:b w:val="0"/>
          <w:bCs/>
          <w:highlight w:val="none"/>
          <w:lang w:eastAsia="zh-CN"/>
        </w:rPr>
        <w:t>指除理财计划费用以外，理财计划涉及的其他相关费用，包括但不限于认购费、申购费、赎回费、投顾费等，具体以</w:t>
      </w:r>
      <w:r>
        <w:rPr>
          <w:rFonts w:hint="eastAsia" w:ascii="宋体" w:hAnsi="宋体" w:cs="宋体"/>
          <w:bCs/>
          <w:highlight w:val="none"/>
        </w:rPr>
        <w:t>本说明书第八条约定</w:t>
      </w:r>
      <w:r>
        <w:rPr>
          <w:rFonts w:hint="eastAsia" w:ascii="宋体" w:hAnsi="宋体" w:cs="宋体"/>
          <w:b w:val="0"/>
          <w:bCs/>
          <w:highlight w:val="none"/>
          <w:lang w:eastAsia="zh-CN"/>
        </w:rPr>
        <w:t>为准。</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理财计划估值：</w:t>
      </w:r>
      <w:r>
        <w:rPr>
          <w:rFonts w:hint="eastAsia" w:ascii="宋体" w:hAnsi="宋体" w:cs="宋体"/>
          <w:bCs/>
          <w:highlight w:val="none"/>
        </w:rPr>
        <w:t>指计算评估理财计划资产以确定理财计划份额净值的过程。</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理财业绩比较基准：</w:t>
      </w:r>
      <w:r>
        <w:rPr>
          <w:rFonts w:hint="eastAsia" w:ascii="宋体" w:hAnsi="宋体" w:cs="宋体"/>
          <w:bCs/>
          <w:color w:val="auto"/>
          <w:kern w:val="2"/>
          <w:highlight w:val="none"/>
        </w:rPr>
        <w:t>指管理人基于过往投资经验及对市场波动的判断与预测而对本理财计划设定的投资目标，不代表本理财计划的未来表现和实际收益，或管理人对本理财计划的收益承诺。</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指定账户：</w:t>
      </w:r>
      <w:r>
        <w:rPr>
          <w:rFonts w:hint="eastAsia" w:ascii="宋体" w:hAnsi="宋体" w:cs="宋体"/>
          <w:bCs/>
          <w:color w:val="auto"/>
          <w:kern w:val="2"/>
          <w:highlight w:val="none"/>
        </w:rPr>
        <w:t>指投资者开立的，在理财计划认/申购时指定扣划本金、返还本金或收益的银行账户。</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bCs w:val="0"/>
          <w:color w:val="auto"/>
          <w:kern w:val="2"/>
          <w:highlight w:val="none"/>
          <w:lang w:eastAsia="zh-CN"/>
        </w:rPr>
        <w:t>流</w:t>
      </w:r>
      <w:r>
        <w:rPr>
          <w:rFonts w:hint="eastAsia"/>
          <w:b/>
          <w:bCs w:val="0"/>
          <w:highlight w:val="none"/>
          <w:lang w:val="en-US" w:eastAsia="zh-CN"/>
        </w:rPr>
        <w:t>动性受限资产：</w:t>
      </w:r>
      <w:r>
        <w:rPr>
          <w:rFonts w:hint="eastAsia"/>
          <w:highlight w:val="none"/>
          <w:lang w:val="en-US" w:eastAsia="zh-CN"/>
        </w:rPr>
        <w:t>是指由于法律法规、监管、合同或操作障碍等原因无法以合理价格予以变现的资产，包括到期日在10个交易日以上的逆回购与银行定期存款（含协议约定有条件提前支取的银行存款）、距可赎回日在10个交易日以上的资产管理产品、停牌股票、流通受限的新股及非公开发行股票、资产支持证券（票据），因发行人债务违约无法进行转让或交易的债券和非金融企业债务融资工具，以及其他流动性受限资产。</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b/>
          <w:bCs/>
          <w:highlight w:val="none"/>
          <w:lang w:val="en-US" w:eastAsia="zh-CN"/>
        </w:rPr>
        <w:t>7个工作日可变现资产：</w:t>
      </w:r>
      <w:r>
        <w:rPr>
          <w:rFonts w:hint="eastAsia"/>
          <w:highlight w:val="none"/>
          <w:lang w:val="en-US" w:eastAsia="zh-CN"/>
        </w:rPr>
        <w:t>包括但不限于可在交易所、银行间市场正常交易的股票、债券、非金融企业债务融资工具、期货及期权合约以及同业存单，7个工作日内到期或可支取的买入返售、银行存款，7个工作日内能够确认收到的各类应收款项等。</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b/>
          <w:bCs/>
          <w:highlight w:val="none"/>
          <w:lang w:val="en-US" w:eastAsia="zh-CN"/>
        </w:rPr>
        <w:t>投资退出期：</w:t>
      </w:r>
      <w:r>
        <w:rPr>
          <w:rFonts w:hint="eastAsia" w:ascii="Times New Roman" w:hAnsi="Times New Roman" w:eastAsia="宋体" w:cs="Times New Roman"/>
          <w:highlight w:val="none"/>
          <w:lang w:val="en-US" w:eastAsia="zh-CN"/>
        </w:rPr>
        <w:t>是指理财计划临近到期前，管理人通过资产变现用以进行资金交割清算的准备期。</w:t>
      </w:r>
    </w:p>
    <w:p>
      <w:pPr>
        <w:pStyle w:val="20"/>
        <w:numPr>
          <w:ilvl w:val="0"/>
          <w:numId w:val="4"/>
        </w:numPr>
        <w:adjustRightInd/>
        <w:spacing w:line="360" w:lineRule="auto"/>
        <w:ind w:firstLine="482" w:firstLineChars="200"/>
        <w:outlineLvl w:val="2"/>
        <w:rPr>
          <w:rFonts w:hint="eastAsia" w:ascii="宋体" w:hAnsi="宋体" w:cs="宋体"/>
          <w:b/>
          <w:color w:val="auto"/>
          <w:kern w:val="2"/>
          <w:highlight w:val="none"/>
        </w:rPr>
      </w:pPr>
      <w:r>
        <w:rPr>
          <w:rFonts w:hint="eastAsia" w:ascii="宋体" w:hAnsi="宋体" w:cs="宋体"/>
          <w:b/>
          <w:color w:val="auto"/>
          <w:kern w:val="2"/>
          <w:highlight w:val="none"/>
        </w:rPr>
        <w:t>相关事件用语</w:t>
      </w:r>
    </w:p>
    <w:p>
      <w:pPr>
        <w:pStyle w:val="20"/>
        <w:numPr>
          <w:ilvl w:val="0"/>
          <w:numId w:val="8"/>
        </w:numPr>
        <w:adjustRightInd/>
        <w:spacing w:line="360" w:lineRule="auto"/>
        <w:ind w:firstLine="482" w:firstLineChars="200"/>
        <w:rPr>
          <w:rFonts w:hint="eastAsia" w:ascii="宋体" w:hAnsi="宋体" w:cs="宋体"/>
          <w:bCs/>
          <w:color w:val="auto"/>
          <w:kern w:val="2"/>
          <w:highlight w:val="none"/>
        </w:rPr>
      </w:pPr>
      <w:r>
        <w:rPr>
          <w:rFonts w:hint="eastAsia" w:ascii="宋体" w:hAnsi="宋体" w:cs="宋体"/>
          <w:b/>
          <w:color w:val="auto"/>
          <w:kern w:val="2"/>
          <w:highlight w:val="none"/>
        </w:rPr>
        <w:t>不可抗力：</w:t>
      </w:r>
      <w:r>
        <w:rPr>
          <w:rFonts w:hint="eastAsia" w:ascii="宋体" w:hAnsi="宋体" w:cs="宋体"/>
          <w:bCs/>
          <w:color w:val="auto"/>
          <w:kern w:val="2"/>
          <w:highlight w:val="none"/>
        </w:rPr>
        <w:t>指理财计划各方不能预见、不能避免且不能克服的客观情况，该事件妨碍、影响或延误任何一方依据相关理财计划文件履行其全面或部分义务。该事件包括但不限于:</w:t>
      </w:r>
    </w:p>
    <w:p>
      <w:pPr>
        <w:pStyle w:val="20"/>
        <w:adjustRightInd/>
        <w:spacing w:line="360" w:lineRule="auto"/>
        <w:ind w:firstLine="480" w:firstLineChars="200"/>
        <w:rPr>
          <w:bCs/>
          <w:highlight w:val="none"/>
        </w:rPr>
      </w:pPr>
      <w:r>
        <w:rPr>
          <w:rFonts w:hint="eastAsia" w:ascii="宋体" w:hAnsi="宋体" w:cs="宋体"/>
          <w:bCs/>
          <w:color w:val="auto"/>
          <w:kern w:val="2"/>
          <w:highlight w:val="none"/>
        </w:rPr>
        <w:t>（1）地震、台风、海啸、洪水、火灾、停电、瘟疫、突发公共卫生事件；</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（2）战争、政变、恐怖主义行动、骚乱、罢工；</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（3）新的适用法律或国家政策的颁布或实施、对原适用法律或国家政策的修改；</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（4）金融管理部门强制要求终止理财计划（该等强制要求不可归咎于任何一方）；</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（5）因理财计划各方和/或其关联方运营网络系统遭受黑客攻击、电信部门技术调整或故障等原因而造成的理财计划各方和/或其关联方之服务、营业的中断或者延迟。</w:t>
      </w:r>
    </w:p>
    <w:p>
      <w:pPr>
        <w:pStyle w:val="20"/>
        <w:numPr>
          <w:ilvl w:val="0"/>
          <w:numId w:val="9"/>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巨额赎回：</w:t>
      </w:r>
      <w:r>
        <w:rPr>
          <w:rFonts w:hint="eastAsia" w:ascii="宋体" w:hAnsi="宋体" w:cs="宋体"/>
          <w:bCs/>
          <w:color w:val="auto"/>
          <w:kern w:val="2"/>
          <w:highlight w:val="none"/>
        </w:rPr>
        <w:t>指理财计划的申购和赎回开放期内，理财计划任一开放日净赎回申请份额超过上一工作日日终理财计划总份额的10%，即为发生巨额赎回行为。</w:t>
      </w:r>
    </w:p>
    <w:p>
      <w:pPr>
        <w:pStyle w:val="20"/>
        <w:numPr>
          <w:ilvl w:val="0"/>
          <w:numId w:val="9"/>
        </w:numPr>
        <w:adjustRightInd/>
        <w:spacing w:line="360" w:lineRule="auto"/>
        <w:ind w:firstLine="482" w:firstLineChars="200"/>
        <w:rPr>
          <w:rFonts w:hint="eastAsia" w:ascii="宋体" w:hAnsi="宋体" w:cs="宋体"/>
          <w:b/>
          <w:bCs w:val="0"/>
          <w:color w:val="auto"/>
          <w:kern w:val="2"/>
          <w:highlight w:val="none"/>
        </w:rPr>
      </w:pPr>
      <w:r>
        <w:rPr>
          <w:rFonts w:hint="eastAsia" w:ascii="宋体" w:hAnsi="宋体" w:cs="宋体"/>
          <w:b/>
          <w:bCs w:val="0"/>
          <w:color w:val="auto"/>
          <w:kern w:val="2"/>
          <w:highlight w:val="none"/>
          <w:lang w:val="en-US" w:eastAsia="zh-CN"/>
        </w:rPr>
        <w:t>摆动定价机制：</w:t>
      </w:r>
      <w:r>
        <w:rPr>
          <w:rFonts w:hint="eastAsia" w:ascii="宋体" w:hAnsi="宋体" w:cs="宋体"/>
          <w:b w:val="0"/>
          <w:bCs/>
          <w:color w:val="auto"/>
          <w:kern w:val="2"/>
          <w:highlight w:val="none"/>
          <w:lang w:val="en-US" w:eastAsia="zh-CN"/>
        </w:rPr>
        <w:t>指当开放式公募理财计划遭遇大额申购或赎回时，通过调整理财计划份额净值的方式，将理财计划调整投资组合的市场冲击成本分配给实际认购、赎回的投资者，从而减少对存量理财计划份额持有人利益的不利影响。</w:t>
      </w:r>
    </w:p>
    <w:p>
      <w:pPr>
        <w:pStyle w:val="20"/>
        <w:numPr>
          <w:ilvl w:val="0"/>
          <w:numId w:val="9"/>
        </w:numPr>
        <w:adjustRightInd/>
        <w:spacing w:line="360" w:lineRule="auto"/>
        <w:ind w:firstLine="482" w:firstLineChars="200"/>
        <w:rPr>
          <w:rFonts w:hint="eastAsia" w:ascii="宋体" w:hAnsi="宋体" w:cs="宋体"/>
          <w:b/>
          <w:bCs w:val="0"/>
          <w:color w:val="auto"/>
          <w:kern w:val="2"/>
          <w:highlight w:val="none"/>
        </w:rPr>
      </w:pPr>
      <w:r>
        <w:rPr>
          <w:rFonts w:hint="eastAsia" w:ascii="宋体" w:hAnsi="宋体" w:cs="宋体"/>
          <w:b/>
          <w:bCs w:val="0"/>
          <w:color w:val="auto"/>
          <w:kern w:val="2"/>
          <w:highlight w:val="none"/>
          <w:lang w:val="en-US" w:eastAsia="zh-CN"/>
        </w:rPr>
        <w:t>短期赎回费机制：</w:t>
      </w:r>
      <w:r>
        <w:rPr>
          <w:rFonts w:hint="eastAsia" w:ascii="宋体" w:hAnsi="宋体" w:cs="宋体"/>
          <w:b w:val="0"/>
          <w:bCs/>
          <w:color w:val="auto"/>
          <w:kern w:val="2"/>
          <w:highlight w:val="none"/>
          <w:lang w:val="en-US" w:eastAsia="zh-CN"/>
        </w:rPr>
        <w:t>指当理财计划发生巨额赎回或管理人认为可能导致理财计划流动性风险的其他情形下，理财计划管理人可临时性收取短期赎回费以应对流动性风险事件，并将上述产生费用全额计入理财计划财产。</w:t>
      </w:r>
    </w:p>
    <w:p>
      <w:pPr>
        <w:pStyle w:val="20"/>
        <w:numPr>
          <w:ilvl w:val="0"/>
          <w:numId w:val="0"/>
        </w:numPr>
        <w:adjustRightInd/>
        <w:spacing w:line="360" w:lineRule="auto"/>
        <w:rPr>
          <w:rFonts w:hint="eastAsia" w:ascii="宋体" w:hAnsi="宋体" w:cs="宋体"/>
          <w:b/>
          <w:color w:val="auto"/>
          <w:kern w:val="2"/>
          <w:highlight w:val="none"/>
        </w:rPr>
      </w:pPr>
    </w:p>
    <w:p>
      <w:pPr>
        <w:pStyle w:val="20"/>
        <w:numPr>
          <w:ilvl w:val="0"/>
          <w:numId w:val="10"/>
        </w:numPr>
        <w:adjustRightInd/>
        <w:spacing w:line="360" w:lineRule="auto"/>
        <w:ind w:firstLine="482" w:firstLineChars="200"/>
        <w:outlineLvl w:val="1"/>
        <w:rPr>
          <w:rFonts w:hint="eastAsia" w:ascii="宋体" w:hAnsi="宋体" w:cs="宋体"/>
          <w:b/>
          <w:color w:val="auto"/>
          <w:kern w:val="2"/>
          <w:highlight w:val="none"/>
        </w:rPr>
      </w:pPr>
      <w:r>
        <w:rPr>
          <w:rFonts w:hint="eastAsia" w:ascii="宋体" w:hAnsi="宋体" w:cs="宋体"/>
          <w:b/>
          <w:color w:val="auto"/>
          <w:kern w:val="2"/>
          <w:highlight w:val="none"/>
        </w:rPr>
        <w:t>风险评级</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产品风险评级由管理人根据产品投资组合、投资运作情况、同类产品过往业绩和风险水平等因素合理确定。根据管理人内部风险评级标准，</w:t>
      </w:r>
      <w:r>
        <w:rPr>
          <w:rFonts w:hint="eastAsia" w:ascii="宋体" w:hAnsi="宋体" w:cs="宋体"/>
          <w:b/>
          <w:color w:val="auto"/>
          <w:kern w:val="2"/>
          <w:highlight w:val="none"/>
        </w:rPr>
        <w:t>本理财计划的风险等级为〖</w:t>
      </w:r>
      <w:r>
        <w:rPr>
          <w:rFonts w:hint="eastAsia" w:ascii="宋体" w:hAnsi="宋体" w:eastAsia="宋体" w:cs="宋体"/>
          <w:b/>
          <w:color w:val="auto"/>
          <w:kern w:val="2"/>
          <w:sz w:val="24"/>
          <w:szCs w:val="24"/>
          <w:highlight w:val="none"/>
          <w:lang w:val="en-US" w:eastAsia="zh-CN" w:bidi="ar-SA"/>
        </w:rPr>
        <w:t>R2</w:t>
      </w:r>
      <w:r>
        <w:rPr>
          <w:rFonts w:hint="eastAsia" w:ascii="宋体" w:hAnsi="宋体" w:cs="宋体"/>
          <w:b/>
          <w:color w:val="auto"/>
          <w:kern w:val="2"/>
          <w:highlight w:val="none"/>
        </w:rPr>
        <w:t>〗，〖</w:t>
      </w:r>
      <w:r>
        <w:rPr>
          <w:rFonts w:hint="eastAsia" w:ascii="宋体" w:hAnsi="宋体" w:eastAsia="宋体" w:cs="宋体"/>
          <w:b/>
          <w:color w:val="auto"/>
          <w:kern w:val="2"/>
          <w:sz w:val="24"/>
          <w:szCs w:val="24"/>
          <w:highlight w:val="none"/>
          <w:lang w:val="en-US" w:eastAsia="zh-CN" w:bidi="ar-SA"/>
        </w:rPr>
        <w:t>中低</w:t>
      </w:r>
      <w:r>
        <w:rPr>
          <w:rFonts w:hint="eastAsia" w:ascii="宋体" w:hAnsi="宋体" w:cs="宋体"/>
          <w:b/>
          <w:color w:val="auto"/>
          <w:kern w:val="2"/>
          <w:highlight w:val="none"/>
        </w:rPr>
        <w:t>〗风险。</w:t>
      </w:r>
      <w:r>
        <w:rPr>
          <w:rFonts w:hint="eastAsia" w:ascii="宋体" w:hAnsi="宋体" w:cs="宋体"/>
          <w:bCs/>
          <w:color w:val="auto"/>
          <w:kern w:val="2"/>
          <w:highlight w:val="none"/>
        </w:rPr>
        <w:t>该评级仅是管理人内部测评结果，仅供投资者参考，不具有任何法律约束力。</w:t>
      </w:r>
    </w:p>
    <w:tbl>
      <w:tblPr>
        <w:tblStyle w:val="11"/>
        <w:tblW w:w="7847"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10"/>
        <w:gridCol w:w="1382"/>
        <w:gridCol w:w="475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内部风险评级</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风险程度</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适合的投资者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R1</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低</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lang w:eastAsia="zh-CN"/>
              </w:rPr>
              <w:t>保守型、</w:t>
            </w:r>
            <w:r>
              <w:rPr>
                <w:rFonts w:hint="eastAsia" w:ascii="宋体" w:hAnsi="宋体" w:cs="宋体"/>
                <w:bCs/>
                <w:color w:val="auto"/>
                <w:kern w:val="2"/>
                <w:highlight w:val="none"/>
              </w:rPr>
              <w:t>稳健型</w:t>
            </w:r>
            <w:r>
              <w:rPr>
                <w:rFonts w:hint="eastAsia" w:ascii="宋体" w:hAnsi="宋体" w:cs="宋体"/>
                <w:bCs/>
                <w:color w:val="auto"/>
                <w:kern w:val="2"/>
                <w:highlight w:val="none"/>
                <w:lang w:eastAsia="zh-CN"/>
              </w:rPr>
              <w:t>、</w:t>
            </w:r>
            <w:r>
              <w:rPr>
                <w:rFonts w:hint="eastAsia" w:ascii="宋体" w:hAnsi="宋体" w:cs="宋体"/>
                <w:bCs/>
                <w:color w:val="auto"/>
                <w:kern w:val="2"/>
                <w:highlight w:val="none"/>
              </w:rPr>
              <w:t>平衡型</w:t>
            </w:r>
            <w:r>
              <w:rPr>
                <w:rFonts w:hint="eastAsia" w:ascii="宋体" w:hAnsi="宋体" w:cs="宋体"/>
                <w:bCs/>
                <w:color w:val="auto"/>
                <w:kern w:val="2"/>
                <w:highlight w:val="none"/>
                <w:lang w:eastAsia="zh-CN"/>
              </w:rPr>
              <w:t>、成长</w:t>
            </w:r>
            <w:r>
              <w:rPr>
                <w:rFonts w:hint="eastAsia" w:ascii="宋体" w:hAnsi="宋体" w:cs="宋体"/>
                <w:bCs/>
                <w:color w:val="auto"/>
                <w:kern w:val="2"/>
                <w:highlight w:val="none"/>
              </w:rPr>
              <w:t>型</w:t>
            </w:r>
            <w:r>
              <w:rPr>
                <w:rFonts w:hint="eastAsia" w:ascii="宋体" w:hAnsi="宋体" w:cs="宋体"/>
                <w:bCs/>
                <w:color w:val="auto"/>
                <w:kern w:val="2"/>
                <w:highlight w:val="none"/>
                <w:lang w:eastAsia="zh-CN"/>
              </w:rPr>
              <w:t>、进取</w:t>
            </w:r>
            <w:r>
              <w:rPr>
                <w:rFonts w:hint="eastAsia" w:ascii="宋体" w:hAnsi="宋体" w:cs="宋体"/>
                <w:bCs/>
                <w:color w:val="auto"/>
                <w:kern w:val="2"/>
                <w:highlight w:val="none"/>
              </w:rPr>
              <w:t>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R2</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中低</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稳健型</w:t>
            </w:r>
            <w:r>
              <w:rPr>
                <w:rFonts w:hint="eastAsia" w:ascii="宋体" w:hAnsi="宋体" w:cs="宋体"/>
                <w:bCs/>
                <w:color w:val="auto"/>
                <w:kern w:val="2"/>
                <w:highlight w:val="none"/>
                <w:lang w:eastAsia="zh-CN"/>
              </w:rPr>
              <w:t>、</w:t>
            </w:r>
            <w:r>
              <w:rPr>
                <w:rFonts w:hint="eastAsia" w:ascii="宋体" w:hAnsi="宋体" w:cs="宋体"/>
                <w:bCs/>
                <w:color w:val="auto"/>
                <w:kern w:val="2"/>
                <w:highlight w:val="none"/>
              </w:rPr>
              <w:t>平衡型</w:t>
            </w:r>
            <w:r>
              <w:rPr>
                <w:rFonts w:hint="eastAsia" w:ascii="宋体" w:hAnsi="宋体" w:cs="宋体"/>
                <w:bCs/>
                <w:color w:val="auto"/>
                <w:kern w:val="2"/>
                <w:highlight w:val="none"/>
                <w:lang w:eastAsia="zh-CN"/>
              </w:rPr>
              <w:t>、成长</w:t>
            </w:r>
            <w:r>
              <w:rPr>
                <w:rFonts w:hint="eastAsia" w:ascii="宋体" w:hAnsi="宋体" w:cs="宋体"/>
                <w:bCs/>
                <w:color w:val="auto"/>
                <w:kern w:val="2"/>
                <w:highlight w:val="none"/>
              </w:rPr>
              <w:t>型</w:t>
            </w:r>
            <w:r>
              <w:rPr>
                <w:rFonts w:hint="eastAsia" w:ascii="宋体" w:hAnsi="宋体" w:cs="宋体"/>
                <w:bCs/>
                <w:color w:val="auto"/>
                <w:kern w:val="2"/>
                <w:highlight w:val="none"/>
                <w:lang w:eastAsia="zh-CN"/>
              </w:rPr>
              <w:t>、进取型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R3</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中</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平衡型</w:t>
            </w:r>
            <w:r>
              <w:rPr>
                <w:rFonts w:hint="eastAsia" w:ascii="宋体" w:hAnsi="宋体" w:cs="宋体"/>
                <w:bCs/>
                <w:color w:val="auto"/>
                <w:kern w:val="2"/>
                <w:highlight w:val="none"/>
                <w:lang w:eastAsia="zh-CN"/>
              </w:rPr>
              <w:t>、成长型、进取型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R4</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中高</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lang w:eastAsia="zh-CN"/>
              </w:rPr>
              <w:t>成长型、进取型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R5</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高</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lang w:eastAsia="zh-CN"/>
              </w:rPr>
              <w:t>进取型</w:t>
            </w:r>
          </w:p>
        </w:tc>
      </w:tr>
    </w:tbl>
    <w:p>
      <w:pPr>
        <w:pStyle w:val="20"/>
        <w:adjustRightInd/>
        <w:spacing w:line="360" w:lineRule="auto"/>
        <w:ind w:firstLine="480" w:firstLineChars="200"/>
        <w:rPr>
          <w:rFonts w:hint="default" w:ascii="宋体" w:hAnsi="宋体" w:cs="宋体"/>
          <w:bCs/>
          <w:color w:val="auto"/>
          <w:kern w:val="2"/>
          <w:highlight w:val="none"/>
          <w:lang w:val="en-US" w:eastAsia="zh-CN"/>
        </w:rPr>
      </w:pPr>
      <w:r>
        <w:rPr>
          <w:rFonts w:hint="eastAsia" w:ascii="宋体" w:hAnsi="宋体" w:cs="宋体"/>
          <w:bCs/>
          <w:color w:val="auto"/>
          <w:kern w:val="2"/>
          <w:highlight w:val="none"/>
          <w:lang w:eastAsia="zh-CN"/>
        </w:rPr>
        <w:t>投资者风险承受能力评级水平以销售机构评估为准。</w:t>
      </w:r>
    </w:p>
    <w:p>
      <w:pPr>
        <w:pStyle w:val="20"/>
        <w:adjustRightInd/>
        <w:spacing w:line="360" w:lineRule="auto"/>
        <w:rPr>
          <w:rFonts w:hint="eastAsia" w:ascii="宋体" w:hAnsi="宋体" w:cs="宋体"/>
          <w:b/>
          <w:color w:val="auto"/>
          <w:kern w:val="2"/>
          <w:highlight w:val="none"/>
        </w:rPr>
      </w:pPr>
    </w:p>
    <w:p>
      <w:pPr>
        <w:pStyle w:val="20"/>
        <w:numPr>
          <w:ilvl w:val="0"/>
          <w:numId w:val="10"/>
        </w:numPr>
        <w:adjustRightInd/>
        <w:spacing w:line="360" w:lineRule="auto"/>
        <w:outlineLvl w:val="1"/>
        <w:rPr>
          <w:rFonts w:hint="eastAsia" w:ascii="宋体" w:hAnsi="宋体" w:cs="宋体"/>
          <w:b/>
          <w:color w:val="auto"/>
          <w:kern w:val="2"/>
          <w:highlight w:val="none"/>
        </w:rPr>
      </w:pPr>
      <w:r>
        <w:rPr>
          <w:rFonts w:hint="eastAsia" w:ascii="宋体" w:hAnsi="宋体" w:cs="宋体"/>
          <w:b/>
          <w:color w:val="auto"/>
          <w:kern w:val="2"/>
          <w:highlight w:val="none"/>
        </w:rPr>
        <w:t>产品要素</w:t>
      </w:r>
    </w:p>
    <w:tbl>
      <w:tblPr>
        <w:tblStyle w:val="11"/>
        <w:tblW w:w="8865" w:type="dxa"/>
        <w:tblInd w:w="-16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
      <w:tblGrid>
        <w:gridCol w:w="1680"/>
        <w:gridCol w:w="71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36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产品名称</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eastAsia="宋体" w:cs="宋体"/>
                <w:kern w:val="2"/>
                <w:sz w:val="21"/>
                <w:szCs w:val="21"/>
                <w:highlight w:val="none"/>
                <w:lang w:val="en-US" w:eastAsia="zh-CN" w:bidi="ar-SA"/>
              </w:rPr>
              <w:t>杭银理财幸福99半年添益2004期理财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0"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eastAsia="宋体" w:cs="宋体"/>
                <w:sz w:val="21"/>
                <w:szCs w:val="21"/>
                <w:highlight w:val="none"/>
                <w:lang w:eastAsia="zh-CN"/>
              </w:rPr>
            </w:pPr>
            <w:r>
              <w:rPr>
                <w:rFonts w:hint="eastAsia" w:ascii="宋体" w:hAnsi="宋体" w:cs="宋体"/>
                <w:sz w:val="21"/>
                <w:szCs w:val="21"/>
                <w:highlight w:val="none"/>
                <w:lang w:eastAsia="zh-CN"/>
              </w:rPr>
              <w:t>产品简称</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eastAsia="宋体" w:cs="宋体"/>
                <w:sz w:val="21"/>
                <w:szCs w:val="21"/>
                <w:highlight w:val="none"/>
                <w:lang w:val="en-US" w:eastAsia="zh-CN"/>
              </w:rPr>
            </w:pPr>
            <w:r>
              <w:rPr>
                <w:rFonts w:hint="eastAsia" w:ascii="宋体" w:hAnsi="宋体" w:eastAsia="宋体" w:cs="宋体"/>
                <w:kern w:val="2"/>
                <w:sz w:val="21"/>
                <w:szCs w:val="21"/>
                <w:highlight w:val="none"/>
                <w:lang w:val="en-US" w:eastAsia="zh-CN" w:bidi="ar-SA"/>
              </w:rPr>
              <w:t>半年添益2004期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0"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sz w:val="21"/>
                <w:szCs w:val="21"/>
                <w:highlight w:val="none"/>
              </w:rPr>
            </w:pPr>
            <w:r>
              <w:rPr>
                <w:rFonts w:hint="eastAsia" w:ascii="宋体" w:hAnsi="宋体" w:cs="宋体"/>
                <w:sz w:val="21"/>
                <w:szCs w:val="21"/>
                <w:highlight w:val="none"/>
              </w:rPr>
              <w:t>产品编号</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TYG6M2004</w:t>
            </w:r>
            <w:r>
              <w:rPr>
                <w:rFonts w:hint="eastAsia" w:ascii="宋体" w:hAnsi="宋体" w:cs="宋体"/>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881"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登记编码</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本理财计划在全国银行业理财信息登记系统的登记编码是〖</w:t>
            </w:r>
            <w:r>
              <w:rPr>
                <w:rFonts w:hint="eastAsia" w:ascii="宋体" w:hAnsi="宋体" w:eastAsia="宋体" w:cs="宋体"/>
                <w:color w:val="000000"/>
                <w:kern w:val="2"/>
                <w:sz w:val="21"/>
                <w:szCs w:val="21"/>
                <w:highlight w:val="none"/>
                <w:lang w:val="en-US" w:eastAsia="zh-CN" w:bidi="ar-SA"/>
              </w:rPr>
              <w:t>Z7002221000091</w:t>
            </w:r>
            <w:r>
              <w:rPr>
                <w:rFonts w:hint="eastAsia" w:ascii="宋体" w:hAnsi="宋体" w:cs="宋体"/>
                <w:color w:val="000000"/>
                <w:sz w:val="21"/>
                <w:szCs w:val="21"/>
                <w:highlight w:val="none"/>
              </w:rPr>
              <w:t>〗，投资者可依据该编码在“中国理财网（www.chinawealth.com.cn）”查询本理财计划信息。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451"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发行对象</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b/>
                <w:color w:val="000000"/>
                <w:sz w:val="21"/>
                <w:szCs w:val="21"/>
                <w:highlight w:val="none"/>
              </w:rPr>
            </w:pPr>
            <w:r>
              <w:rPr>
                <w:rFonts w:hint="eastAsia" w:ascii="宋体" w:hAnsi="宋体" w:cs="宋体"/>
                <w:color w:val="000000"/>
                <w:sz w:val="21"/>
                <w:szCs w:val="21"/>
                <w:highlight w:val="none"/>
              </w:rPr>
              <w:t>本理财计划适合</w:t>
            </w:r>
            <w:r>
              <w:rPr>
                <w:rFonts w:hint="eastAsia" w:ascii="宋体" w:hAnsi="宋体" w:eastAsia="宋体" w:cs="宋体"/>
                <w:b/>
                <w:bCs/>
                <w:color w:val="000000"/>
                <w:kern w:val="2"/>
                <w:sz w:val="21"/>
                <w:szCs w:val="21"/>
                <w:highlight w:val="none"/>
                <w:lang w:val="en-US" w:eastAsia="zh-CN" w:bidi="ar-SA"/>
              </w:rPr>
              <w:t>〖机构投资者〗以及〖稳健型、平衡型、成长型、进取型〗的个人投资者</w:t>
            </w:r>
            <w:r>
              <w:rPr>
                <w:rFonts w:hint="eastAsia" w:ascii="宋体" w:hAnsi="宋体" w:cs="宋体"/>
                <w:b/>
                <w:color w:val="000000"/>
                <w:sz w:val="21"/>
                <w:szCs w:val="21"/>
                <w:highlight w:val="none"/>
              </w:rPr>
              <w:t>。</w:t>
            </w:r>
            <w:r>
              <w:rPr>
                <w:rFonts w:hint="eastAsia" w:ascii="宋体" w:hAnsi="宋体" w:cs="宋体"/>
                <w:bCs/>
                <w:color w:val="auto"/>
                <w:kern w:val="2"/>
                <w:sz w:val="21"/>
                <w:szCs w:val="21"/>
                <w:highlight w:val="none"/>
                <w:lang w:eastAsia="zh-CN"/>
              </w:rPr>
              <w:t>投资者风险承受能力评级水平以销售机构评估为准。</w:t>
            </w:r>
          </w:p>
          <w:p>
            <w:pPr>
              <w:keepNext w:val="0"/>
              <w:keepLines w:val="0"/>
              <w:pageBreakBefore w:val="0"/>
              <w:suppressLineNumbers w:val="0"/>
              <w:spacing w:before="0" w:beforeAutospacing="0" w:after="0" w:afterAutospacing="0" w:line="360" w:lineRule="auto"/>
              <w:ind w:left="0" w:right="0" w:hanging="1"/>
              <w:jc w:val="left"/>
              <w:textAlignment w:val="auto"/>
              <w:rPr>
                <w:rFonts w:hint="default"/>
              </w:rPr>
            </w:pP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其中：</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A份额（销售代码〖TYG6M2004〗）：普通个人投资者和机构客户。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B份额（销售代码〖TYG6M2004B〗）：特定客群专属。</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W份额（销售代码〖TYG6M2004W〗）：其他代销机构。</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ZA份额（自动赎回）（销售代码〖TYG6M2004ZA〗）：普通个人投资者和机构客户。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ZM份额（销售名称：杭银理财幸福99半年添益2004期理财ZM款自动赎回（天府·优选））（销售代码〖TYG6M2004ZM〗）：普通个人投资者和机构客户。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0"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发行方式</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sz w:val="21"/>
                <w:szCs w:val="21"/>
                <w:highlight w:val="none"/>
              </w:rPr>
              <w:t>公募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产品类型</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固定收益类</w:t>
            </w:r>
            <w:r>
              <w:rPr>
                <w:rFonts w:hint="eastAsia" w:ascii="宋体" w:hAnsi="宋体" w:cs="宋体"/>
                <w:sz w:val="21"/>
                <w:szCs w:val="21"/>
                <w:highlight w:val="none"/>
              </w:rPr>
              <w:t>〗</w:t>
            </w:r>
            <w:r>
              <w:rPr>
                <w:rFonts w:hint="eastAsia" w:ascii="宋体" w:hAnsi="宋体" w:cs="宋体"/>
                <w:color w:val="000000"/>
                <w:sz w:val="21"/>
                <w:szCs w:val="21"/>
                <w:highlight w:val="none"/>
              </w:rPr>
              <w:t>类，非保本浮动收益型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30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运作模式</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color w:val="000000"/>
                <w:sz w:val="21"/>
                <w:szCs w:val="21"/>
                <w:highlight w:val="none"/>
              </w:rPr>
              <w:t>开放式净值型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21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lang w:val="en-US" w:eastAsia="zh-CN"/>
              </w:rPr>
              <w:t>分级产品</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sz w:val="21"/>
                <w:szCs w:val="21"/>
                <w:highlight w:val="none"/>
              </w:rPr>
            </w:pP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否</w:t>
            </w:r>
            <w:r>
              <w:rPr>
                <w:rFonts w:hint="eastAsia" w:ascii="宋体" w:hAnsi="宋体" w:cs="宋体"/>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21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销售范围</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sz w:val="21"/>
                <w:szCs w:val="21"/>
                <w:highlight w:val="none"/>
              </w:rPr>
              <w:t>〖</w:t>
            </w:r>
            <w:r>
              <w:rPr>
                <w:rFonts w:hint="eastAsia" w:ascii="宋体" w:hAnsi="宋体" w:cs="宋体"/>
                <w:color w:val="000000"/>
                <w:sz w:val="21"/>
                <w:szCs w:val="21"/>
                <w:highlight w:val="none"/>
              </w:rPr>
              <w:t>全国</w:t>
            </w:r>
            <w:r>
              <w:rPr>
                <w:rFonts w:hint="eastAsia" w:ascii="宋体" w:hAnsi="宋体" w:cs="宋体"/>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销售渠道</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jc w:val="left"/>
              <w:rPr>
                <w:rFonts w:hint="eastAsia" w:ascii="宋体" w:hAnsi="宋体" w:eastAsia="宋体" w:cs="宋体"/>
                <w:color w:val="000000"/>
                <w:sz w:val="21"/>
                <w:szCs w:val="21"/>
                <w:highlight w:val="none"/>
                <w:lang w:eastAsia="zh-CN"/>
              </w:rPr>
            </w:pPr>
            <w:r>
              <w:rPr>
                <w:rFonts w:hint="eastAsia" w:ascii="宋体" w:hAnsi="宋体" w:cs="宋体"/>
                <w:color w:val="000000"/>
                <w:sz w:val="21"/>
                <w:szCs w:val="21"/>
                <w:highlight w:val="none"/>
              </w:rPr>
              <w:t>可通过</w:t>
            </w:r>
            <w:r>
              <w:rPr>
                <w:rFonts w:hint="eastAsia" w:ascii="宋体" w:hAnsi="宋体" w:cs="宋体"/>
                <w:color w:val="000000"/>
                <w:sz w:val="21"/>
                <w:szCs w:val="21"/>
                <w:highlight w:val="none"/>
                <w:lang w:eastAsia="zh-CN"/>
              </w:rPr>
              <w:t>杭银理财直销渠道和代理</w:t>
            </w:r>
            <w:r>
              <w:rPr>
                <w:rFonts w:hint="eastAsia" w:ascii="宋体" w:hAnsi="宋体" w:cs="宋体"/>
                <w:color w:val="000000"/>
                <w:sz w:val="21"/>
                <w:szCs w:val="21"/>
                <w:highlight w:val="none"/>
              </w:rPr>
              <w:t>销售机构的〖营业网点、网上银行、手机银行〗等渠道购买</w:t>
            </w:r>
            <w:r>
              <w:rPr>
                <w:rFonts w:hint="eastAsia" w:ascii="宋体" w:hAnsi="宋体" w:cs="宋体"/>
                <w:color w:val="000000"/>
                <w:sz w:val="21"/>
                <w:szCs w:val="21"/>
                <w:highlight w:val="none"/>
                <w:lang w:eastAsia="zh-CN"/>
              </w:rPr>
              <w:t>，通过</w:t>
            </w:r>
            <w:r>
              <w:rPr>
                <w:rFonts w:hint="eastAsia" w:ascii="宋体" w:hAnsi="宋体" w:cs="宋体"/>
                <w:color w:val="000000"/>
                <w:sz w:val="21"/>
                <w:szCs w:val="21"/>
                <w:highlight w:val="none"/>
                <w:lang w:val="en-US" w:eastAsia="zh-CN"/>
              </w:rPr>
              <w:t>代理销售机构购买的，具体销售渠道以代理销售机构披露为准</w:t>
            </w:r>
            <w:r>
              <w:rPr>
                <w:rFonts w:hint="eastAsia" w:ascii="宋体" w:hAnsi="宋体" w:cs="宋体"/>
                <w:color w:val="000000"/>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交易币种</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人民币</w:t>
            </w:r>
            <w:r>
              <w:rPr>
                <w:rFonts w:hint="eastAsia" w:ascii="宋体" w:hAnsi="宋体" w:cs="宋体"/>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发行规模上限</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eastAsia="宋体" w:cs="宋体"/>
                <w:color w:val="000000"/>
                <w:kern w:val="2"/>
                <w:sz w:val="21"/>
                <w:szCs w:val="21"/>
                <w:highlight w:val="none"/>
                <w:lang w:val="en-US" w:eastAsia="zh-CN" w:bidi="ar-SA"/>
              </w:rPr>
              <w:t>〖100〗亿元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认购期</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2020</w:t>
            </w:r>
            <w:r>
              <w:rPr>
                <w:rFonts w:hint="eastAsia" w:ascii="宋体" w:hAnsi="宋体" w:cs="宋体"/>
                <w:color w:val="000000"/>
                <w:sz w:val="21"/>
                <w:szCs w:val="21"/>
                <w:highlight w:val="none"/>
              </w:rPr>
              <w:t>〗年〖</w:t>
            </w:r>
            <w:r>
              <w:rPr>
                <w:rFonts w:hint="eastAsia" w:ascii="宋体" w:hAnsi="宋体" w:eastAsia="宋体" w:cs="宋体"/>
                <w:color w:val="000000"/>
                <w:kern w:val="2"/>
                <w:sz w:val="21"/>
                <w:szCs w:val="21"/>
                <w:highlight w:val="none"/>
                <w:lang w:val="en-US" w:eastAsia="zh-CN" w:bidi="ar-SA"/>
              </w:rPr>
              <w:t>2</w:t>
            </w:r>
            <w:r>
              <w:rPr>
                <w:rFonts w:hint="eastAsia" w:ascii="宋体" w:hAnsi="宋体" w:cs="宋体"/>
                <w:color w:val="000000"/>
                <w:sz w:val="21"/>
                <w:szCs w:val="21"/>
                <w:highlight w:val="none"/>
              </w:rPr>
              <w:t>〗月〖</w:t>
            </w:r>
            <w:r>
              <w:rPr>
                <w:rFonts w:hint="eastAsia" w:ascii="宋体" w:hAnsi="宋体" w:eastAsia="宋体" w:cs="宋体"/>
                <w:color w:val="000000"/>
                <w:kern w:val="2"/>
                <w:sz w:val="21"/>
                <w:szCs w:val="21"/>
                <w:highlight w:val="none"/>
                <w:lang w:val="en-US" w:eastAsia="zh-CN" w:bidi="ar-SA"/>
              </w:rPr>
              <w:t>1</w:t>
            </w:r>
            <w:r>
              <w:rPr>
                <w:rFonts w:hint="eastAsia" w:ascii="宋体" w:hAnsi="宋体" w:cs="宋体"/>
                <w:color w:val="000000"/>
                <w:sz w:val="21"/>
                <w:szCs w:val="21"/>
                <w:highlight w:val="none"/>
              </w:rPr>
              <w:t>〗日-〖</w:t>
            </w:r>
            <w:r>
              <w:rPr>
                <w:rFonts w:hint="eastAsia" w:ascii="宋体" w:hAnsi="宋体" w:eastAsia="宋体" w:cs="宋体"/>
                <w:color w:val="000000"/>
                <w:kern w:val="2"/>
                <w:sz w:val="21"/>
                <w:szCs w:val="21"/>
                <w:highlight w:val="none"/>
                <w:lang w:val="en-US" w:eastAsia="zh-CN" w:bidi="ar-SA"/>
              </w:rPr>
              <w:t>2020</w:t>
            </w:r>
            <w:r>
              <w:rPr>
                <w:rFonts w:hint="eastAsia" w:ascii="宋体" w:hAnsi="宋体" w:cs="宋体"/>
                <w:color w:val="000000"/>
                <w:sz w:val="21"/>
                <w:szCs w:val="21"/>
                <w:highlight w:val="none"/>
              </w:rPr>
              <w:t>〗年〖</w:t>
            </w:r>
            <w:r>
              <w:rPr>
                <w:rFonts w:hint="eastAsia" w:ascii="宋体" w:hAnsi="宋体" w:eastAsia="宋体" w:cs="宋体"/>
                <w:color w:val="000000"/>
                <w:kern w:val="2"/>
                <w:sz w:val="21"/>
                <w:szCs w:val="21"/>
                <w:highlight w:val="none"/>
                <w:lang w:val="en-US" w:eastAsia="zh-CN" w:bidi="ar-SA"/>
              </w:rPr>
              <w:t>2</w:t>
            </w:r>
            <w:r>
              <w:rPr>
                <w:rFonts w:hint="eastAsia" w:ascii="宋体" w:hAnsi="宋体" w:cs="宋体"/>
                <w:color w:val="000000"/>
                <w:sz w:val="21"/>
                <w:szCs w:val="21"/>
                <w:highlight w:val="none"/>
              </w:rPr>
              <w:t>〗月〖</w:t>
            </w:r>
            <w:r>
              <w:rPr>
                <w:rFonts w:hint="eastAsia" w:ascii="宋体" w:hAnsi="宋体" w:eastAsia="宋体" w:cs="宋体"/>
                <w:color w:val="000000"/>
                <w:kern w:val="2"/>
                <w:sz w:val="21"/>
                <w:szCs w:val="21"/>
                <w:highlight w:val="none"/>
                <w:lang w:val="en-US" w:eastAsia="zh-CN" w:bidi="ar-SA"/>
              </w:rPr>
              <w:t>6</w:t>
            </w:r>
            <w:r>
              <w:rPr>
                <w:rFonts w:hint="eastAsia" w:ascii="宋体" w:hAnsi="宋体" w:cs="宋体"/>
                <w:color w:val="000000"/>
                <w:sz w:val="21"/>
                <w:szCs w:val="21"/>
                <w:highlight w:val="none"/>
              </w:rPr>
              <w:t>〗日</w:t>
            </w:r>
            <w:r>
              <w:rPr>
                <w:rFonts w:hint="eastAsia" w:ascii="宋体" w:hAnsi="宋体" w:cs="宋体"/>
                <w:color w:val="000000"/>
                <w:kern w:val="0"/>
                <w:sz w:val="21"/>
                <w:szCs w:val="21"/>
                <w:highlight w:val="none"/>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36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认购时间</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认购期首日〖9：00〗至认购结束日〖17：00〗</w:t>
            </w:r>
            <w:r>
              <w:rPr>
                <w:rFonts w:hint="eastAsia" w:ascii="宋体" w:hAnsi="宋体" w:cs="宋体"/>
                <w:color w:val="000000"/>
                <w:kern w:val="0"/>
                <w:sz w:val="21"/>
                <w:szCs w:val="21"/>
                <w:highlight w:val="none"/>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成立日</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2020</w:t>
            </w:r>
            <w:r>
              <w:rPr>
                <w:rFonts w:hint="eastAsia" w:ascii="宋体" w:hAnsi="宋体" w:cs="宋体"/>
                <w:color w:val="000000"/>
                <w:sz w:val="21"/>
                <w:szCs w:val="21"/>
                <w:highlight w:val="none"/>
              </w:rPr>
              <w:t>〗年〖</w:t>
            </w:r>
            <w:r>
              <w:rPr>
                <w:rFonts w:hint="eastAsia" w:ascii="宋体" w:hAnsi="宋体" w:eastAsia="宋体" w:cs="宋体"/>
                <w:color w:val="000000"/>
                <w:kern w:val="2"/>
                <w:sz w:val="21"/>
                <w:szCs w:val="21"/>
                <w:highlight w:val="none"/>
                <w:lang w:val="en-US" w:eastAsia="zh-CN" w:bidi="ar-SA"/>
              </w:rPr>
              <w:t>2</w:t>
            </w:r>
            <w:r>
              <w:rPr>
                <w:rFonts w:hint="eastAsia" w:ascii="宋体" w:hAnsi="宋体" w:cs="宋体"/>
                <w:color w:val="000000"/>
                <w:sz w:val="21"/>
                <w:szCs w:val="21"/>
                <w:highlight w:val="none"/>
              </w:rPr>
              <w:t>〗月〖</w:t>
            </w:r>
            <w:r>
              <w:rPr>
                <w:rFonts w:hint="eastAsia" w:ascii="宋体" w:hAnsi="宋体" w:eastAsia="宋体" w:cs="宋体"/>
                <w:color w:val="000000"/>
                <w:kern w:val="2"/>
                <w:sz w:val="21"/>
                <w:szCs w:val="21"/>
                <w:highlight w:val="none"/>
                <w:lang w:val="en-US" w:eastAsia="zh-CN" w:bidi="ar-SA"/>
              </w:rPr>
              <w:t>7</w:t>
            </w:r>
            <w:r>
              <w:rPr>
                <w:rFonts w:hint="eastAsia" w:ascii="宋体" w:hAnsi="宋体" w:cs="宋体"/>
                <w:color w:val="000000"/>
                <w:sz w:val="21"/>
                <w:szCs w:val="21"/>
                <w:highlight w:val="none"/>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理财期限</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lang w:val="en-US" w:eastAsia="zh-CN"/>
              </w:rPr>
              <w:t>无固定期限</w:t>
            </w:r>
            <w:r>
              <w:rPr>
                <w:rFonts w:hint="eastAsia" w:ascii="宋体" w:hAnsi="宋体" w:cs="宋体"/>
                <w:color w:val="000000"/>
                <w:sz w:val="21"/>
                <w:szCs w:val="21"/>
                <w:highlight w:val="none"/>
              </w:rPr>
              <w:t>（实际理财期限受制于管理人提前终止权等条款）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lang w:val="en-US" w:eastAsia="zh-CN"/>
              </w:rPr>
              <w:t>封闭期</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sz w:val="21"/>
                <w:szCs w:val="21"/>
                <w:highlight w:val="none"/>
              </w:rPr>
            </w:pPr>
            <w:r>
              <w:rPr>
                <w:rFonts w:hint="eastAsia" w:ascii="宋体" w:hAnsi="宋体" w:eastAsia="宋体" w:cs="宋体"/>
                <w:color w:val="000000"/>
                <w:kern w:val="2"/>
                <w:sz w:val="21"/>
                <w:szCs w:val="21"/>
                <w:highlight w:val="none"/>
                <w:lang w:val="en-US" w:eastAsia="zh-CN" w:bidi="ar-SA"/>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认购/申购</w:t>
            </w:r>
          </w:p>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起点金额</w:t>
            </w:r>
          </w:p>
        </w:tc>
        <w:tc>
          <w:tcPr>
            <w:tcW w:w="7185" w:type="dxa"/>
            <w:noWrap w:val="0"/>
            <w:vAlign w:val="center"/>
          </w:tcPr>
          <w:p>
            <w:pPr>
              <w:keepNext w:val="0"/>
              <w:keepLines w:val="0"/>
              <w:pageBreakBefore w:val="0"/>
              <w:suppressLineNumbers w:val="0"/>
              <w:spacing w:before="0" w:beforeAutospacing="0" w:after="0" w:afterAutospacing="0" w:line="360" w:lineRule="auto"/>
              <w:ind w:left="0" w:right="0" w:hanging="1"/>
              <w:jc w:val="left"/>
              <w:textAlignment w:val="auto"/>
              <w:rPr>
                <w:rFonts w:hint="default"/>
              </w:rPr>
            </w:pP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〖A份额〗起点〖1〗元整，超过认购/申购起点部分，应为〖1〗元的整数倍。</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〖B份额〗起点〖1〗元整，超过认购/申购起点部分，应为〖1〗元的整数倍。</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〖W份额〗起点〖1〗元整，超过认购/申购起点部分，应为〖1〗元的整数倍。</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〖ZA份额〗起点〖1〗元整，超过认购/申购起点部分，应为〖1〗元的整数倍。</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〖ZM份额〗起点〖1〗元整，超过认购/申购起点部分，应为〖1〗元的整数倍。</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kern w:val="0"/>
                <w:sz w:val="21"/>
                <w:szCs w:val="21"/>
                <w:highlight w:val="none"/>
              </w:rPr>
            </w:pPr>
            <w:r>
              <w:rPr>
                <w:rFonts w:hint="eastAsia" w:ascii="宋体" w:hAnsi="宋体" w:cs="宋体"/>
                <w:color w:val="000000"/>
                <w:kern w:val="0"/>
                <w:sz w:val="21"/>
                <w:szCs w:val="21"/>
                <w:highlight w:val="none"/>
              </w:rPr>
              <w:t>（具体以销售机构规定为准）</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投资者全部赎回不再持有本理财计划份额后再次申购，视同首次申购处理。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524"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认购份额</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color w:val="000000"/>
                <w:sz w:val="21"/>
                <w:szCs w:val="21"/>
                <w:highlight w:val="none"/>
              </w:rPr>
              <w:t>认购份额=认购金额</w:t>
            </w:r>
            <w:r>
              <w:rPr>
                <w:rFonts w:hint="eastAsia" w:ascii="宋体" w:hAnsi="宋体" w:cs="宋体"/>
                <w:bCs/>
                <w:color w:val="000000"/>
                <w:sz w:val="21"/>
                <w:szCs w:val="21"/>
                <w:highlight w:val="none"/>
              </w:rPr>
              <w:t>÷</w:t>
            </w:r>
            <w:r>
              <w:rPr>
                <w:rFonts w:hint="eastAsia" w:ascii="宋体" w:hAnsi="宋体" w:cs="宋体"/>
                <w:color w:val="000000"/>
                <w:sz w:val="21"/>
                <w:szCs w:val="21"/>
                <w:highlight w:val="none"/>
              </w:rPr>
              <w:t>1元。认购份额保留至0.01份理财产品份额，小数点后两位以下四舍五入。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产品成立</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为保护投资者利益，管理人可根据市场变化情况或法定节假日调整缩短或延长认购期并提前或推迟成立，理财计划提前或推迟成立时管理人将调整相关日期并进行信息披露。理财计划最终规模以实际认购规模为准。如果理财计划认购规模低于</w:t>
            </w:r>
            <w:r>
              <w:rPr>
                <w:rFonts w:hint="eastAsia" w:ascii="宋体" w:hAnsi="宋体" w:eastAsia="宋体" w:cs="宋体"/>
                <w:color w:val="000000"/>
                <w:kern w:val="2"/>
                <w:sz w:val="21"/>
                <w:szCs w:val="21"/>
                <w:highlight w:val="none"/>
                <w:lang w:val="en-US" w:eastAsia="zh-CN" w:bidi="ar-SA"/>
              </w:rPr>
              <w:t>〖2〗千万元</w:t>
            </w:r>
            <w:r>
              <w:rPr>
                <w:rFonts w:hint="eastAsia" w:ascii="宋体" w:hAnsi="宋体" w:cs="宋体"/>
                <w:color w:val="000000"/>
                <w:sz w:val="21"/>
                <w:szCs w:val="21"/>
                <w:highlight w:val="none"/>
              </w:rPr>
              <w:t>，则管理人可宣布本理财计划不成立并在原定理财计划成立日后</w:t>
            </w:r>
            <w:r>
              <w:rPr>
                <w:rFonts w:hint="eastAsia" w:ascii="宋体" w:hAnsi="宋体" w:cs="宋体"/>
                <w:sz w:val="21"/>
                <w:szCs w:val="21"/>
                <w:highlight w:val="none"/>
              </w:rPr>
              <w:t>〖</w:t>
            </w:r>
            <w:r>
              <w:rPr>
                <w:rFonts w:hint="eastAsia" w:ascii="宋体" w:hAnsi="宋体" w:cs="宋体"/>
                <w:color w:val="000000"/>
                <w:sz w:val="21"/>
                <w:szCs w:val="21"/>
                <w:highlight w:val="none"/>
              </w:rPr>
              <w:t>2</w:t>
            </w:r>
            <w:r>
              <w:rPr>
                <w:rFonts w:hint="eastAsia" w:ascii="宋体" w:hAnsi="宋体" w:cs="宋体"/>
                <w:sz w:val="21"/>
                <w:szCs w:val="21"/>
                <w:highlight w:val="none"/>
              </w:rPr>
              <w:t>〗</w:t>
            </w:r>
            <w:r>
              <w:rPr>
                <w:rFonts w:hint="eastAsia" w:ascii="宋体" w:hAnsi="宋体" w:cs="宋体"/>
                <w:color w:val="000000"/>
                <w:sz w:val="21"/>
                <w:szCs w:val="21"/>
                <w:highlight w:val="none"/>
              </w:rPr>
              <w:t>个工作日内通过管理人或销售机构发布不成立信息，投资者购买的理财资金将在原定成立日后2个工作日内划转至投资者指定理财账户，</w:t>
            </w:r>
            <w:r>
              <w:rPr>
                <w:rFonts w:hint="eastAsia" w:ascii="宋体" w:hAnsi="宋体" w:cs="宋体"/>
                <w:b/>
                <w:color w:val="000000"/>
                <w:sz w:val="21"/>
                <w:szCs w:val="21"/>
                <w:highlight w:val="none"/>
              </w:rPr>
              <w:t>该理财资金在原定成立日至资金到账日之间不计利息。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开放期</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eastAsia="宋体" w:cs="宋体"/>
                <w:color w:val="000000"/>
                <w:sz w:val="21"/>
                <w:szCs w:val="21"/>
                <w:highlight w:val="none"/>
                <w:lang w:val="en-US" w:eastAsia="zh-CN"/>
              </w:rPr>
            </w:pPr>
            <w:r>
              <w:rPr>
                <w:rFonts w:hint="eastAsia" w:ascii="宋体" w:hAnsi="宋体" w:cs="宋体"/>
                <w:color w:val="000000"/>
                <w:sz w:val="21"/>
                <w:szCs w:val="21"/>
                <w:highlight w:val="none"/>
              </w:rPr>
              <w:t>理财计划</w:t>
            </w: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每半年</w:t>
            </w:r>
            <w:r>
              <w:rPr>
                <w:rFonts w:hint="eastAsia" w:ascii="宋体" w:hAnsi="宋体" w:cs="宋体"/>
                <w:sz w:val="21"/>
                <w:szCs w:val="21"/>
                <w:highlight w:val="none"/>
              </w:rPr>
              <w:t>〗</w:t>
            </w:r>
            <w:r>
              <w:rPr>
                <w:rFonts w:hint="eastAsia" w:ascii="宋体" w:hAnsi="宋体" w:cs="宋体"/>
                <w:sz w:val="21"/>
                <w:szCs w:val="21"/>
                <w:highlight w:val="none"/>
                <w:lang w:val="en-US" w:eastAsia="zh-CN"/>
              </w:rPr>
              <w:t>开放一次，</w:t>
            </w:r>
            <w:r>
              <w:rPr>
                <w:rFonts w:hint="eastAsia" w:ascii="宋体" w:hAnsi="宋体" w:cs="宋体"/>
                <w:sz w:val="21"/>
                <w:szCs w:val="21"/>
                <w:highlight w:val="none"/>
              </w:rPr>
              <w:t>具体开放期将以管理人公告为准</w:t>
            </w:r>
            <w:r>
              <w:rPr>
                <w:rFonts w:hint="eastAsia" w:ascii="宋体" w:hAnsi="宋体" w:cs="宋体"/>
                <w:color w:val="000000"/>
                <w:sz w:val="21"/>
                <w:szCs w:val="21"/>
                <w:highlight w:val="none"/>
                <w:lang w:eastAsia="zh-CN"/>
              </w:rPr>
              <w:t>。</w:t>
            </w:r>
            <w:r>
              <w:rPr>
                <w:rFonts w:hint="eastAsia" w:ascii="宋体" w:hAnsi="宋体" w:cs="宋体"/>
                <w:color w:val="000000"/>
                <w:sz w:val="21"/>
                <w:szCs w:val="21"/>
                <w:highlight w:val="none"/>
                <w:lang w:val="en-US" w:eastAsia="zh-CN"/>
              </w:rPr>
              <w:t>如遇开放确认日为非工作日，则顺延至</w:t>
            </w:r>
            <w:r>
              <w:rPr>
                <w:rFonts w:hint="eastAsia" w:ascii="宋体" w:hAnsi="宋体" w:cs="宋体"/>
                <w:sz w:val="21"/>
                <w:szCs w:val="21"/>
                <w:highlight w:val="none"/>
              </w:rPr>
              <w:t>〖</w:t>
            </w:r>
            <w:r>
              <w:rPr>
                <w:rFonts w:hint="eastAsia" w:ascii="宋体" w:hAnsi="宋体" w:cs="宋体"/>
                <w:color w:val="000000"/>
                <w:sz w:val="21"/>
                <w:szCs w:val="21"/>
                <w:highlight w:val="none"/>
              </w:rPr>
              <w:t>下一</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sz w:val="21"/>
                <w:szCs w:val="21"/>
                <w:highlight w:val="none"/>
              </w:rPr>
              <w:t>〗</w:t>
            </w:r>
            <w:r>
              <w:rPr>
                <w:rFonts w:hint="eastAsia" w:ascii="宋体" w:hAnsi="宋体" w:cs="宋体"/>
                <w:color w:val="000000"/>
                <w:sz w:val="21"/>
                <w:szCs w:val="21"/>
                <w:highlight w:val="no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交易时间</w:t>
            </w:r>
          </w:p>
        </w:tc>
        <w:tc>
          <w:tcPr>
            <w:tcW w:w="7185" w:type="dxa"/>
            <w:noWrap w:val="0"/>
            <w:vAlign w:val="center"/>
          </w:tcPr>
          <w:p>
            <w:pPr>
              <w:keepNext w:val="0"/>
              <w:keepLines w:val="0"/>
              <w:widowControl w:val="0"/>
              <w:suppressLineNumbers w:val="0"/>
              <w:spacing w:before="0" w:beforeAutospacing="0" w:after="0" w:afterAutospacing="0" w:line="360" w:lineRule="auto"/>
              <w:ind w:left="0" w:right="0"/>
              <w:contextualSpacing/>
              <w:jc w:val="both"/>
              <w:rPr>
                <w:rFonts w:hint="default" w:ascii="宋体" w:hAnsi="宋体" w:cs="宋体"/>
                <w:color w:val="FF0000"/>
                <w:sz w:val="21"/>
                <w:szCs w:val="21"/>
                <w:highlight w:val="none"/>
              </w:rPr>
            </w:pPr>
            <w:r>
              <w:rPr>
                <w:rFonts w:hint="eastAsia" w:ascii="宋体" w:hAnsi="宋体" w:cs="宋体"/>
                <w:color w:val="000000"/>
                <w:sz w:val="21"/>
                <w:szCs w:val="21"/>
                <w:highlight w:val="none"/>
              </w:rPr>
              <w:t>1.本理财计划在每个开放期的开放日工作时间均可进行申购</w:t>
            </w:r>
            <w:r>
              <w:rPr>
                <w:rFonts w:hint="eastAsia" w:ascii="宋体" w:hAnsi="宋体" w:cs="宋体"/>
                <w:color w:val="000000"/>
                <w:sz w:val="21"/>
                <w:szCs w:val="21"/>
                <w:highlight w:val="none"/>
                <w:lang w:val="en-US" w:eastAsia="zh-CN"/>
              </w:rPr>
              <w:t>和赎回</w:t>
            </w:r>
            <w:r>
              <w:rPr>
                <w:rFonts w:hint="eastAsia" w:ascii="宋体" w:hAnsi="宋体" w:cs="宋体"/>
                <w:color w:val="000000"/>
                <w:sz w:val="21"/>
                <w:szCs w:val="21"/>
                <w:highlight w:val="none"/>
              </w:rPr>
              <w:t>，申购</w:t>
            </w:r>
            <w:r>
              <w:rPr>
                <w:rFonts w:hint="eastAsia" w:ascii="宋体" w:hAnsi="宋体" w:cs="宋体"/>
                <w:color w:val="000000"/>
                <w:sz w:val="21"/>
                <w:szCs w:val="21"/>
                <w:highlight w:val="none"/>
                <w:lang w:val="en-US" w:eastAsia="zh-CN"/>
              </w:rPr>
              <w:t>和赎回</w:t>
            </w:r>
            <w:r>
              <w:rPr>
                <w:rFonts w:hint="eastAsia" w:ascii="宋体" w:hAnsi="宋体" w:cs="宋体"/>
                <w:color w:val="000000"/>
                <w:sz w:val="21"/>
                <w:szCs w:val="21"/>
                <w:highlight w:val="none"/>
              </w:rPr>
              <w:t>申请将在确认日，即开放期后的第〖1〗个〖</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color w:val="000000"/>
                <w:sz w:val="21"/>
                <w:szCs w:val="21"/>
                <w:highlight w:val="none"/>
              </w:rPr>
              <w:t>〗</w:t>
            </w:r>
            <w:r>
              <w:rPr>
                <w:rFonts w:hint="eastAsia" w:ascii="宋体" w:hAnsi="宋体" w:cs="宋体"/>
                <w:bCs/>
                <w:color w:val="000000"/>
                <w:sz w:val="21"/>
                <w:szCs w:val="21"/>
                <w:highlight w:val="none"/>
              </w:rPr>
              <w:t>进行确认</w:t>
            </w:r>
            <w:r>
              <w:rPr>
                <w:rFonts w:hint="eastAsia" w:ascii="宋体" w:hAnsi="宋体" w:cs="宋体"/>
                <w:bCs/>
                <w:color w:val="000000"/>
                <w:sz w:val="21"/>
                <w:szCs w:val="21"/>
                <w:highlight w:val="none"/>
                <w:lang w:eastAsia="zh"/>
              </w:rPr>
              <w:t>，</w:t>
            </w:r>
            <w:r>
              <w:rPr>
                <w:rFonts w:hint="eastAsia" w:ascii="宋体" w:hAnsi="宋体" w:eastAsia="宋体" w:cs="宋体"/>
                <w:kern w:val="2"/>
                <w:sz w:val="21"/>
                <w:szCs w:val="21"/>
                <w:lang w:val="en-US" w:eastAsia="zh-CN" w:bidi="ar"/>
              </w:rPr>
              <w:t>（ZA、ZM份</w:t>
            </w:r>
            <w:r>
              <w:rPr>
                <w:rFonts w:hint="eastAsia" w:ascii="宋体" w:hAnsi="宋体" w:cs="宋体"/>
                <w:kern w:val="2"/>
                <w:sz w:val="21"/>
                <w:szCs w:val="21"/>
                <w:lang w:val="en-US" w:eastAsia="zh" w:bidi="ar"/>
              </w:rPr>
              <w:t>额无</w:t>
            </w:r>
            <w:r>
              <w:rPr>
                <w:rFonts w:hint="eastAsia" w:ascii="宋体" w:hAnsi="宋体" w:eastAsia="宋体" w:cs="宋体"/>
                <w:kern w:val="2"/>
                <w:sz w:val="21"/>
                <w:szCs w:val="21"/>
                <w:lang w:val="en-US" w:eastAsia="zh-CN" w:bidi="ar"/>
              </w:rPr>
              <w:t>需进行赎回申请，在每个投资周期结束日由系统自动为所有持仓投资者发起全部持有份额赎回申请，上一投资周期投资者的所有持仓份额不会进入下一个投资周期）</w:t>
            </w:r>
            <w:r>
              <w:rPr>
                <w:rFonts w:hint="eastAsia" w:ascii="宋体" w:hAnsi="宋体" w:cs="宋体"/>
                <w:bCs/>
                <w:color w:val="000000"/>
                <w:sz w:val="21"/>
                <w:szCs w:val="21"/>
                <w:highlight w:val="none"/>
              </w:rPr>
              <w:t>。</w:t>
            </w:r>
            <w:r>
              <w:rPr>
                <w:rFonts w:hint="eastAsia" w:ascii="宋体" w:hAnsi="宋体" w:cs="宋体"/>
                <w:color w:val="000000"/>
                <w:sz w:val="21"/>
                <w:szCs w:val="21"/>
                <w:highlight w:val="none"/>
              </w:rPr>
              <w:t>确认日如遇非〖</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color w:val="000000"/>
                <w:sz w:val="21"/>
                <w:szCs w:val="21"/>
                <w:highlight w:val="none"/>
              </w:rPr>
              <w:t>〗，则顺延至〖下一</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color w:val="000000"/>
                <w:sz w:val="21"/>
                <w:szCs w:val="21"/>
                <w:highlight w:val="none"/>
              </w:rPr>
              <w:t>〗。</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kern w:val="0"/>
                <w:sz w:val="21"/>
                <w:szCs w:val="21"/>
                <w:highlight w:val="none"/>
              </w:rPr>
            </w:pPr>
            <w:r>
              <w:rPr>
                <w:rFonts w:hint="eastAsia" w:ascii="宋体" w:hAnsi="宋体" w:cs="宋体"/>
                <w:color w:val="000000"/>
                <w:sz w:val="21"/>
                <w:szCs w:val="21"/>
                <w:highlight w:val="none"/>
                <w:lang w:val="en-US" w:eastAsia="zh-CN"/>
              </w:rPr>
              <w:t>2</w:t>
            </w:r>
            <w:r>
              <w:rPr>
                <w:rFonts w:hint="eastAsia" w:ascii="宋体" w:hAnsi="宋体" w:cs="宋体"/>
                <w:color w:val="000000"/>
                <w:sz w:val="21"/>
                <w:szCs w:val="21"/>
                <w:highlight w:val="none"/>
              </w:rPr>
              <w:t>.工作时间为每个</w:t>
            </w: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工作日</w:t>
            </w:r>
            <w:r>
              <w:rPr>
                <w:rFonts w:hint="eastAsia" w:ascii="宋体" w:hAnsi="宋体" w:cs="宋体"/>
                <w:sz w:val="21"/>
                <w:szCs w:val="21"/>
                <w:highlight w:val="none"/>
              </w:rPr>
              <w:t>〗</w:t>
            </w:r>
            <w:r>
              <w:rPr>
                <w:rFonts w:hint="eastAsia" w:ascii="宋体" w:hAnsi="宋体" w:cs="宋体"/>
                <w:color w:val="000000"/>
                <w:sz w:val="21"/>
                <w:szCs w:val="21"/>
                <w:highlight w:val="none"/>
              </w:rPr>
              <w:t>上午〖9:00〗至下午〖17:00〗。确认日如遇非</w:t>
            </w: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工作日</w:t>
            </w:r>
            <w:r>
              <w:rPr>
                <w:rFonts w:hint="eastAsia" w:ascii="宋体" w:hAnsi="宋体" w:cs="宋体"/>
                <w:sz w:val="21"/>
                <w:szCs w:val="21"/>
                <w:highlight w:val="none"/>
              </w:rPr>
              <w:t>〗</w:t>
            </w:r>
            <w:r>
              <w:rPr>
                <w:rFonts w:hint="eastAsia" w:ascii="宋体" w:hAnsi="宋体" w:cs="宋体"/>
                <w:color w:val="000000"/>
                <w:sz w:val="21"/>
                <w:szCs w:val="21"/>
                <w:highlight w:val="none"/>
              </w:rPr>
              <w:t>，则顺延至</w:t>
            </w:r>
            <w:r>
              <w:rPr>
                <w:rFonts w:hint="eastAsia" w:ascii="宋体" w:hAnsi="宋体" w:cs="宋体"/>
                <w:sz w:val="21"/>
                <w:szCs w:val="21"/>
                <w:highlight w:val="none"/>
              </w:rPr>
              <w:t>〖</w:t>
            </w:r>
            <w:r>
              <w:rPr>
                <w:rFonts w:hint="eastAsia" w:ascii="宋体" w:hAnsi="宋体" w:cs="宋体"/>
                <w:color w:val="000000"/>
                <w:sz w:val="21"/>
                <w:szCs w:val="21"/>
                <w:highlight w:val="none"/>
              </w:rPr>
              <w:t>下一</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sz w:val="21"/>
                <w:szCs w:val="21"/>
                <w:highlight w:val="none"/>
              </w:rPr>
              <w:t>〗</w:t>
            </w:r>
            <w:r>
              <w:rPr>
                <w:rFonts w:hint="eastAsia" w:ascii="宋体" w:hAnsi="宋体" w:cs="宋体"/>
                <w:color w:val="000000"/>
                <w:sz w:val="21"/>
                <w:szCs w:val="21"/>
                <w:highlight w:val="none"/>
              </w:rPr>
              <w:t>。</w:t>
            </w:r>
            <w:r>
              <w:rPr>
                <w:rFonts w:hint="eastAsia" w:ascii="宋体" w:hAnsi="宋体" w:cs="宋体"/>
                <w:color w:val="000000"/>
                <w:kern w:val="0"/>
                <w:sz w:val="21"/>
                <w:szCs w:val="21"/>
                <w:highlight w:val="none"/>
              </w:rPr>
              <w:t>（具体以销售机构规定为准）</w:t>
            </w:r>
          </w:p>
          <w:p>
            <w:pPr>
              <w:keepNext w:val="0"/>
              <w:keepLines w:val="0"/>
              <w:widowControl/>
              <w:suppressLineNumbers w:val="0"/>
              <w:spacing w:before="0" w:beforeAutospacing="0" w:after="0" w:afterAutospacing="0" w:line="360" w:lineRule="auto"/>
              <w:ind w:left="0" w:right="0"/>
              <w:contextualSpacing/>
              <w:rPr>
                <w:rFonts w:hint="default" w:ascii="宋体" w:hAnsi="宋体" w:eastAsia="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3.认购/开放期内提交的交易申请，在理财计划成立日/确认日前一日下午</w:t>
            </w:r>
            <w:r>
              <w:rPr>
                <w:rFonts w:hint="eastAsia" w:ascii="宋体" w:hAnsi="宋体" w:cs="宋体"/>
                <w:color w:val="000000"/>
                <w:sz w:val="21"/>
                <w:szCs w:val="21"/>
                <w:highlight w:val="none"/>
              </w:rPr>
              <w:t>〖17:00〗</w:t>
            </w:r>
            <w:r>
              <w:rPr>
                <w:rFonts w:hint="eastAsia" w:ascii="宋体" w:hAnsi="宋体" w:cs="宋体"/>
                <w:color w:val="000000"/>
                <w:kern w:val="0"/>
                <w:sz w:val="21"/>
                <w:szCs w:val="21"/>
                <w:highlight w:val="none"/>
                <w:lang w:val="en-US" w:eastAsia="zh-CN"/>
              </w:rPr>
              <w:t>之前可以撤单。</w:t>
            </w:r>
            <w:r>
              <w:rPr>
                <w:rFonts w:hint="eastAsia" w:ascii="宋体" w:hAnsi="宋体" w:cs="宋体"/>
                <w:color w:val="000000"/>
                <w:kern w:val="0"/>
                <w:sz w:val="21"/>
                <w:szCs w:val="21"/>
                <w:highlight w:val="none"/>
              </w:rPr>
              <w:t>（具体以销售机构规定为准）</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auto"/>
                <w:sz w:val="21"/>
                <w:szCs w:val="21"/>
                <w:highlight w:val="none"/>
                <w:lang w:val="en-US" w:eastAsia="zh-CN"/>
              </w:rPr>
            </w:pPr>
            <w:r>
              <w:rPr>
                <w:rFonts w:hint="eastAsia" w:ascii="宋体" w:hAnsi="宋体" w:cs="宋体"/>
                <w:bCs/>
                <w:color w:val="auto"/>
                <w:sz w:val="21"/>
                <w:szCs w:val="21"/>
                <w:highlight w:val="none"/>
                <w:lang w:val="en-US" w:eastAsia="zh-CN"/>
              </w:rPr>
              <w:t>4.上述交易安排如有调整，请以管理人公告为准。</w:t>
            </w:r>
          </w:p>
          <w:p>
            <w:pPr>
              <w:keepNext w:val="0"/>
              <w:keepLines w:val="0"/>
              <w:widowControl/>
              <w:suppressLineNumbers w:val="0"/>
              <w:spacing w:before="0" w:beforeAutospacing="0" w:after="0" w:afterAutospacing="0" w:line="360" w:lineRule="auto"/>
              <w:ind w:left="0" w:right="0"/>
              <w:contextualSpacing/>
              <w:rPr>
                <w:rFonts w:hint="default" w:ascii="宋体" w:hAnsi="宋体" w:cs="宋体"/>
                <w:bCs/>
                <w:color w:val="auto"/>
                <w:sz w:val="21"/>
                <w:szCs w:val="21"/>
                <w:highlight w:val="none"/>
                <w:lang w:val="en-US" w:eastAsia="zh-CN"/>
              </w:rPr>
            </w:pPr>
            <w:r>
              <w:rPr>
                <w:rFonts w:hint="eastAsia" w:ascii="宋体" w:hAnsi="宋体" w:cs="宋体"/>
                <w:bCs/>
                <w:color w:val="auto"/>
                <w:sz w:val="21"/>
                <w:szCs w:val="21"/>
                <w:highlight w:val="none"/>
                <w:lang w:val="en-US" w:eastAsia="zh-CN"/>
              </w:rPr>
              <w:t>5.如投资者在一个投资周期开放期内未提出赎回申请，则该投资周期终止后，投资者的理财资金继续进入下一个投资周期进行理财运作。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巨额赎回</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理财计划存续期内，若理财计划开放日净赎回申请份额超过上一日日终理财计划总份额</w:t>
            </w:r>
            <w:r>
              <w:rPr>
                <w:rFonts w:hint="eastAsia" w:ascii="宋体" w:hAnsi="宋体" w:cs="宋体"/>
                <w:sz w:val="21"/>
                <w:szCs w:val="21"/>
                <w:highlight w:val="none"/>
              </w:rPr>
              <w:t>〖</w:t>
            </w:r>
            <w:r>
              <w:rPr>
                <w:rFonts w:hint="eastAsia" w:ascii="宋体" w:hAnsi="宋体" w:cs="宋体"/>
                <w:color w:val="000000"/>
                <w:sz w:val="21"/>
                <w:szCs w:val="21"/>
                <w:highlight w:val="none"/>
              </w:rPr>
              <w:t>10%</w:t>
            </w:r>
            <w:r>
              <w:rPr>
                <w:rFonts w:hint="eastAsia" w:ascii="宋体" w:hAnsi="宋体" w:cs="宋体"/>
                <w:sz w:val="21"/>
                <w:szCs w:val="21"/>
                <w:highlight w:val="none"/>
              </w:rPr>
              <w:t>〗</w:t>
            </w:r>
            <w:r>
              <w:rPr>
                <w:rFonts w:hint="eastAsia" w:ascii="宋体" w:hAnsi="宋体" w:cs="宋体"/>
                <w:color w:val="000000"/>
                <w:sz w:val="21"/>
                <w:szCs w:val="21"/>
                <w:highlight w:val="none"/>
              </w:rPr>
              <w:t>时，管理人有权暂停或拒绝接受赎回申请，并最迟于下一工作日进行对外公告。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单户限额</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000000"/>
                <w:sz w:val="21"/>
                <w:szCs w:val="21"/>
                <w:highlight w:val="none"/>
              </w:rPr>
            </w:pPr>
            <w:r>
              <w:rPr>
                <w:rFonts w:hint="eastAsia" w:ascii="宋体" w:hAnsi="宋体" w:cs="宋体"/>
                <w:color w:val="000000"/>
                <w:sz w:val="21"/>
                <w:szCs w:val="21"/>
                <w:highlight w:val="none"/>
                <w:lang w:val="en-US" w:eastAsia="zh-CN"/>
              </w:rPr>
              <w:t>1.单户持有份额</w:t>
            </w:r>
            <w:r>
              <w:rPr>
                <w:rFonts w:hint="eastAsia" w:ascii="宋体" w:hAnsi="宋体" w:cs="宋体"/>
                <w:color w:val="000000"/>
                <w:sz w:val="21"/>
                <w:szCs w:val="21"/>
                <w:highlight w:val="none"/>
              </w:rPr>
              <w:t>〖</w:t>
            </w:r>
            <w:r>
              <w:rPr>
                <w:rFonts w:hint="eastAsia"/>
                <w:color w:val="000000"/>
                <w:lang w:eastAsia="zh"/>
              </w:rPr>
              <w:t>b</w:t>
            </w:r>
            <w:r>
              <w:rPr>
                <w:rFonts w:hint="eastAsia" w:ascii="宋体" w:hAnsi="宋体" w:cs="宋体"/>
                <w:color w:val="000000"/>
                <w:sz w:val="21"/>
                <w:szCs w:val="21"/>
                <w:highlight w:val="none"/>
              </w:rPr>
              <w:t>〗</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000000"/>
                <w:sz w:val="21"/>
                <w:szCs w:val="21"/>
                <w:highlight w:val="none"/>
                <w:lang w:val="en-US" w:eastAsia="zh-CN"/>
              </w:rPr>
            </w:pPr>
            <w:r>
              <w:rPr>
                <w:rFonts w:hint="eastAsia" w:ascii="宋体" w:hAnsi="宋体" w:cs="宋体"/>
                <w:bCs/>
                <w:color w:val="000000"/>
                <w:sz w:val="21"/>
                <w:szCs w:val="21"/>
                <w:highlight w:val="none"/>
                <w:lang w:val="en-US" w:eastAsia="zh-CN"/>
              </w:rPr>
              <w:t>a.可以超过理财计划总份额的50%，但理财计划不得向个人投资者公开销售。</w:t>
            </w:r>
          </w:p>
          <w:p>
            <w:pPr>
              <w:keepNext w:val="0"/>
              <w:keepLines w:val="0"/>
              <w:widowControl/>
              <w:suppressLineNumbers w:val="0"/>
              <w:spacing w:before="0" w:beforeAutospacing="0" w:after="0" w:afterAutospacing="0" w:line="360" w:lineRule="auto"/>
              <w:ind w:left="0" w:right="0"/>
              <w:contextualSpacing/>
              <w:rPr>
                <w:rFonts w:hint="default" w:ascii="宋体" w:hAnsi="宋体" w:cs="宋体"/>
                <w:bCs/>
                <w:color w:val="000000"/>
                <w:sz w:val="21"/>
                <w:szCs w:val="21"/>
                <w:highlight w:val="none"/>
                <w:lang w:val="en-US" w:eastAsia="zh-CN"/>
              </w:rPr>
            </w:pPr>
            <w:r>
              <w:rPr>
                <w:rFonts w:hint="eastAsia" w:ascii="宋体" w:hAnsi="宋体" w:cs="宋体"/>
                <w:bCs/>
                <w:color w:val="000000"/>
                <w:sz w:val="21"/>
                <w:szCs w:val="21"/>
                <w:highlight w:val="none"/>
                <w:lang w:val="en-US" w:eastAsia="zh-CN"/>
              </w:rPr>
              <w:t>b.不得超过理财计划总份额的50%。</w:t>
            </w:r>
          </w:p>
          <w:p>
            <w:pPr>
              <w:keepNext w:val="0"/>
              <w:keepLines w:val="0"/>
              <w:widowControl/>
              <w:suppressLineNumbers w:val="0"/>
              <w:spacing w:before="0" w:beforeAutospacing="0" w:after="0" w:afterAutospacing="0" w:line="360" w:lineRule="auto"/>
              <w:ind w:left="0" w:right="0"/>
              <w:contextualSpacing/>
              <w:rPr>
                <w:rFonts w:hint="eastAsia" w:ascii="宋体" w:hAnsi="宋体" w:eastAsia="宋体" w:cs="宋体"/>
                <w:kern w:val="2"/>
                <w:sz w:val="21"/>
                <w:szCs w:val="21"/>
                <w:highlight w:val="none"/>
                <w:lang w:val="en-US" w:eastAsia="zh" w:bidi="ar-SA"/>
              </w:rPr>
            </w:pPr>
            <w:r>
              <w:rPr>
                <w:rFonts w:hint="eastAsia" w:ascii="宋体" w:hAnsi="宋体" w:cs="宋体"/>
                <w:color w:val="000000"/>
                <w:sz w:val="21"/>
                <w:szCs w:val="21"/>
                <w:highlight w:val="none"/>
                <w:lang w:val="en-US" w:eastAsia="zh-CN"/>
              </w:rPr>
              <w:t>2.</w:t>
            </w:r>
            <w:r>
              <w:rPr>
                <w:rFonts w:hint="eastAsia" w:ascii="宋体" w:hAnsi="宋体" w:eastAsia="宋体" w:cs="宋体"/>
                <w:color w:val="000000"/>
                <w:kern w:val="2"/>
                <w:sz w:val="21"/>
                <w:szCs w:val="21"/>
                <w:highlight w:val="none"/>
                <w:lang w:val="en-US" w:eastAsia="zh-CN" w:bidi="ar-SA"/>
              </w:rPr>
              <w:t>〖A份额〗单户持有上限为〖1〗亿元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〖B份额〗单户持有上限为〖1〗亿元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〖W份额〗单户持有上限为〖1〗亿元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〖ZA份额〗单户持有上限为〖1〗亿元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〖ZM份额〗单户持有上限为〖1〗亿元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申购份额</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bCs/>
                <w:sz w:val="21"/>
                <w:szCs w:val="21"/>
                <w:highlight w:val="none"/>
              </w:rPr>
              <w:t>申购份额=申购金额</w:t>
            </w:r>
            <w:r>
              <w:rPr>
                <w:rFonts w:hint="eastAsia" w:ascii="宋体" w:hAnsi="宋体" w:cs="宋体"/>
                <w:bCs/>
                <w:color w:val="000000"/>
                <w:sz w:val="21"/>
                <w:szCs w:val="21"/>
                <w:highlight w:val="none"/>
              </w:rPr>
              <w:t>÷</w:t>
            </w:r>
            <w:r>
              <w:rPr>
                <w:rFonts w:hint="eastAsia" w:ascii="宋体" w:hAnsi="宋体" w:cs="宋体"/>
                <w:bCs/>
                <w:sz w:val="21"/>
                <w:szCs w:val="21"/>
                <w:highlight w:val="none"/>
              </w:rPr>
              <w:t>确认日</w:t>
            </w:r>
            <w:r>
              <w:rPr>
                <w:rFonts w:hint="eastAsia" w:ascii="宋体" w:hAnsi="宋体" w:cs="宋体"/>
                <w:bCs/>
                <w:sz w:val="21"/>
                <w:szCs w:val="21"/>
                <w:highlight w:val="none"/>
                <w:lang w:eastAsia="zh-CN"/>
              </w:rPr>
              <w:t>前一</w:t>
            </w: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工作日</w:t>
            </w:r>
            <w:r>
              <w:rPr>
                <w:rFonts w:hint="eastAsia" w:ascii="宋体" w:hAnsi="宋体" w:cs="宋体"/>
                <w:sz w:val="21"/>
                <w:szCs w:val="21"/>
                <w:highlight w:val="none"/>
              </w:rPr>
              <w:t>〗</w:t>
            </w:r>
            <w:r>
              <w:rPr>
                <w:rFonts w:hint="eastAsia" w:ascii="宋体" w:hAnsi="宋体" w:cs="宋体"/>
                <w:bCs/>
                <w:sz w:val="21"/>
                <w:szCs w:val="21"/>
                <w:highlight w:val="none"/>
              </w:rPr>
              <w:t>的单位净值。申购</w:t>
            </w:r>
            <w:r>
              <w:rPr>
                <w:rFonts w:hint="eastAsia" w:ascii="宋体" w:hAnsi="宋体" w:cs="宋体"/>
                <w:color w:val="000000"/>
                <w:sz w:val="21"/>
                <w:szCs w:val="21"/>
                <w:highlight w:val="none"/>
              </w:rPr>
              <w:t>份额保留至0.01份理财产品份额，小数点后两位以下四舍五入。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赎回金额</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color w:val="000000"/>
                <w:sz w:val="21"/>
                <w:szCs w:val="21"/>
                <w:highlight w:val="none"/>
              </w:rPr>
              <w:t>赎回金额=赎</w:t>
            </w:r>
            <w:r>
              <w:rPr>
                <w:rFonts w:hint="eastAsia" w:ascii="宋体" w:hAnsi="宋体" w:cs="宋体"/>
                <w:bCs/>
                <w:sz w:val="21"/>
                <w:szCs w:val="21"/>
                <w:highlight w:val="none"/>
              </w:rPr>
              <w:t>回份额×确认日</w:t>
            </w:r>
            <w:r>
              <w:rPr>
                <w:rFonts w:hint="eastAsia" w:ascii="宋体" w:hAnsi="宋体" w:cs="宋体"/>
                <w:bCs/>
                <w:sz w:val="21"/>
                <w:szCs w:val="21"/>
                <w:highlight w:val="none"/>
                <w:lang w:eastAsia="zh-CN"/>
              </w:rPr>
              <w:t>前一</w:t>
            </w: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工作日</w:t>
            </w:r>
            <w:r>
              <w:rPr>
                <w:rFonts w:hint="eastAsia" w:ascii="宋体" w:hAnsi="宋体" w:cs="宋体"/>
                <w:sz w:val="21"/>
                <w:szCs w:val="21"/>
                <w:highlight w:val="none"/>
              </w:rPr>
              <w:t>〗</w:t>
            </w:r>
            <w:r>
              <w:rPr>
                <w:rFonts w:hint="eastAsia" w:ascii="宋体" w:hAnsi="宋体" w:cs="宋体"/>
                <w:bCs/>
                <w:sz w:val="21"/>
                <w:szCs w:val="21"/>
                <w:highlight w:val="none"/>
              </w:rPr>
              <w:t>的单位净值。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单位净值</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eastAsia="宋体" w:cs="宋体"/>
                <w:color w:val="000000"/>
                <w:sz w:val="21"/>
                <w:szCs w:val="21"/>
                <w:highlight w:val="none"/>
                <w:lang w:eastAsia="zh"/>
              </w:rPr>
            </w:pPr>
            <w:r>
              <w:rPr>
                <w:rFonts w:hint="eastAsia" w:ascii="宋体" w:hAnsi="宋体" w:cs="宋体"/>
                <w:color w:val="000000"/>
                <w:sz w:val="21"/>
                <w:szCs w:val="21"/>
                <w:highlight w:val="none"/>
              </w:rPr>
              <w:t>单位净值=理财计划估值日理财计划总净值</w:t>
            </w:r>
            <w:r>
              <w:rPr>
                <w:rFonts w:hint="eastAsia" w:ascii="宋体" w:hAnsi="宋体" w:cs="宋体"/>
                <w:bCs/>
                <w:color w:val="000000"/>
                <w:sz w:val="21"/>
                <w:szCs w:val="21"/>
                <w:highlight w:val="none"/>
              </w:rPr>
              <w:t>÷</w:t>
            </w:r>
            <w:r>
              <w:rPr>
                <w:rFonts w:hint="eastAsia" w:ascii="宋体" w:hAnsi="宋体" w:cs="宋体"/>
                <w:color w:val="000000"/>
                <w:sz w:val="21"/>
                <w:szCs w:val="21"/>
                <w:highlight w:val="none"/>
              </w:rPr>
              <w:t>理财计划总份额，单位净值</w:t>
            </w:r>
            <w:r>
              <w:rPr>
                <w:rFonts w:hint="eastAsia" w:ascii="宋体" w:hAnsi="宋体" w:cs="宋体"/>
                <w:sz w:val="21"/>
                <w:szCs w:val="21"/>
                <w:highlight w:val="none"/>
              </w:rPr>
              <w:t>〖</w:t>
            </w:r>
            <w:r>
              <w:rPr>
                <w:rFonts w:hint="eastAsia" w:ascii="宋体" w:hAnsi="宋体" w:cs="宋体"/>
                <w:color w:val="000000"/>
                <w:sz w:val="21"/>
                <w:szCs w:val="21"/>
                <w:highlight w:val="none"/>
              </w:rPr>
              <w:t>保留小数点后四位</w:t>
            </w:r>
            <w:r>
              <w:rPr>
                <w:rFonts w:hint="eastAsia" w:ascii="宋体" w:hAnsi="宋体" w:cs="宋体"/>
                <w:sz w:val="21"/>
                <w:szCs w:val="21"/>
                <w:highlight w:val="none"/>
              </w:rPr>
              <w:t>〗</w:t>
            </w:r>
            <w:r>
              <w:rPr>
                <w:rFonts w:hint="eastAsia" w:ascii="宋体" w:hAnsi="宋体" w:cs="宋体"/>
                <w:color w:val="000000"/>
                <w:sz w:val="21"/>
                <w:szCs w:val="21"/>
                <w:highlight w:val="none"/>
                <w:lang w:val="en-US" w:eastAsia="zh-CN"/>
              </w:rPr>
              <w:t>,</w:t>
            </w:r>
            <w:r>
              <w:rPr>
                <w:rFonts w:hint="eastAsia" w:ascii="宋体" w:hAnsi="宋体" w:cs="宋体"/>
                <w:color w:val="000000"/>
                <w:sz w:val="21"/>
                <w:szCs w:val="21"/>
                <w:highlight w:val="none"/>
              </w:rPr>
              <w:t>〖</w:t>
            </w:r>
            <w:r>
              <w:rPr>
                <w:rFonts w:hint="eastAsia" w:ascii="宋体" w:hAnsi="宋体" w:cs="宋体"/>
                <w:color w:val="000000"/>
                <w:sz w:val="21"/>
                <w:szCs w:val="21"/>
                <w:highlight w:val="none"/>
                <w:lang w:eastAsia="zh-CN"/>
              </w:rPr>
              <w:t>四位后去尾</w:t>
            </w:r>
            <w:r>
              <w:rPr>
                <w:rFonts w:hint="eastAsia" w:ascii="宋体" w:hAnsi="宋体" w:cs="宋体"/>
                <w:color w:val="000000"/>
                <w:sz w:val="21"/>
                <w:szCs w:val="21"/>
                <w:highlight w:val="none"/>
              </w:rPr>
              <w:t>〗</w:t>
            </w:r>
            <w:r>
              <w:rPr>
                <w:rFonts w:hint="eastAsia" w:ascii="宋体" w:hAnsi="宋体" w:cs="宋体"/>
                <w:color w:val="000000"/>
                <w:sz w:val="21"/>
                <w:szCs w:val="21"/>
                <w:highlight w:val="none"/>
                <w:lang w:eastAsia="zh"/>
              </w:rPr>
              <w:t>。</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
                <w:color w:val="000000"/>
                <w:sz w:val="21"/>
                <w:szCs w:val="21"/>
                <w:highlight w:val="none"/>
              </w:rPr>
            </w:pPr>
            <w:r>
              <w:rPr>
                <w:rFonts w:hint="eastAsia" w:ascii="宋体" w:hAnsi="宋体" w:cs="宋体"/>
                <w:color w:val="000000"/>
                <w:sz w:val="21"/>
                <w:szCs w:val="21"/>
                <w:highlight w:val="none"/>
              </w:rPr>
              <w:t>理财计划总净值=理财计划认购总额+理财计划所获总收益-理财计划总费用（包括但不限于</w:t>
            </w:r>
            <w:r>
              <w:rPr>
                <w:rFonts w:hint="eastAsia" w:ascii="宋体" w:hAnsi="宋体" w:cs="宋体"/>
                <w:color w:val="000000"/>
                <w:sz w:val="21"/>
                <w:szCs w:val="21"/>
                <w:highlight w:val="none"/>
                <w:lang w:val="en-US" w:eastAsia="zh-CN"/>
              </w:rPr>
              <w:t>固定</w:t>
            </w:r>
            <w:r>
              <w:rPr>
                <w:rFonts w:hint="eastAsia" w:ascii="宋体" w:hAnsi="宋体" w:cs="宋体"/>
                <w:color w:val="000000"/>
                <w:sz w:val="21"/>
                <w:szCs w:val="21"/>
                <w:highlight w:val="none"/>
              </w:rPr>
              <w:t>管理费、托管费、</w:t>
            </w:r>
            <w:r>
              <w:rPr>
                <w:rFonts w:hint="eastAsia" w:ascii="宋体" w:hAnsi="宋体" w:cs="宋体"/>
                <w:color w:val="000000"/>
                <w:sz w:val="21"/>
                <w:szCs w:val="21"/>
                <w:highlight w:val="none"/>
                <w:lang w:eastAsia="zh-CN"/>
              </w:rPr>
              <w:t>销售服务费、</w:t>
            </w:r>
            <w:r>
              <w:rPr>
                <w:rFonts w:hint="eastAsia" w:ascii="宋体" w:hAnsi="宋体" w:cs="宋体"/>
                <w:color w:val="000000"/>
                <w:sz w:val="21"/>
                <w:szCs w:val="21"/>
                <w:highlight w:val="none"/>
                <w:lang w:val="en-US" w:eastAsia="zh-CN"/>
              </w:rPr>
              <w:t>浮动管理费（如有）</w:t>
            </w:r>
            <w:r>
              <w:rPr>
                <w:rFonts w:hint="eastAsia" w:ascii="宋体" w:hAnsi="宋体" w:cs="宋体"/>
                <w:color w:val="000000"/>
                <w:sz w:val="21"/>
                <w:szCs w:val="21"/>
                <w:highlight w:val="none"/>
              </w:rPr>
              <w:t>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资金与收益支付方式</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color w:val="000000"/>
                <w:sz w:val="21"/>
                <w:szCs w:val="21"/>
                <w:highlight w:val="none"/>
              </w:rPr>
              <w:t>1.赎回资金确认后，最快</w:t>
            </w:r>
            <w:r>
              <w:rPr>
                <w:rFonts w:hint="eastAsia" w:ascii="宋体" w:hAnsi="宋体" w:eastAsia="宋体" w:cs="宋体"/>
                <w:color w:val="000000"/>
                <w:kern w:val="2"/>
                <w:sz w:val="21"/>
                <w:szCs w:val="21"/>
                <w:highlight w:val="none"/>
                <w:lang w:val="en-US" w:eastAsia="zh-CN" w:bidi="ar-SA"/>
              </w:rPr>
              <w:t>〖确认日当日〗</w:t>
            </w:r>
            <w:r>
              <w:rPr>
                <w:rFonts w:hint="eastAsia" w:ascii="宋体" w:hAnsi="宋体" w:cs="宋体"/>
                <w:color w:val="000000"/>
                <w:sz w:val="21"/>
                <w:szCs w:val="21"/>
                <w:highlight w:val="none"/>
              </w:rPr>
              <w:t>，最晚</w:t>
            </w:r>
            <w:r>
              <w:rPr>
                <w:rFonts w:hint="eastAsia" w:ascii="宋体" w:hAnsi="宋体" w:eastAsia="宋体" w:cs="宋体"/>
                <w:color w:val="000000"/>
                <w:kern w:val="2"/>
                <w:sz w:val="21"/>
                <w:szCs w:val="21"/>
                <w:highlight w:val="none"/>
                <w:lang w:val="en-US" w:eastAsia="zh-CN" w:bidi="ar-SA"/>
              </w:rPr>
              <w:t>确认日后〖2〗个〖工作日〗内</w:t>
            </w:r>
            <w:r>
              <w:rPr>
                <w:rFonts w:hint="eastAsia" w:ascii="宋体" w:hAnsi="宋体" w:cs="宋体"/>
                <w:color w:val="000000"/>
                <w:sz w:val="21"/>
                <w:szCs w:val="21"/>
                <w:highlight w:val="none"/>
              </w:rPr>
              <w:t>（遇节假日顺延）支付。如遇资金在途或法定工作日调整，实际资金到账日以公告为准。</w:t>
            </w:r>
            <w:r>
              <w:rPr>
                <w:rFonts w:hint="eastAsia" w:ascii="宋体" w:hAnsi="宋体" w:cs="宋体"/>
                <w:color w:val="000000"/>
                <w:kern w:val="0"/>
                <w:sz w:val="21"/>
                <w:szCs w:val="21"/>
                <w:highlight w:val="none"/>
              </w:rPr>
              <w:t>（具体以销售机构规定为准）</w:t>
            </w:r>
          </w:p>
          <w:p>
            <w:pPr>
              <w:keepNext w:val="0"/>
              <w:keepLines w:val="0"/>
              <w:widowControl w:val="0"/>
              <w:suppressLineNumbers w:val="0"/>
              <w:spacing w:before="0" w:beforeAutospacing="0" w:after="0" w:afterAutospacing="0" w:line="360" w:lineRule="auto"/>
              <w:ind w:left="0" w:right="0"/>
              <w:contextualSpacing/>
              <w:jc w:val="both"/>
              <w:rPr>
                <w:rFonts w:hint="eastAsia" w:ascii="宋体" w:hAnsi="宋体" w:cs="宋体"/>
                <w:color w:val="000000"/>
                <w:sz w:val="21"/>
                <w:szCs w:val="21"/>
                <w:highlight w:val="none"/>
              </w:rPr>
            </w:pPr>
            <w:r>
              <w:rPr>
                <w:rFonts w:hint="eastAsia" w:ascii="宋体" w:hAnsi="宋体" w:cs="宋体"/>
                <w:color w:val="000000"/>
                <w:sz w:val="21"/>
                <w:szCs w:val="21"/>
                <w:highlight w:val="none"/>
              </w:rPr>
              <w:t>2.理财计划到期</w:t>
            </w:r>
            <w:r>
              <w:rPr>
                <w:rFonts w:hint="eastAsia" w:ascii="宋体" w:hAnsi="宋体" w:cs="宋体"/>
                <w:color w:val="000000"/>
                <w:sz w:val="21"/>
                <w:szCs w:val="21"/>
                <w:highlight w:val="none"/>
                <w:lang w:eastAsia="zh-CN"/>
              </w:rPr>
              <w:t>确认</w:t>
            </w:r>
            <w:r>
              <w:rPr>
                <w:rFonts w:hint="eastAsia" w:ascii="宋体" w:hAnsi="宋体" w:cs="宋体"/>
                <w:color w:val="000000"/>
                <w:sz w:val="21"/>
                <w:szCs w:val="21"/>
                <w:highlight w:val="none"/>
              </w:rPr>
              <w:t>后，最快</w:t>
            </w:r>
            <w:r>
              <w:rPr>
                <w:rFonts w:hint="eastAsia" w:ascii="宋体" w:hAnsi="宋体" w:eastAsia="宋体" w:cs="宋体"/>
                <w:kern w:val="2"/>
                <w:sz w:val="21"/>
                <w:szCs w:val="21"/>
                <w:lang w:val="en-US" w:eastAsia="zh-CN" w:bidi="ar"/>
              </w:rPr>
              <w:t>〖1〗</w:t>
            </w:r>
            <w:r>
              <w:rPr>
                <w:rFonts w:hint="eastAsia" w:ascii="宋体" w:hAnsi="宋体" w:eastAsia="宋体" w:cs="宋体"/>
                <w:color w:val="000000"/>
                <w:kern w:val="2"/>
                <w:sz w:val="21"/>
                <w:szCs w:val="21"/>
                <w:lang w:val="en-US" w:eastAsia="zh-CN" w:bidi="ar"/>
              </w:rPr>
              <w:t>个</w:t>
            </w:r>
            <w:r>
              <w:rPr>
                <w:rFonts w:hint="eastAsia" w:ascii="宋体" w:hAnsi="宋体" w:eastAsia="宋体" w:cs="宋体"/>
                <w:kern w:val="2"/>
                <w:sz w:val="21"/>
                <w:szCs w:val="21"/>
                <w:lang w:val="en-US" w:eastAsia="zh-CN" w:bidi="ar"/>
              </w:rPr>
              <w:t>〖工作日〗</w:t>
            </w:r>
            <w:r>
              <w:rPr>
                <w:rFonts w:hint="eastAsia" w:ascii="宋体" w:hAnsi="宋体" w:cs="宋体"/>
                <w:color w:val="000000"/>
                <w:sz w:val="21"/>
                <w:szCs w:val="21"/>
                <w:highlight w:val="none"/>
              </w:rPr>
              <w:t>，最晚</w:t>
            </w:r>
            <w:r>
              <w:rPr>
                <w:rFonts w:hint="eastAsia" w:ascii="宋体" w:hAnsi="宋体" w:eastAsia="宋体" w:cs="宋体"/>
                <w:kern w:val="2"/>
                <w:sz w:val="21"/>
                <w:szCs w:val="21"/>
                <w:lang w:val="en-US" w:eastAsia="zh-CN" w:bidi="ar"/>
              </w:rPr>
              <w:t>〖3〗</w:t>
            </w:r>
            <w:r>
              <w:rPr>
                <w:rFonts w:hint="eastAsia" w:ascii="宋体" w:hAnsi="宋体" w:eastAsia="宋体" w:cs="宋体"/>
                <w:color w:val="000000"/>
                <w:kern w:val="2"/>
                <w:sz w:val="21"/>
                <w:szCs w:val="21"/>
                <w:lang w:val="en-US" w:eastAsia="zh-CN" w:bidi="ar"/>
              </w:rPr>
              <w:t>个</w:t>
            </w:r>
            <w:r>
              <w:rPr>
                <w:rFonts w:hint="eastAsia" w:ascii="宋体" w:hAnsi="宋体" w:eastAsia="宋体" w:cs="宋体"/>
                <w:kern w:val="2"/>
                <w:sz w:val="21"/>
                <w:szCs w:val="21"/>
                <w:lang w:val="en-US" w:eastAsia="zh-CN" w:bidi="ar"/>
              </w:rPr>
              <w:t>〖工作日〗</w:t>
            </w:r>
            <w:r>
              <w:rPr>
                <w:rFonts w:hint="eastAsia" w:ascii="宋体" w:hAnsi="宋体" w:cs="宋体"/>
                <w:color w:val="000000"/>
                <w:sz w:val="21"/>
                <w:szCs w:val="21"/>
                <w:highlight w:val="none"/>
              </w:rPr>
              <w:t>内（遇节假日顺延）支付。如遇资金在途或法定工作日调整，实际资金到账日以公告为准。</w:t>
            </w:r>
            <w:r>
              <w:rPr>
                <w:rFonts w:hint="eastAsia" w:ascii="宋体" w:hAnsi="宋体" w:cs="宋体"/>
                <w:color w:val="000000"/>
                <w:kern w:val="0"/>
                <w:sz w:val="21"/>
                <w:szCs w:val="21"/>
                <w:highlight w:val="none"/>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收益分配</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b/>
                <w:sz w:val="21"/>
                <w:szCs w:val="21"/>
                <w:highlight w:val="none"/>
              </w:rPr>
            </w:pPr>
            <w:r>
              <w:rPr>
                <w:rFonts w:hint="eastAsia" w:ascii="宋体" w:hAnsi="宋体" w:cs="宋体"/>
                <w:color w:val="000000"/>
                <w:sz w:val="21"/>
                <w:szCs w:val="21"/>
                <w:highlight w:val="none"/>
              </w:rPr>
              <w:t>在满足收益分配基准日理财计划份额净值大于1元的情况下，管理人将</w:t>
            </w:r>
            <w:r>
              <w:rPr>
                <w:rFonts w:hint="eastAsia" w:ascii="宋体" w:hAnsi="宋体" w:cs="宋体"/>
                <w:sz w:val="21"/>
                <w:szCs w:val="21"/>
                <w:highlight w:val="none"/>
              </w:rPr>
              <w:t>〖</w:t>
            </w:r>
            <w:r>
              <w:rPr>
                <w:rFonts w:hint="eastAsia" w:ascii="宋体" w:hAnsi="宋体" w:cs="宋体"/>
                <w:color w:val="000000"/>
                <w:sz w:val="21"/>
                <w:szCs w:val="21"/>
                <w:highlight w:val="none"/>
                <w:lang w:eastAsia="zh"/>
              </w:rPr>
              <w:t>不</w:t>
            </w:r>
            <w:r>
              <w:rPr>
                <w:rFonts w:hint="eastAsia" w:ascii="宋体" w:hAnsi="宋体" w:cs="宋体"/>
                <w:color w:val="000000"/>
                <w:sz w:val="21"/>
                <w:szCs w:val="21"/>
                <w:highlight w:val="none"/>
              </w:rPr>
              <w:t>定期</w:t>
            </w:r>
            <w:r>
              <w:rPr>
                <w:rFonts w:hint="eastAsia" w:ascii="宋体" w:hAnsi="宋体" w:cs="宋体"/>
                <w:sz w:val="21"/>
                <w:szCs w:val="21"/>
                <w:highlight w:val="none"/>
              </w:rPr>
              <w:t>〗</w:t>
            </w:r>
            <w:r>
              <w:rPr>
                <w:rFonts w:hint="eastAsia" w:ascii="宋体" w:hAnsi="宋体" w:cs="宋体"/>
                <w:color w:val="000000"/>
                <w:sz w:val="21"/>
                <w:szCs w:val="21"/>
                <w:highlight w:val="none"/>
              </w:rPr>
              <w:t>将大于1元部分的收益进行全部或部分收益分配，具体分配方案以管理人公告为准。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业绩比较基准</w:t>
            </w:r>
          </w:p>
        </w:tc>
        <w:tc>
          <w:tcPr>
            <w:tcW w:w="7185" w:type="dxa"/>
            <w:noWrap w:val="0"/>
            <w:vAlign w:val="center"/>
          </w:tcPr>
          <w:p>
            <w:pPr>
              <w:keepNext w:val="0"/>
              <w:keepLines w:val="0"/>
              <w:pageBreakBefore w:val="0"/>
              <w:suppressLineNumbers w:val="0"/>
              <w:spacing w:before="0" w:beforeAutospacing="0" w:after="0" w:afterAutospacing="0" w:line="360" w:lineRule="auto"/>
              <w:ind w:left="0" w:right="0" w:hanging="1"/>
              <w:jc w:val="left"/>
              <w:textAlignment w:val="auto"/>
              <w:rPr>
                <w:rFonts w:hint="default"/>
              </w:rPr>
            </w:pPr>
            <w:r>
              <w:rPr>
                <w:rFonts w:hint="default" w:ascii="宋体" w:hAnsi="宋体" w:eastAsia="宋体" w:cs="宋体"/>
                <w:b/>
                <w:i w:val="0"/>
                <w:caps w:val="0"/>
                <w:strike w:val="0"/>
                <w:dstrike w:val="0"/>
                <w:shadow w:val="0"/>
                <w:emboss w:val="0"/>
                <w:imprint w:val="0"/>
                <w:color w:val="auto"/>
                <w:kern w:val="2"/>
                <w:position w:val="-1"/>
                <w:sz w:val="21"/>
                <w:u w:val="none"/>
                <w:vertAlign w:val="baseline"/>
              </w:rPr>
              <w:t>本理财计划〖A份额〗业绩比较基准为〖中国人民银行公布的1年期定期存款利率+0.1%〗（年化）。</w:t>
            </w:r>
            <w:r>
              <w:rPr>
                <w:rFonts w:hint="default" w:ascii="宋体" w:hAnsi="宋体" w:eastAsia="宋体" w:cs="宋体"/>
                <w:b/>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i w:val="0"/>
                <w:caps w:val="0"/>
                <w:strike w:val="0"/>
                <w:dstrike w:val="0"/>
                <w:shadow w:val="0"/>
                <w:emboss w:val="0"/>
                <w:imprint w:val="0"/>
                <w:color w:val="auto"/>
                <w:kern w:val="2"/>
                <w:position w:val="-1"/>
                <w:sz w:val="21"/>
                <w:u w:val="none"/>
                <w:vertAlign w:val="baseline"/>
              </w:rPr>
              <w:t>本理财计划〖B份额〗业绩比较基准为〖中国人民银行公布的1年期定期存款利率+0.1%〗（年化）。</w:t>
            </w:r>
            <w:r>
              <w:rPr>
                <w:rFonts w:hint="default" w:ascii="宋体" w:hAnsi="宋体" w:eastAsia="宋体" w:cs="宋体"/>
                <w:b/>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i w:val="0"/>
                <w:caps w:val="0"/>
                <w:strike w:val="0"/>
                <w:dstrike w:val="0"/>
                <w:shadow w:val="0"/>
                <w:emboss w:val="0"/>
                <w:imprint w:val="0"/>
                <w:color w:val="auto"/>
                <w:kern w:val="2"/>
                <w:position w:val="-1"/>
                <w:sz w:val="21"/>
                <w:u w:val="none"/>
                <w:vertAlign w:val="baseline"/>
              </w:rPr>
              <w:t>本理财计划〖W份额〗业绩比较基准为〖中国人民银行公布的1年期定期存款利率+0.1%〗（年化）。</w:t>
            </w:r>
            <w:r>
              <w:rPr>
                <w:rFonts w:hint="default" w:ascii="宋体" w:hAnsi="宋体" w:eastAsia="宋体" w:cs="宋体"/>
                <w:b/>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i w:val="0"/>
                <w:caps w:val="0"/>
                <w:strike w:val="0"/>
                <w:dstrike w:val="0"/>
                <w:shadow w:val="0"/>
                <w:emboss w:val="0"/>
                <w:imprint w:val="0"/>
                <w:color w:val="auto"/>
                <w:kern w:val="2"/>
                <w:position w:val="-1"/>
                <w:sz w:val="21"/>
                <w:u w:val="none"/>
                <w:vertAlign w:val="baseline"/>
              </w:rPr>
              <w:t>本理财计划〖ZA份额〗业绩比较基准为〖中国人民银行公布的1年期定期存款利率+0.1%〗（年化）。</w:t>
            </w:r>
            <w:r>
              <w:rPr>
                <w:rFonts w:hint="default" w:ascii="宋体" w:hAnsi="宋体" w:eastAsia="宋体" w:cs="宋体"/>
                <w:b/>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i w:val="0"/>
                <w:caps w:val="0"/>
                <w:strike w:val="0"/>
                <w:dstrike w:val="0"/>
                <w:shadow w:val="0"/>
                <w:emboss w:val="0"/>
                <w:imprint w:val="0"/>
                <w:color w:val="auto"/>
                <w:kern w:val="2"/>
                <w:position w:val="-1"/>
                <w:sz w:val="21"/>
                <w:u w:val="none"/>
                <w:vertAlign w:val="baseline"/>
              </w:rPr>
              <w:t>本理财计划〖ZM份额〗业绩比较基准为〖中国人民银行公布的1年期定期存款利率+0.1%〗（年化）。</w:t>
            </w:r>
          </w:p>
          <w:p>
            <w:pPr>
              <w:keepNext w:val="0"/>
              <w:keepLines w:val="0"/>
              <w:widowControl w:val="0"/>
              <w:suppressLineNumbers w:val="0"/>
              <w:spacing w:before="0" w:beforeAutospacing="0" w:after="0" w:afterAutospacing="0" w:line="360" w:lineRule="auto"/>
              <w:ind w:left="0" w:right="0"/>
              <w:jc w:val="both"/>
              <w:rPr>
                <w:rFonts w:hint="eastAsia" w:ascii="宋体" w:hAnsi="宋体" w:cs="宋体"/>
                <w:b/>
                <w:bCs/>
                <w:color w:val="FF0000"/>
                <w:sz w:val="21"/>
                <w:szCs w:val="21"/>
                <w:highlight w:val="none"/>
              </w:rPr>
            </w:pPr>
            <w:r>
              <w:rPr>
                <w:rFonts w:hint="eastAsia" w:ascii="宋体" w:hAnsi="宋体" w:cs="宋体"/>
                <w:b/>
                <w:bCs/>
                <w:color w:val="000000"/>
                <w:sz w:val="21"/>
                <w:szCs w:val="21"/>
                <w:highlight w:val="none"/>
              </w:rPr>
              <w:t>业绩基准测算依据：</w:t>
            </w:r>
            <w:r>
              <w:rPr>
                <w:rFonts w:hint="eastAsia" w:ascii="宋体" w:hAnsi="宋体" w:eastAsia="宋体" w:cs="宋体"/>
                <w:b/>
                <w:bCs/>
                <w:kern w:val="2"/>
                <w:sz w:val="21"/>
                <w:szCs w:val="21"/>
                <w:lang w:val="en-US" w:eastAsia="zh-CN" w:bidi="ar"/>
              </w:rPr>
              <w:t>本理财计划主要投资于固定收益类资产，权益类等其他资产配置比例不超过20%。本理财计划将通过积极的主动管理，根据大类资产研究、固定收益市场及权益市场等的历史波动情况确定合理的投资比例，争取为投资人提供合理的投资回报。管理人根据固定收益市场及权益市场等的历史表现，结合当前利率水平、资产配比及市场同类型产品情况，经综合测算得出本期业绩比较基准</w:t>
            </w:r>
            <w:r>
              <w:rPr>
                <w:rFonts w:hint="eastAsia" w:ascii="宋体" w:hAnsi="宋体" w:cs="宋体"/>
                <w:b/>
                <w:bCs/>
                <w:color w:val="000000"/>
                <w:sz w:val="21"/>
                <w:szCs w:val="21"/>
                <w:highlight w:val="none"/>
              </w:rPr>
              <w:t>。</w:t>
            </w:r>
          </w:p>
          <w:p>
            <w:pPr>
              <w:keepNext w:val="0"/>
              <w:keepLines w:val="0"/>
              <w:widowControl/>
              <w:suppressLineNumbers w:val="0"/>
              <w:spacing w:before="0" w:beforeAutospacing="0" w:after="0" w:afterAutospacing="0" w:line="360" w:lineRule="auto"/>
              <w:ind w:left="0" w:right="0"/>
              <w:jc w:val="left"/>
              <w:rPr>
                <w:rFonts w:hint="eastAsia" w:ascii="宋体" w:hAnsi="宋体" w:cs="宋体"/>
                <w:b/>
                <w:bCs/>
                <w:sz w:val="21"/>
                <w:szCs w:val="21"/>
                <w:highlight w:val="none"/>
              </w:rPr>
            </w:pPr>
            <w:r>
              <w:rPr>
                <w:rFonts w:hint="eastAsia" w:ascii="宋体" w:hAnsi="宋体" w:cs="宋体"/>
                <w:sz w:val="21"/>
                <w:szCs w:val="21"/>
                <w:highlight w:val="none"/>
              </w:rPr>
              <w:t>管理人有权根据市场情况及</w:t>
            </w:r>
            <w:r>
              <w:rPr>
                <w:rFonts w:hint="eastAsia" w:ascii="宋体" w:hAnsi="宋体" w:cs="宋体"/>
                <w:sz w:val="21"/>
                <w:szCs w:val="21"/>
                <w:highlight w:val="none"/>
                <w:lang w:eastAsia="zh-CN"/>
              </w:rPr>
              <w:t>理财计划</w:t>
            </w:r>
            <w:r>
              <w:rPr>
                <w:rFonts w:hint="eastAsia" w:ascii="宋体" w:hAnsi="宋体" w:cs="宋体"/>
                <w:sz w:val="21"/>
                <w:szCs w:val="21"/>
                <w:highlight w:val="none"/>
              </w:rPr>
              <w:t>运作情况调整业绩基准，并至少于新业绩基准启用前</w:t>
            </w:r>
            <w:r>
              <w:rPr>
                <w:rFonts w:hint="eastAsia" w:ascii="宋体" w:hAnsi="宋体" w:cs="宋体"/>
                <w:kern w:val="0"/>
                <w:sz w:val="21"/>
                <w:szCs w:val="21"/>
                <w:highlight w:val="none"/>
              </w:rPr>
              <w:t>〖</w:t>
            </w:r>
            <w:r>
              <w:rPr>
                <w:rFonts w:hint="eastAsia" w:ascii="宋体" w:hAnsi="宋体" w:cs="宋体"/>
                <w:color w:val="000000"/>
                <w:kern w:val="0"/>
                <w:sz w:val="21"/>
                <w:szCs w:val="21"/>
                <w:highlight w:val="none"/>
                <w:lang w:val="en-US" w:eastAsia="zh-CN"/>
              </w:rPr>
              <w:t>2</w:t>
            </w:r>
            <w:r>
              <w:rPr>
                <w:rFonts w:hint="eastAsia" w:ascii="宋体" w:hAnsi="宋体" w:cs="宋体"/>
                <w:kern w:val="0"/>
                <w:sz w:val="21"/>
                <w:szCs w:val="21"/>
                <w:highlight w:val="none"/>
              </w:rPr>
              <w:t>〗</w:t>
            </w:r>
            <w:r>
              <w:rPr>
                <w:rFonts w:hint="eastAsia" w:ascii="宋体" w:hAnsi="宋体" w:cs="宋体"/>
                <w:sz w:val="21"/>
                <w:szCs w:val="21"/>
                <w:highlight w:val="none"/>
              </w:rPr>
              <w:t>个工作日公告。</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b/>
                <w:sz w:val="21"/>
                <w:szCs w:val="21"/>
                <w:highlight w:val="none"/>
              </w:rPr>
              <w:t>本理财计划为净值型理财产品，其业绩表现将随市场波动具有不确定性。本公司提醒投资者关注，业绩比较基准</w:t>
            </w:r>
            <w:r>
              <w:rPr>
                <w:rFonts w:hint="eastAsia" w:ascii="宋体" w:hAnsi="宋体" w:cs="宋体"/>
                <w:b/>
                <w:sz w:val="21"/>
                <w:szCs w:val="21"/>
                <w:highlight w:val="none"/>
                <w:lang w:eastAsia="zh-CN"/>
              </w:rPr>
              <w:t>不是预期收益率，</w:t>
            </w:r>
            <w:r>
              <w:rPr>
                <w:rFonts w:hint="eastAsia" w:ascii="宋体" w:hAnsi="宋体" w:cs="宋体"/>
                <w:b/>
                <w:sz w:val="21"/>
                <w:szCs w:val="21"/>
                <w:highlight w:val="none"/>
              </w:rPr>
              <w:t>并不代表</w:t>
            </w:r>
            <w:r>
              <w:rPr>
                <w:rFonts w:hint="eastAsia" w:ascii="宋体" w:hAnsi="宋体" w:cs="宋体"/>
                <w:b/>
                <w:sz w:val="21"/>
                <w:szCs w:val="21"/>
                <w:highlight w:val="none"/>
                <w:lang w:eastAsia="zh-CN"/>
              </w:rPr>
              <w:t>理财计划的未来表现和</w:t>
            </w:r>
            <w:r>
              <w:rPr>
                <w:rFonts w:hint="eastAsia" w:ascii="宋体" w:hAnsi="宋体" w:cs="宋体"/>
                <w:b/>
                <w:sz w:val="21"/>
                <w:szCs w:val="21"/>
                <w:highlight w:val="none"/>
              </w:rPr>
              <w:t>实际收益率</w:t>
            </w:r>
            <w:r>
              <w:rPr>
                <w:rFonts w:hint="eastAsia" w:ascii="宋体" w:hAnsi="宋体" w:cs="宋体"/>
                <w:b/>
                <w:sz w:val="21"/>
                <w:szCs w:val="21"/>
                <w:highlight w:val="none"/>
                <w:lang w:eastAsia="zh-CN"/>
              </w:rPr>
              <w:t>，不构成对理财计划收益的承诺</w:t>
            </w:r>
            <w:r>
              <w:rPr>
                <w:rFonts w:hint="eastAsia" w:ascii="宋体" w:hAnsi="宋体" w:cs="宋体"/>
                <w:b/>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产品费用</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FF0000"/>
                <w:sz w:val="21"/>
                <w:szCs w:val="21"/>
                <w:highlight w:val="none"/>
              </w:rPr>
            </w:pPr>
            <w:r>
              <w:rPr>
                <w:rFonts w:hint="eastAsia" w:ascii="宋体" w:hAnsi="宋体" w:cs="宋体"/>
                <w:color w:val="000000"/>
                <w:sz w:val="21"/>
                <w:szCs w:val="21"/>
                <w:highlight w:val="none"/>
              </w:rPr>
              <w:t>1.</w:t>
            </w:r>
            <w:r>
              <w:rPr>
                <w:rFonts w:hint="eastAsia" w:ascii="宋体" w:hAnsi="宋体" w:cs="宋体"/>
                <w:color w:val="000000"/>
                <w:sz w:val="21"/>
                <w:szCs w:val="21"/>
                <w:highlight w:val="none"/>
                <w:lang w:eastAsia="zh-CN"/>
              </w:rPr>
              <w:t>销售服务费</w:t>
            </w: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〖A份额〗收取年化〖0.30%〗的销售服务费, 〖B份额〗收取年化〖0.20%〗的销售服务费, 〖W份额〗收取年化〖0.4%〗的销售服务费, 〖ZA份额〗收取年化〖0.30%〗的销售服务费, 〖ZM份额〗收取年化〖0.30%〗的销售服务费。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2.托管费：收取年化</w:t>
            </w: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0.025</w:t>
            </w:r>
            <w:r>
              <w:rPr>
                <w:rFonts w:hint="eastAsia" w:ascii="宋体" w:hAnsi="宋体" w:cs="宋体"/>
                <w:sz w:val="21"/>
                <w:szCs w:val="21"/>
                <w:highlight w:val="none"/>
                <w:lang w:eastAsia="zh"/>
              </w:rPr>
              <w:t>%</w:t>
            </w:r>
            <w:r>
              <w:rPr>
                <w:rFonts w:hint="eastAsia" w:ascii="宋体" w:hAnsi="宋体" w:cs="宋体"/>
                <w:sz w:val="21"/>
                <w:szCs w:val="21"/>
                <w:highlight w:val="none"/>
              </w:rPr>
              <w:t>〗</w:t>
            </w:r>
            <w:r>
              <w:rPr>
                <w:rFonts w:hint="eastAsia" w:ascii="宋体" w:hAnsi="宋体" w:cs="宋体"/>
                <w:color w:val="000000"/>
                <w:sz w:val="21"/>
                <w:szCs w:val="21"/>
                <w:highlight w:val="none"/>
              </w:rPr>
              <w:t>的托管费。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FF0000"/>
                <w:sz w:val="21"/>
                <w:szCs w:val="21"/>
                <w:highlight w:val="none"/>
              </w:rPr>
            </w:pPr>
            <w:r>
              <w:rPr>
                <w:rFonts w:hint="eastAsia" w:ascii="宋体" w:hAnsi="宋体" w:cs="宋体"/>
                <w:color w:val="000000"/>
                <w:sz w:val="21"/>
                <w:szCs w:val="21"/>
                <w:highlight w:val="none"/>
              </w:rPr>
              <w:t>3.固定管理费：</w:t>
            </w:r>
            <w:r>
              <w:rPr>
                <w:rFonts w:hint="eastAsia" w:ascii="宋体" w:hAnsi="宋体" w:eastAsia="宋体" w:cs="宋体"/>
                <w:color w:val="000000"/>
                <w:kern w:val="2"/>
                <w:sz w:val="21"/>
                <w:szCs w:val="21"/>
                <w:highlight w:val="none"/>
                <w:lang w:val="en-US" w:eastAsia="zh-CN" w:bidi="ar-SA"/>
              </w:rPr>
              <w:t>〖A份额〗收取年化〖0.30%〗的固定管理费, 〖B份额〗收取年化〖0.30%〗的固定管理费, 〖W份额〗收取年化〖0.2%〗的固定管理费, 〖ZA份额〗收取年化〖0.30%〗的固定管理费, 〖ZM份额〗收取年化〖0.30%〗的固定管理费。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FF0000"/>
                <w:sz w:val="21"/>
                <w:szCs w:val="21"/>
                <w:highlight w:val="none"/>
              </w:rPr>
            </w:pPr>
            <w:r>
              <w:rPr>
                <w:rFonts w:hint="eastAsia" w:ascii="宋体" w:hAnsi="宋体" w:cs="宋体"/>
                <w:color w:val="000000"/>
                <w:sz w:val="21"/>
                <w:szCs w:val="21"/>
                <w:highlight w:val="none"/>
              </w:rPr>
              <w:t>4.认购费：本理财计划免除认购费。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sz w:val="21"/>
                <w:szCs w:val="21"/>
                <w:highlight w:val="none"/>
              </w:rPr>
            </w:pPr>
            <w:r>
              <w:rPr>
                <w:rFonts w:hint="eastAsia" w:ascii="宋体" w:hAnsi="宋体" w:cs="宋体"/>
                <w:bCs/>
                <w:sz w:val="21"/>
                <w:szCs w:val="21"/>
                <w:highlight w:val="none"/>
              </w:rPr>
              <w:t>5.申购费：</w:t>
            </w:r>
            <w:r>
              <w:rPr>
                <w:rFonts w:hint="eastAsia" w:ascii="宋体" w:hAnsi="宋体" w:cs="宋体"/>
                <w:color w:val="000000"/>
                <w:sz w:val="21"/>
                <w:szCs w:val="21"/>
                <w:highlight w:val="none"/>
              </w:rPr>
              <w:t>本理财计划免除申购费。</w:t>
            </w:r>
          </w:p>
          <w:p>
            <w:pPr>
              <w:keepNext w:val="0"/>
              <w:keepLines w:val="0"/>
              <w:widowControl/>
              <w:suppressLineNumbers w:val="0"/>
              <w:spacing w:before="0" w:beforeAutospacing="0" w:after="0" w:afterAutospacing="0" w:line="360" w:lineRule="auto"/>
              <w:ind w:left="0" w:right="0"/>
              <w:contextualSpacing/>
              <w:rPr>
                <w:rFonts w:hint="default" w:ascii="宋体" w:hAnsi="宋体" w:cs="宋体"/>
                <w:bCs/>
                <w:sz w:val="21"/>
                <w:szCs w:val="21"/>
                <w:highlight w:val="none"/>
              </w:rPr>
            </w:pPr>
            <w:r>
              <w:rPr>
                <w:rFonts w:hint="eastAsia" w:ascii="宋体" w:hAnsi="宋体" w:cs="宋体"/>
                <w:bCs/>
                <w:sz w:val="21"/>
                <w:szCs w:val="21"/>
                <w:highlight w:val="none"/>
              </w:rPr>
              <w:t>6.赎回费：</w:t>
            </w:r>
            <w:r>
              <w:rPr>
                <w:rFonts w:hint="eastAsia" w:ascii="宋体" w:hAnsi="宋体" w:cs="宋体"/>
                <w:color w:val="000000"/>
                <w:sz w:val="21"/>
                <w:szCs w:val="21"/>
                <w:highlight w:val="none"/>
              </w:rPr>
              <w:t>本理财计划免除赎回费。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FF0000"/>
                <w:sz w:val="21"/>
                <w:szCs w:val="21"/>
                <w:highlight w:val="none"/>
              </w:rPr>
            </w:pPr>
            <w:r>
              <w:rPr>
                <w:rFonts w:hint="eastAsia" w:ascii="宋体" w:hAnsi="宋体" w:cs="宋体"/>
                <w:color w:val="000000"/>
                <w:sz w:val="21"/>
                <w:szCs w:val="21"/>
                <w:highlight w:val="none"/>
              </w:rPr>
              <w:t>7.浮动管理费</w:t>
            </w:r>
            <w:r>
              <w:rPr>
                <w:rFonts w:hint="eastAsia" w:ascii="宋体" w:hAnsi="宋体" w:cs="宋体"/>
                <w:color w:val="000000"/>
                <w:sz w:val="21"/>
                <w:szCs w:val="21"/>
                <w:highlight w:val="none"/>
                <w:lang w:eastAsia="zh-CN"/>
              </w:rPr>
              <w:t>：</w:t>
            </w:r>
            <w:r>
              <w:rPr>
                <w:rFonts w:hint="eastAsia" w:ascii="宋体" w:hAnsi="宋体" w:eastAsia="宋体" w:cs="宋体"/>
                <w:color w:val="000000"/>
                <w:kern w:val="2"/>
                <w:sz w:val="21"/>
                <w:szCs w:val="21"/>
                <w:highlight w:val="none"/>
                <w:lang w:val="en-US" w:eastAsia="zh-CN" w:bidi="ar-SA"/>
              </w:rPr>
              <w:t>管理人根据理财计划投资情况计算浮动管理费，本理财计划份额（除B份额）投资周期的折合年化收益率超过〖2.35%〗的部分，管理人提取〖50%〗作为浮动管理费；〖B份额〗投资周期的折合年化收益率超过〖2.45%〗的部分，管理人提取〖50%〗作为浮动管理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提前终止</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b/>
                <w:color w:val="000000"/>
                <w:kern w:val="0"/>
                <w:sz w:val="21"/>
                <w:szCs w:val="21"/>
                <w:highlight w:val="none"/>
              </w:rPr>
            </w:pPr>
            <w:r>
              <w:rPr>
                <w:rFonts w:hint="eastAsia" w:ascii="宋体" w:hAnsi="宋体" w:cs="宋体"/>
                <w:b/>
                <w:color w:val="000000"/>
                <w:kern w:val="0"/>
                <w:sz w:val="21"/>
                <w:szCs w:val="21"/>
                <w:highlight w:val="none"/>
              </w:rPr>
              <w:t>如遇国家金融政策出现重大调整并影响到本理财计划的正常运行的、市场收益率大幅波动可能或实质影响理财计划收益等情况，管理人有权提前</w:t>
            </w:r>
            <w:r>
              <w:rPr>
                <w:rFonts w:hint="eastAsia" w:ascii="宋体" w:hAnsi="宋体" w:cs="宋体"/>
                <w:b/>
                <w:color w:val="000000"/>
                <w:kern w:val="0"/>
                <w:sz w:val="21"/>
                <w:szCs w:val="21"/>
                <w:highlight w:val="none"/>
                <w:lang w:eastAsia="zh-CN"/>
              </w:rPr>
              <w:t>全部或部分</w:t>
            </w:r>
            <w:r>
              <w:rPr>
                <w:rFonts w:hint="eastAsia" w:ascii="宋体" w:hAnsi="宋体" w:cs="宋体"/>
                <w:b/>
                <w:color w:val="000000"/>
                <w:kern w:val="0"/>
                <w:sz w:val="21"/>
                <w:szCs w:val="21"/>
                <w:highlight w:val="none"/>
              </w:rPr>
              <w:t>终止本理财计划。具体参见说明书“交易规则”部分。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税费规定</w:t>
            </w:r>
          </w:p>
        </w:tc>
        <w:tc>
          <w:tcPr>
            <w:tcW w:w="7185" w:type="dxa"/>
            <w:noWrap w:val="0"/>
            <w:vAlign w:val="center"/>
          </w:tcPr>
          <w:p>
            <w:pPr>
              <w:keepNext w:val="0"/>
              <w:keepLines w:val="0"/>
              <w:suppressLineNumbers w:val="0"/>
              <w:spacing w:before="0" w:beforeAutospacing="0" w:after="0" w:afterAutospacing="0" w:line="360" w:lineRule="auto"/>
              <w:ind w:left="0" w:right="0"/>
              <w:outlineLvl w:val="9"/>
              <w:rPr>
                <w:rFonts w:hint="eastAsia" w:ascii="宋体" w:hAnsi="宋体" w:cs="宋体"/>
                <w:color w:val="000000"/>
                <w:sz w:val="21"/>
                <w:szCs w:val="21"/>
                <w:highlight w:val="none"/>
              </w:rPr>
            </w:pPr>
            <w:r>
              <w:rPr>
                <w:rFonts w:hint="eastAsia" w:ascii="宋体" w:hAnsi="宋体" w:cs="宋体"/>
                <w:color w:val="000000"/>
                <w:sz w:val="21"/>
                <w:szCs w:val="21"/>
                <w:highlight w:val="none"/>
              </w:rPr>
              <w:t>理财计划财产在管理、运用、处分过程中产生的税费（包括但不限于增值税及相应的附加税费等），由理财计划财产承担；管理人对该等税费无垫付义务。前述税费（包括但不限于增值税及相应附加税费）的计算、提取及缴纳，由管理人按照应税行为发生时有效的相关法律法规的规定执行。</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支付给投资者的理财收益的应纳税款由投资者自行申报及缴纳。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kern w:val="0"/>
                <w:sz w:val="21"/>
                <w:szCs w:val="21"/>
                <w:highlight w:val="none"/>
              </w:rPr>
            </w:pPr>
            <w:r>
              <w:rPr>
                <w:rFonts w:hint="eastAsia" w:ascii="宋体" w:hAnsi="宋体" w:cs="宋体"/>
                <w:color w:val="000000"/>
                <w:sz w:val="21"/>
                <w:szCs w:val="21"/>
                <w:highlight w:val="none"/>
              </w:rPr>
              <w:t>融资服务</w:t>
            </w:r>
          </w:p>
        </w:tc>
        <w:tc>
          <w:tcPr>
            <w:tcW w:w="7185" w:type="dxa"/>
            <w:noWrap w:val="0"/>
            <w:vAlign w:val="bottom"/>
          </w:tcPr>
          <w:p>
            <w:pPr>
              <w:keepNext w:val="0"/>
              <w:keepLines w:val="0"/>
              <w:suppressLineNumbers w:val="0"/>
              <w:spacing w:before="0" w:beforeAutospacing="0" w:after="0" w:afterAutospacing="0" w:line="360" w:lineRule="auto"/>
              <w:ind w:left="0" w:right="0"/>
              <w:rPr>
                <w:rFonts w:hint="eastAsia" w:ascii="宋体" w:hAnsi="宋体" w:cs="宋体"/>
                <w:b/>
                <w:color w:val="000000"/>
                <w:kern w:val="0"/>
                <w:sz w:val="21"/>
                <w:szCs w:val="21"/>
                <w:highlight w:val="none"/>
              </w:rPr>
            </w:pPr>
            <w:r>
              <w:rPr>
                <w:rFonts w:hint="eastAsia" w:ascii="宋体" w:hAnsi="宋体" w:cs="宋体"/>
                <w:b/>
                <w:color w:val="000000"/>
                <w:kern w:val="0"/>
                <w:sz w:val="21"/>
                <w:szCs w:val="21"/>
                <w:highlight w:val="none"/>
              </w:rPr>
              <w:t>投资者在理财期限内不能提前</w:t>
            </w:r>
            <w:r>
              <w:rPr>
                <w:rFonts w:hint="eastAsia" w:ascii="宋体" w:hAnsi="宋体" w:cs="宋体"/>
                <w:b/>
                <w:color w:val="000000"/>
                <w:kern w:val="0"/>
                <w:sz w:val="21"/>
                <w:szCs w:val="21"/>
                <w:highlight w:val="none"/>
                <w:lang w:eastAsia="zh-CN"/>
              </w:rPr>
              <w:t>赎回</w:t>
            </w:r>
            <w:r>
              <w:rPr>
                <w:rFonts w:hint="eastAsia" w:ascii="宋体" w:hAnsi="宋体" w:cs="宋体"/>
                <w:b/>
                <w:color w:val="000000"/>
                <w:kern w:val="0"/>
                <w:sz w:val="21"/>
                <w:szCs w:val="21"/>
                <w:highlight w:val="none"/>
              </w:rPr>
              <w:t>，如需质押按销售机构相关规定执行。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75" w:hRule="atLeast"/>
        </w:trPr>
        <w:tc>
          <w:tcPr>
            <w:tcW w:w="16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其他规定</w:t>
            </w:r>
          </w:p>
        </w:tc>
        <w:tc>
          <w:tcPr>
            <w:tcW w:w="718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60" w:lineRule="auto"/>
              <w:ind w:left="0" w:right="0"/>
              <w:rPr>
                <w:rFonts w:hint="eastAsia" w:ascii="宋体" w:hAnsi="宋体" w:cs="宋体"/>
                <w:color w:val="000000"/>
                <w:kern w:val="0"/>
                <w:sz w:val="21"/>
                <w:szCs w:val="21"/>
                <w:highlight w:val="none"/>
              </w:rPr>
            </w:pPr>
            <w:r>
              <w:rPr>
                <w:rFonts w:hint="eastAsia" w:ascii="宋体" w:hAnsi="宋体" w:cs="宋体"/>
                <w:color w:val="000000"/>
                <w:sz w:val="21"/>
                <w:szCs w:val="21"/>
                <w:highlight w:val="none"/>
              </w:rPr>
              <w:t>认购期内按照活期存款利率计息，认购期内的利息不计入认购本金份额。到期日（或理财计划实际终止日）到理财资金返还到账日为清算期，清算期内不计付利息。</w:t>
            </w:r>
            <w:r>
              <w:rPr>
                <w:rFonts w:hint="eastAsia" w:ascii="宋体" w:hAnsi="宋体" w:cs="宋体"/>
                <w:color w:val="000000"/>
                <w:kern w:val="0"/>
                <w:sz w:val="21"/>
                <w:szCs w:val="21"/>
                <w:highlight w:val="none"/>
              </w:rPr>
              <w:t>（具体以销售机构规定为准）</w:t>
            </w:r>
          </w:p>
          <w:p>
            <w:pPr>
              <w:keepNext w:val="0"/>
              <w:keepLines w:val="0"/>
              <w:suppressLineNumbers w:val="0"/>
              <w:spacing w:before="0" w:beforeAutospacing="0" w:after="0" w:afterAutospacing="0" w:line="360" w:lineRule="auto"/>
              <w:ind w:left="0" w:right="0"/>
              <w:rPr>
                <w:rFonts w:hint="eastAsia" w:ascii="宋体" w:hAnsi="宋体" w:cs="宋体"/>
                <w:color w:val="000000"/>
                <w:kern w:val="0"/>
                <w:sz w:val="21"/>
                <w:szCs w:val="21"/>
                <w:highlight w:val="none"/>
              </w:rPr>
            </w:pPr>
            <w:r>
              <w:rPr>
                <w:rFonts w:hint="eastAsia" w:ascii="宋体" w:hAnsi="宋体" w:cs="宋体"/>
                <w:color w:val="000000"/>
                <w:kern w:val="0"/>
                <w:sz w:val="21"/>
                <w:szCs w:val="21"/>
                <w:highlight w:val="none"/>
              </w:rPr>
              <w:t>管理人有权根据市场情况和本理财计划运作情况，对本理财计划的收费项目、条件、标准和方式进行调整。</w:t>
            </w:r>
          </w:p>
        </w:tc>
      </w:tr>
    </w:tbl>
    <w:p>
      <w:pPr>
        <w:spacing w:line="360" w:lineRule="auto"/>
        <w:rPr>
          <w:rFonts w:hint="eastAsia" w:ascii="宋体" w:hAnsi="宋体" w:cs="宋体"/>
          <w:b/>
          <w:color w:val="000000"/>
          <w:sz w:val="24"/>
          <w:highlight w:val="none"/>
        </w:rPr>
      </w:pPr>
      <w:r>
        <w:rPr>
          <w:rFonts w:hint="eastAsia" w:ascii="宋体" w:hAnsi="宋体"/>
          <w:b/>
          <w:color w:val="000000"/>
          <w:sz w:val="24"/>
          <w:highlight w:val="none"/>
        </w:rPr>
        <w:t>特别说明：</w:t>
      </w:r>
      <w:r>
        <w:rPr>
          <w:rFonts w:hint="eastAsia" w:ascii="宋体" w:hAnsi="宋体" w:cs="宋体"/>
          <w:b/>
          <w:color w:val="000000"/>
          <w:sz w:val="24"/>
          <w:highlight w:val="none"/>
        </w:rPr>
        <w:t>本理财计划属于净值型理财产品，投资须谨慎。管理人对理财本金及收益不提供保证承诺，请投资者基于自身的独立判断进行投资决策。</w:t>
      </w:r>
    </w:p>
    <w:p>
      <w:pPr>
        <w:spacing w:line="360" w:lineRule="auto"/>
        <w:rPr>
          <w:rFonts w:hint="eastAsia" w:ascii="宋体" w:hAnsi="宋体" w:cs="宋体"/>
          <w:b/>
          <w:color w:val="000000"/>
          <w:sz w:val="24"/>
          <w:highlight w:val="none"/>
        </w:rPr>
      </w:pPr>
    </w:p>
    <w:p>
      <w:pPr>
        <w:numPr>
          <w:ilvl w:val="0"/>
          <w:numId w:val="11"/>
        </w:numPr>
        <w:spacing w:line="360" w:lineRule="auto"/>
        <w:ind w:firstLine="482" w:firstLineChars="200"/>
        <w:outlineLvl w:val="1"/>
        <w:rPr>
          <w:rFonts w:hint="eastAsia" w:ascii="宋体" w:hAnsi="宋体" w:cs="宋体"/>
          <w:b/>
          <w:color w:val="000000"/>
          <w:sz w:val="24"/>
          <w:highlight w:val="none"/>
        </w:rPr>
      </w:pPr>
      <w:r>
        <w:rPr>
          <w:rFonts w:hint="eastAsia" w:ascii="宋体" w:hAnsi="宋体" w:cs="宋体"/>
          <w:b/>
          <w:color w:val="000000"/>
          <w:sz w:val="24"/>
          <w:highlight w:val="none"/>
        </w:rPr>
        <w:t>投资管理</w:t>
      </w:r>
    </w:p>
    <w:p>
      <w:pPr>
        <w:numPr>
          <w:ilvl w:val="0"/>
          <w:numId w:val="0"/>
        </w:numPr>
        <w:spacing w:line="360" w:lineRule="auto"/>
        <w:ind w:leftChars="0" w:firstLine="480" w:firstLineChars="200"/>
        <w:outlineLvl w:val="9"/>
        <w:rPr>
          <w:rFonts w:hint="eastAsia" w:ascii="宋体" w:hAnsi="宋体" w:cs="宋体"/>
          <w:b/>
          <w:color w:val="000000"/>
          <w:sz w:val="24"/>
          <w:highlight w:val="none"/>
        </w:rPr>
      </w:pPr>
      <w:r>
        <w:rPr>
          <w:rFonts w:hint="eastAsia" w:ascii="宋体" w:hAnsi="宋体" w:eastAsia="宋体" w:cs="宋体"/>
          <w:bCs/>
          <w:color w:val="auto"/>
          <w:kern w:val="2"/>
          <w:sz w:val="24"/>
          <w:szCs w:val="24"/>
          <w:highlight w:val="none"/>
          <w:lang w:val="en-US" w:eastAsia="zh-CN" w:bidi="ar-SA"/>
        </w:rPr>
        <w:t>本理财计划自成立日起〖1个月〗为建仓期，管理人应当在建仓期结束前使各项投资比例符合约定。</w:t>
      </w:r>
    </w:p>
    <w:p>
      <w:pPr>
        <w:numPr>
          <w:ilvl w:val="0"/>
          <w:numId w:val="1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投资范围</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本理财计划主要投资于符合监管要求的各类资产：</w:t>
      </w:r>
    </w:p>
    <w:p>
      <w:pPr>
        <w:pageBreakBefore w:val="0"/>
        <w:spacing w:line="360" w:lineRule="auto"/>
        <w:ind w:left="-1" w:right="-1" w:firstLine="480"/>
        <w:jc w:val="left"/>
        <w:textAlignment w:val="auto"/>
      </w:pPr>
      <w:r>
        <w:rPr>
          <w:rFonts w:ascii="宋体" w:hAnsi="宋体" w:eastAsia="宋体" w:cs="宋体"/>
          <w:b w:val="0"/>
          <w:i w:val="0"/>
          <w:caps w:val="0"/>
          <w:strike w:val="0"/>
          <w:dstrike w:val="0"/>
          <w:shadow w:val="0"/>
          <w:emboss w:val="0"/>
          <w:imprint w:val="0"/>
          <w:color w:val="auto"/>
          <w:kern w:val="2"/>
          <w:position w:val="-1"/>
          <w:sz w:val="24"/>
          <w:u w:val="none"/>
          <w:vertAlign w:val="baseline"/>
        </w:rPr>
        <w:t>1. 固定收益类资产：包括但不限于各类债券、存款、货币市场金融工具、债券基金、质押式及买断式回购，其他符合监管要求的固定收益类资产及资产管理产品。</w:t>
      </w:r>
      <w:r>
        <w:rPr>
          <w:rFonts w:ascii="宋体" w:hAnsi="宋体" w:eastAsia="宋体" w:cs="宋体"/>
          <w:b w:val="0"/>
          <w:i w:val="0"/>
          <w:caps w:val="0"/>
          <w:strike w:val="0"/>
          <w:dstrike w:val="0"/>
          <w:shadow w:val="0"/>
          <w:emboss w:val="0"/>
          <w:imprint w:val="0"/>
          <w:color w:val="auto"/>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auto"/>
          <w:kern w:val="2"/>
          <w:position w:val="-1"/>
          <w:sz w:val="24"/>
          <w:u w:val="none"/>
          <w:vertAlign w:val="baseline"/>
        </w:rPr>
        <w:t xml:space="preserve">    2. 权益类资产：包括国内发行上市优先股、上市公司股票、定向增发、员工持股计划、以及其他符合监管要求的权益类资产及资产管理产品（不包括未上市企业股权）。</w:t>
      </w:r>
    </w:p>
    <w:p>
      <w:pPr>
        <w:numPr>
          <w:ilvl w:val="0"/>
          <w:numId w:val="1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投资比例</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本理财计划各投资资产占</w:t>
      </w:r>
      <w:r>
        <w:rPr>
          <w:rFonts w:hint="eastAsia" w:ascii="宋体" w:hAnsi="宋体" w:cs="宋体"/>
          <w:bCs/>
          <w:sz w:val="24"/>
          <w:highlight w:val="none"/>
          <w:lang w:eastAsia="zh-CN"/>
        </w:rPr>
        <w:t>总</w:t>
      </w:r>
      <w:r>
        <w:rPr>
          <w:rFonts w:hint="eastAsia" w:ascii="宋体" w:hAnsi="宋体" w:cs="宋体"/>
          <w:bCs/>
          <w:sz w:val="24"/>
          <w:highlight w:val="none"/>
        </w:rPr>
        <w:t>资产的配置比例如下：</w:t>
      </w:r>
    </w:p>
    <w:tbl>
      <w:tblPr>
        <w:tblStyle w:val="11"/>
        <w:tblW w:w="85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00"/>
        <w:gridCol w:w="4500"/>
        <w:gridCol w:w="20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0" w:hRule="atLeast"/>
        </w:trPr>
        <w:tc>
          <w:tcPr>
            <w:tcW w:w="2000" w:type="dxa"/>
            <w:vAlign w:val="center"/>
          </w:tcPr>
          <w:p>
            <w:pPr>
              <w:keepNext w:val="0"/>
              <w:keepLines w:val="0"/>
              <w:suppressLineNumbers w:val="0"/>
              <w:spacing w:before="0" w:beforeAutospacing="0" w:after="0" w:afterAutospacing="0"/>
              <w:ind w:left="0" w:right="0"/>
              <w:jc w:val="center"/>
              <w:textAlignment w:val="center"/>
              <w:rPr>
                <w:rFonts w:hint="default"/>
              </w:rPr>
            </w:pPr>
          </w:p>
        </w:tc>
        <w:tc>
          <w:tcPr>
            <w:tcW w:w="45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投资资产</w:t>
            </w:r>
          </w:p>
        </w:tc>
        <w:tc>
          <w:tcPr>
            <w:tcW w:w="20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配置比例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0" w:hRule="atLeast"/>
        </w:trPr>
        <w:tc>
          <w:tcPr>
            <w:tcW w:w="2000" w:type="dxa"/>
            <w:vMerge w:val="restart"/>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大类资产类型</w:t>
            </w:r>
          </w:p>
        </w:tc>
        <w:tc>
          <w:tcPr>
            <w:tcW w:w="45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固定收益类资产</w:t>
            </w:r>
          </w:p>
        </w:tc>
        <w:tc>
          <w:tcPr>
            <w:tcW w:w="20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80%-100%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0" w:hRule="atLeast"/>
        </w:trPr>
        <w:tc>
          <w:tcPr>
            <w:tcW w:w="2000" w:type="dxa"/>
            <w:vMerge w:val="continue"/>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大类资产类型</w:t>
            </w:r>
          </w:p>
        </w:tc>
        <w:tc>
          <w:tcPr>
            <w:tcW w:w="45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权益类资产</w:t>
            </w:r>
          </w:p>
        </w:tc>
        <w:tc>
          <w:tcPr>
            <w:tcW w:w="20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0%-20%</w:t>
            </w:r>
          </w:p>
        </w:tc>
      </w:tr>
    </w:tbl>
    <w:p>
      <w:pPr>
        <w:pStyle w:val="20"/>
        <w:numPr>
          <w:ilvl w:val="0"/>
          <w:numId w:val="13"/>
        </w:numPr>
        <w:adjustRightInd/>
        <w:spacing w:line="360" w:lineRule="auto"/>
        <w:ind w:firstLine="456" w:firstLineChars="190"/>
        <w:rPr>
          <w:rFonts w:hint="eastAsia" w:ascii="宋体" w:hAnsi="宋体" w:cs="宋体"/>
          <w:bCs/>
          <w:color w:val="auto"/>
          <w:kern w:val="2"/>
          <w:highlight w:val="none"/>
          <w:lang w:val="en-US" w:eastAsia="zh-CN"/>
        </w:rPr>
      </w:pPr>
      <w:r>
        <w:rPr>
          <w:rFonts w:hint="eastAsia" w:ascii="宋体" w:hAnsi="宋体" w:cs="宋体"/>
          <w:bCs/>
          <w:color w:val="auto"/>
          <w:kern w:val="2"/>
          <w:highlight w:val="none"/>
          <w:lang w:val="en-US" w:eastAsia="zh-CN"/>
        </w:rPr>
        <w:t>本理财计划特殊资产类型为基于大类资产类型项下的进一步细化分类，其配置比例不得超过大类资产配置比例。</w:t>
      </w:r>
    </w:p>
    <w:p>
      <w:pPr>
        <w:pStyle w:val="20"/>
        <w:numPr>
          <w:ilvl w:val="0"/>
          <w:numId w:val="13"/>
        </w:numPr>
        <w:adjustRightInd/>
        <w:spacing w:line="360" w:lineRule="auto"/>
        <w:ind w:firstLine="456" w:firstLineChars="190"/>
        <w:rPr>
          <w:rFonts w:hint="eastAsia" w:ascii="宋体" w:hAnsi="宋体" w:cs="宋体"/>
          <w:bCs/>
          <w:color w:val="auto"/>
          <w:kern w:val="2"/>
          <w:highlight w:val="none"/>
          <w:lang w:val="en-US" w:eastAsia="zh-CN"/>
        </w:rPr>
      </w:pPr>
      <w:r>
        <w:rPr>
          <w:rFonts w:hint="eastAsia" w:ascii="宋体" w:hAnsi="宋体" w:cs="宋体"/>
          <w:bCs/>
          <w:color w:val="auto"/>
          <w:kern w:val="2"/>
          <w:highlight w:val="none"/>
          <w:lang w:val="en-US" w:eastAsia="zh-CN"/>
        </w:rPr>
        <w:t>在</w:t>
      </w:r>
      <w:r>
        <w:rPr>
          <w:rFonts w:hint="eastAsia" w:ascii="宋体" w:hAnsi="宋体" w:cs="宋体"/>
          <w:bCs/>
          <w:color w:val="auto"/>
          <w:kern w:val="2"/>
          <w:highlight w:val="none"/>
        </w:rPr>
        <w:t>理财计划存续期间如遇市场变化导致各类投资品投资比例暂时超出以上范围，为保护投资者利益，管理人将在流动性受限资产可出售、可转让或者恢复交易的15个交易日内调整至上述比例范围。</w:t>
      </w:r>
    </w:p>
    <w:p>
      <w:pPr>
        <w:pStyle w:val="20"/>
        <w:numPr>
          <w:ilvl w:val="0"/>
          <w:numId w:val="13"/>
        </w:numPr>
        <w:adjustRightInd/>
        <w:spacing w:line="360" w:lineRule="auto"/>
        <w:ind w:firstLine="456" w:firstLineChars="190"/>
        <w:rPr>
          <w:rFonts w:hint="eastAsia" w:ascii="宋体" w:hAnsi="宋体" w:cs="宋体"/>
          <w:bCs/>
          <w:color w:val="auto"/>
          <w:kern w:val="2"/>
          <w:highlight w:val="none"/>
          <w:lang w:val="en-US" w:eastAsia="zh-CN"/>
        </w:rPr>
      </w:pPr>
      <w:r>
        <w:rPr>
          <w:rFonts w:hint="eastAsia" w:ascii="宋体" w:hAnsi="宋体" w:cs="宋体"/>
          <w:bCs/>
          <w:color w:val="auto"/>
          <w:kern w:val="2"/>
          <w:highlight w:val="none"/>
          <w:lang w:val="en-US" w:eastAsia="zh-CN"/>
        </w:rPr>
        <w:t>当出现金融市场发生重大变化、理财计划出现大比例规模变化等情况，为保护投资者利益，管理人有权根据市场情况超出约定比例范围投资较低风险资产。</w:t>
      </w:r>
    </w:p>
    <w:p>
      <w:pPr>
        <w:pStyle w:val="20"/>
        <w:numPr>
          <w:ilvl w:val="0"/>
          <w:numId w:val="13"/>
        </w:numPr>
        <w:adjustRightInd/>
        <w:spacing w:line="360" w:lineRule="auto"/>
        <w:ind w:firstLine="456" w:firstLineChars="190"/>
        <w:rPr>
          <w:rFonts w:hint="eastAsia" w:ascii="宋体" w:hAnsi="宋体" w:cs="宋体"/>
          <w:bCs/>
          <w:color w:val="auto"/>
          <w:kern w:val="2"/>
          <w:highlight w:val="none"/>
          <w:lang w:val="en-US" w:eastAsia="zh-CN"/>
        </w:rPr>
      </w:pPr>
      <w:r>
        <w:rPr>
          <w:rFonts w:hint="eastAsia" w:ascii="宋体" w:hAnsi="宋体" w:cs="宋体"/>
          <w:bCs/>
          <w:color w:val="auto"/>
          <w:kern w:val="2"/>
          <w:highlight w:val="none"/>
          <w:lang w:val="en-US" w:eastAsia="zh-CN"/>
        </w:rPr>
        <w:t>本理财计划存在投资退出期，投资退出期至理财计划到期终止期间，为保障投资管理平稳运作，投资组合比例可能超出约定投资范围比例。</w:t>
      </w:r>
    </w:p>
    <w:p>
      <w:pPr>
        <w:pStyle w:val="20"/>
        <w:numPr>
          <w:ilvl w:val="0"/>
          <w:numId w:val="13"/>
        </w:numPr>
        <w:adjustRightInd/>
        <w:spacing w:line="360" w:lineRule="auto"/>
        <w:ind w:firstLine="458" w:firstLineChars="190"/>
        <w:rPr>
          <w:rFonts w:hint="eastAsia" w:ascii="宋体" w:hAnsi="宋体" w:cs="宋体"/>
          <w:bCs/>
          <w:color w:val="auto"/>
          <w:kern w:val="2"/>
          <w:highlight w:val="none"/>
          <w:lang w:val="en-US" w:eastAsia="zh-CN"/>
        </w:rPr>
      </w:pPr>
      <w:r>
        <w:rPr>
          <w:rFonts w:hint="eastAsia" w:ascii="宋体" w:hAnsi="宋体" w:cs="宋体"/>
          <w:b/>
          <w:bCs w:val="0"/>
          <w:color w:val="000000"/>
          <w:kern w:val="2"/>
          <w:highlight w:val="none"/>
          <w:lang w:val="en-US" w:eastAsia="zh-CN"/>
        </w:rPr>
        <w:t>本理财计划可以投资不存在活跃交易市场并且需要采用估值技术确定公允价值的资产，上述资产比例可以达到理财计划净资产的50%以上。</w:t>
      </w:r>
    </w:p>
    <w:p>
      <w:pPr>
        <w:numPr>
          <w:ilvl w:val="0"/>
          <w:numId w:val="1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投资策略</w:t>
      </w:r>
    </w:p>
    <w:p>
      <w:pPr>
        <w:keepNext w:val="0"/>
        <w:keepLines w:val="0"/>
        <w:widowControl w:val="0"/>
        <w:suppressLineNumbers w:val="0"/>
        <w:spacing w:before="0" w:beforeAutospacing="0" w:after="0" w:afterAutospacing="0" w:line="360" w:lineRule="auto"/>
        <w:ind w:left="0" w:right="0" w:firstLine="480" w:firstLineChars="200"/>
        <w:jc w:val="both"/>
        <w:rPr>
          <w:rFonts w:hint="eastAsia" w:ascii="宋体" w:hAnsi="宋体" w:cs="宋体"/>
          <w:bCs/>
          <w:color w:val="000000"/>
          <w:sz w:val="24"/>
          <w:highlight w:val="none"/>
        </w:rPr>
      </w:pPr>
      <w:r>
        <w:rPr>
          <w:rFonts w:hint="eastAsia" w:ascii="宋体" w:hAnsi="宋体" w:eastAsia="宋体" w:cs="宋体"/>
          <w:kern w:val="2"/>
          <w:sz w:val="24"/>
          <w:szCs w:val="24"/>
          <w:lang w:val="en-US" w:eastAsia="zh-CN" w:bidi="ar"/>
        </w:rPr>
        <w:t>本理财计划本着稳健投资的理念，基于宏观经济形势、货币政策、固定收益资产价格走势，采用安全性和流动性优先、优选投资品种，采取久期策略和信用策略来获取稳定收益。本产品以固定收益投资为主，主要投资于债券、存款、货币基金等高流动性资产并通过开展债券回购等融入或融出资金，以应对流动性需要和提高资金使用效率。</w:t>
      </w:r>
      <w:r>
        <w:rPr>
          <w:rFonts w:hint="eastAsia" w:ascii="宋体" w:hAnsi="宋体" w:eastAsia="宋体" w:cs="宋体"/>
          <w:b/>
          <w:bCs/>
          <w:kern w:val="2"/>
          <w:sz w:val="24"/>
          <w:szCs w:val="24"/>
          <w:lang w:val="en-US" w:eastAsia="zh-CN" w:bidi="ar"/>
        </w:rPr>
        <w:t>本产品还可能根据市场行情，在监管政策允许的范围内，在适当的时机投资不高于理财产品总资产的</w:t>
      </w:r>
      <w:r>
        <w:rPr>
          <w:rFonts w:hint="eastAsia" w:ascii="宋体" w:hAnsi="Calibri" w:eastAsia="宋体" w:cs="宋体"/>
          <w:b/>
          <w:bCs/>
          <w:kern w:val="2"/>
          <w:sz w:val="24"/>
          <w:szCs w:val="24"/>
          <w:lang w:val="en-US" w:eastAsia="zh-CN" w:bidi="ar"/>
        </w:rPr>
        <w:t>20%的资金于其他资产</w:t>
      </w:r>
      <w:r>
        <w:rPr>
          <w:rFonts w:hint="eastAsia" w:ascii="宋体" w:hAnsi="宋体" w:cs="宋体"/>
          <w:bCs/>
          <w:color w:val="000000"/>
          <w:sz w:val="24"/>
          <w:highlight w:val="none"/>
        </w:rPr>
        <w:t>。</w:t>
      </w:r>
    </w:p>
    <w:p>
      <w:pPr>
        <w:numPr>
          <w:ilvl w:val="0"/>
          <w:numId w:val="1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投资限制</w:t>
      </w:r>
    </w:p>
    <w:p>
      <w:pPr>
        <w:numPr>
          <w:ilvl w:val="0"/>
          <w:numId w:val="0"/>
        </w:numPr>
        <w:spacing w:line="360" w:lineRule="auto"/>
        <w:ind w:firstLine="480" w:firstLineChars="200"/>
        <w:jc w:val="left"/>
        <w:outlineLvl w:val="9"/>
        <w:rPr>
          <w:rFonts w:hint="eastAsia" w:ascii="宋体" w:hAnsi="宋体" w:eastAsia="宋体" w:cs="宋体"/>
          <w:b w:val="0"/>
          <w:bCs/>
          <w:sz w:val="24"/>
          <w:highlight w:val="none"/>
          <w:lang w:val="en-US" w:eastAsia="zh-CN"/>
        </w:rPr>
      </w:pPr>
      <w:r>
        <w:rPr>
          <w:rFonts w:hint="eastAsia" w:ascii="宋体" w:hAnsi="宋体" w:cs="宋体"/>
          <w:b w:val="0"/>
          <w:bCs/>
          <w:sz w:val="24"/>
          <w:highlight w:val="none"/>
          <w:lang w:val="en-US" w:eastAsia="zh-CN"/>
        </w:rPr>
        <w:t>投资限制中列示的资产品种不代表管理人的实际投向，本理财计划投资范围以“投资范围”章节表述为准。</w:t>
      </w:r>
    </w:p>
    <w:p>
      <w:pPr>
        <w:numPr>
          <w:ilvl w:val="0"/>
          <w:numId w:val="14"/>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投资集中度限制</w:t>
      </w:r>
    </w:p>
    <w:p>
      <w:pPr>
        <w:numPr>
          <w:ilvl w:val="0"/>
          <w:numId w:val="15"/>
        </w:num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rPr>
        <w:t>本理</w:t>
      </w:r>
      <w:r>
        <w:rPr>
          <w:rFonts w:hint="eastAsia" w:ascii="宋体" w:hAnsi="宋体" w:cs="宋体"/>
          <w:bCs/>
          <w:sz w:val="24"/>
          <w:highlight w:val="none"/>
        </w:rPr>
        <w:t>财计划持有单只证券或单只公募</w:t>
      </w:r>
      <w:r>
        <w:rPr>
          <w:rFonts w:ascii="宋体" w:hAnsi="宋体" w:cs="宋体"/>
          <w:bCs/>
          <w:sz w:val="24"/>
          <w:highlight w:val="none"/>
        </w:rPr>
        <w:fldChar w:fldCharType="begin"/>
      </w:r>
      <w:r>
        <w:rPr>
          <w:rFonts w:ascii="宋体" w:hAnsi="宋体" w:cs="宋体"/>
          <w:bCs/>
          <w:sz w:val="24"/>
          <w:highlight w:val="none"/>
        </w:rPr>
        <w:instrText xml:space="preserve"> HYPERLINK "https://baike.baidu.com/item/%E8%AF%81%E5%88%B8%E6%8A%95%E8%B5%84%E5%9F%BA%E9%87%91/3746" \t "https://baike.baidu.com/item/%E5%95%86%E4%B8%9A%E9%93%B6%E8%A1%8C%E7%90%86%E8%B4%A2%E4%B8%9A%E5%8A%A1%E7%9B%91%E7%9D%A3%E7%AE%A1%E7%90%86%E5%8A%9E%E6%B3%95/_blank" </w:instrText>
      </w:r>
      <w:r>
        <w:rPr>
          <w:rFonts w:ascii="宋体" w:hAnsi="宋体" w:cs="宋体"/>
          <w:bCs/>
          <w:sz w:val="24"/>
          <w:highlight w:val="none"/>
        </w:rPr>
        <w:fldChar w:fldCharType="separate"/>
      </w:r>
      <w:r>
        <w:rPr>
          <w:rFonts w:ascii="宋体" w:hAnsi="宋体" w:cs="宋体"/>
          <w:bCs/>
          <w:sz w:val="24"/>
          <w:highlight w:val="none"/>
        </w:rPr>
        <w:t>证券投资基金</w:t>
      </w:r>
      <w:r>
        <w:rPr>
          <w:rFonts w:ascii="宋体" w:hAnsi="宋体" w:cs="宋体"/>
          <w:bCs/>
          <w:sz w:val="24"/>
          <w:highlight w:val="none"/>
        </w:rPr>
        <w:fldChar w:fldCharType="end"/>
      </w:r>
      <w:r>
        <w:rPr>
          <w:rFonts w:ascii="宋体" w:hAnsi="宋体" w:cs="宋体"/>
          <w:bCs/>
          <w:sz w:val="24"/>
          <w:highlight w:val="none"/>
        </w:rPr>
        <w:t>的市值不得超过该理财</w:t>
      </w:r>
      <w:r>
        <w:rPr>
          <w:rFonts w:hint="eastAsia" w:ascii="宋体" w:hAnsi="宋体" w:cs="宋体"/>
          <w:bCs/>
          <w:sz w:val="24"/>
          <w:highlight w:val="none"/>
        </w:rPr>
        <w:t>计划</w:t>
      </w:r>
      <w:r>
        <w:rPr>
          <w:rFonts w:ascii="宋体" w:hAnsi="宋体" w:cs="宋体"/>
          <w:bCs/>
          <w:sz w:val="24"/>
          <w:highlight w:val="none"/>
        </w:rPr>
        <w:t>净资产</w:t>
      </w:r>
      <w:r>
        <w:rPr>
          <w:rFonts w:hint="eastAsia" w:ascii="宋体" w:hAnsi="宋体" w:cs="宋体"/>
          <w:bCs/>
          <w:sz w:val="24"/>
          <w:highlight w:val="none"/>
        </w:rPr>
        <w:t>的</w:t>
      </w:r>
      <w:r>
        <w:rPr>
          <w:rFonts w:ascii="宋体" w:hAnsi="宋体" w:cs="宋体"/>
          <w:bCs/>
          <w:sz w:val="24"/>
          <w:highlight w:val="none"/>
        </w:rPr>
        <w:t>10%</w:t>
      </w:r>
      <w:r>
        <w:rPr>
          <w:rFonts w:hint="eastAsia" w:ascii="宋体" w:hAnsi="宋体" w:cs="宋体"/>
          <w:bCs/>
          <w:sz w:val="24"/>
          <w:highlight w:val="none"/>
        </w:rPr>
        <w:t>。</w:t>
      </w:r>
    </w:p>
    <w:p>
      <w:pPr>
        <w:numPr>
          <w:ilvl w:val="0"/>
          <w:numId w:val="1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管理人发行的全部公募理财计划持有单只证券或单只公募证券投资基金的市值，不得超过该证券市值或该公募证券投资基金市值的30%。</w:t>
      </w:r>
    </w:p>
    <w:p>
      <w:pPr>
        <w:numPr>
          <w:ilvl w:val="0"/>
          <w:numId w:val="1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管理人发行的全部理财计划持有单一上市公司发行的股票，不得超过该上市公司可流通股票的30%。</w:t>
      </w:r>
    </w:p>
    <w:p>
      <w:pPr>
        <w:numPr>
          <w:ilvl w:val="0"/>
          <w:numId w:val="1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管理人</w:t>
      </w:r>
      <w:r>
        <w:rPr>
          <w:rFonts w:hint="eastAsia" w:ascii="宋体" w:hAnsi="宋体" w:cs="宋体"/>
          <w:bCs/>
          <w:sz w:val="24"/>
          <w:highlight w:val="none"/>
        </w:rPr>
        <w:t>发行的全部</w:t>
      </w:r>
      <w:r>
        <w:rPr>
          <w:rFonts w:hint="eastAsia" w:ascii="宋体" w:hAnsi="宋体"/>
          <w:sz w:val="24"/>
          <w:highlight w:val="none"/>
        </w:rPr>
        <w:t>开放式公募</w:t>
      </w:r>
      <w:r>
        <w:rPr>
          <w:rFonts w:hint="eastAsia" w:ascii="宋体" w:hAnsi="宋体" w:cs="宋体"/>
          <w:bCs/>
          <w:sz w:val="24"/>
          <w:highlight w:val="none"/>
        </w:rPr>
        <w:t>理财计划</w:t>
      </w:r>
      <w:r>
        <w:rPr>
          <w:rFonts w:hint="eastAsia" w:ascii="宋体" w:hAnsi="宋体"/>
          <w:sz w:val="24"/>
          <w:highlight w:val="none"/>
        </w:rPr>
        <w:t>投资单一上市公司发行的股票,不得超过该上市公司可流通股票的15%。</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国务院银行业监督管理机构另有规定的除外。</w:t>
      </w:r>
    </w:p>
    <w:p>
      <w:p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非因管理人主观因素导致突破前述比例限制的，管理人应当在流动性受限资产可出售、可转让或者恢复交易的10个交易日内调整至符合要求，国务院银行业监督管理机构规定的特殊情形除外。</w:t>
      </w:r>
    </w:p>
    <w:p>
      <w:pPr>
        <w:numPr>
          <w:ilvl w:val="0"/>
          <w:numId w:val="14"/>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投资期限限制</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本理财计划投资的非标准化债权类资产到期日不得晚于理财计划最近一次开放日。</w:t>
      </w:r>
    </w:p>
    <w:p>
      <w:pPr>
        <w:numPr>
          <w:ilvl w:val="0"/>
          <w:numId w:val="14"/>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投资杠杆率限制</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本理财计划的总资产不得超过净资产的140%。</w:t>
      </w:r>
    </w:p>
    <w:p>
      <w:pPr>
        <w:numPr>
          <w:ilvl w:val="0"/>
          <w:numId w:val="16"/>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流动性限制</w:t>
      </w:r>
    </w:p>
    <w:p>
      <w:pPr>
        <w:numPr>
          <w:ilvl w:val="0"/>
          <w:numId w:val="17"/>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lang w:val="en-US" w:eastAsia="zh-CN"/>
        </w:rPr>
        <w:t>本理财计划直接投资于流动性受限资产的市值在开放日不得超过该理财计划资产净值的15%。</w:t>
      </w:r>
    </w:p>
    <w:p>
      <w:pPr>
        <w:numPr>
          <w:ilvl w:val="0"/>
          <w:numId w:val="17"/>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lang w:val="en-US" w:eastAsia="zh-CN"/>
        </w:rPr>
        <w:t>本理财计划还应满足以下限制</w:t>
      </w:r>
      <w:r>
        <w:rPr>
          <w:rFonts w:hint="eastAsia" w:ascii="宋体" w:hAnsi="宋体" w:cs="宋体"/>
          <w:bCs/>
          <w:color w:val="000000"/>
          <w:sz w:val="24"/>
          <w:highlight w:val="none"/>
        </w:rPr>
        <w:t>【</w:t>
      </w:r>
      <w:r>
        <w:rPr>
          <w:rFonts w:hint="eastAsia" w:ascii="宋体" w:hAnsi="宋体" w:cs="宋体"/>
          <w:bCs/>
          <w:color w:val="000000"/>
          <w:sz w:val="24"/>
          <w:highlight w:val="none"/>
          <w:lang w:eastAsia="zh"/>
        </w:rPr>
        <w:t>b</w:t>
      </w:r>
      <w:r>
        <w:rPr>
          <w:rFonts w:hint="eastAsia" w:ascii="宋体" w:hAnsi="宋体" w:cs="宋体"/>
          <w:bCs/>
          <w:color w:val="000000"/>
          <w:sz w:val="24"/>
          <w:highlight w:val="none"/>
        </w:rPr>
        <w:t>】</w:t>
      </w:r>
    </w:p>
    <w:p>
      <w:pPr>
        <w:numPr>
          <w:ilvl w:val="0"/>
          <w:numId w:val="18"/>
        </w:numPr>
        <w:spacing w:line="360" w:lineRule="auto"/>
        <w:ind w:firstLine="720" w:firstLineChars="300"/>
        <w:jc w:val="left"/>
        <w:rPr>
          <w:rFonts w:hint="default" w:ascii="宋体" w:hAnsi="宋体" w:eastAsia="宋体" w:cs="宋体"/>
          <w:bCs/>
          <w:color w:val="000000"/>
          <w:sz w:val="24"/>
          <w:highlight w:val="none"/>
          <w:lang w:val="en-US" w:eastAsia="zh-CN"/>
        </w:rPr>
      </w:pPr>
      <w:r>
        <w:rPr>
          <w:rFonts w:hint="eastAsia" w:ascii="宋体" w:hAnsi="宋体" w:cs="宋体"/>
          <w:bCs/>
          <w:color w:val="000000"/>
          <w:sz w:val="24"/>
          <w:highlight w:val="none"/>
          <w:lang w:val="en-US" w:eastAsia="zh-CN"/>
        </w:rPr>
        <w:t>本理财计划</w:t>
      </w:r>
      <w:r>
        <w:rPr>
          <w:rFonts w:hint="eastAsia" w:ascii="宋体" w:hAnsi="宋体" w:cs="宋体"/>
          <w:bCs/>
          <w:color w:val="000000"/>
          <w:sz w:val="24"/>
          <w:highlight w:val="none"/>
        </w:rPr>
        <w:t>应当持有不低于该理财</w:t>
      </w:r>
      <w:r>
        <w:rPr>
          <w:rFonts w:hint="eastAsia" w:ascii="宋体" w:hAnsi="宋体" w:cs="宋体"/>
          <w:bCs/>
          <w:color w:val="000000"/>
          <w:sz w:val="24"/>
          <w:highlight w:val="none"/>
          <w:lang w:eastAsia="zh-CN"/>
        </w:rPr>
        <w:t>计划</w:t>
      </w:r>
      <w:r>
        <w:rPr>
          <w:rFonts w:hint="eastAsia" w:ascii="宋体" w:hAnsi="宋体" w:cs="宋体"/>
          <w:bCs/>
          <w:color w:val="000000"/>
          <w:sz w:val="24"/>
          <w:highlight w:val="none"/>
        </w:rPr>
        <w:t>资产净值5%的现金或者到期日在一年以内的国债、中央银行票据和政策性金融债券。</w:t>
      </w:r>
    </w:p>
    <w:p>
      <w:pPr>
        <w:numPr>
          <w:ilvl w:val="0"/>
          <w:numId w:val="18"/>
        </w:numPr>
        <w:spacing w:line="360" w:lineRule="auto"/>
        <w:ind w:firstLine="720" w:firstLineChars="300"/>
        <w:jc w:val="left"/>
        <w:rPr>
          <w:rFonts w:hint="default" w:ascii="宋体" w:hAnsi="宋体" w:eastAsia="宋体" w:cs="宋体"/>
          <w:bCs/>
          <w:color w:val="000000"/>
          <w:sz w:val="24"/>
          <w:highlight w:val="none"/>
          <w:lang w:val="en-US" w:eastAsia="zh-CN"/>
        </w:rPr>
      </w:pPr>
      <w:r>
        <w:rPr>
          <w:rFonts w:hint="eastAsia" w:ascii="宋体" w:hAnsi="宋体" w:cs="宋体"/>
          <w:bCs/>
          <w:color w:val="000000"/>
          <w:sz w:val="24"/>
          <w:highlight w:val="none"/>
          <w:lang w:val="en-US" w:eastAsia="zh-CN"/>
        </w:rPr>
        <w:t>本理财计划应当在开放日及开放日前7个工作日内持有不低于该理财计划资产净值5%的现金或者到期日在一年以内的国债、中央银行票据和政策性金融债券。</w:t>
      </w:r>
    </w:p>
    <w:p>
      <w:pPr>
        <w:numPr>
          <w:ilvl w:val="0"/>
          <w:numId w:val="18"/>
        </w:numPr>
        <w:spacing w:line="360" w:lineRule="auto"/>
        <w:ind w:firstLine="720" w:firstLineChars="300"/>
        <w:jc w:val="left"/>
        <w:rPr>
          <w:rFonts w:hint="default" w:ascii="宋体" w:hAnsi="宋体" w:eastAsia="宋体" w:cs="宋体"/>
          <w:bCs/>
          <w:sz w:val="24"/>
          <w:highlight w:val="none"/>
          <w:lang w:val="en-US" w:eastAsia="zh-CN"/>
        </w:rPr>
      </w:pPr>
      <w:r>
        <w:rPr>
          <w:rFonts w:hint="eastAsia" w:ascii="宋体" w:hAnsi="宋体" w:cs="宋体"/>
          <w:bCs/>
          <w:sz w:val="24"/>
          <w:highlight w:val="none"/>
          <w:lang w:val="en-US" w:eastAsia="zh-CN"/>
        </w:rPr>
        <w:t>本理财计划不存在活跃交易市场，并且需要采用估值技术确定公允价值的资产比例不得超过理财产品净资产50%以上。</w:t>
      </w:r>
    </w:p>
    <w:p>
      <w:pPr>
        <w:numPr>
          <w:ilvl w:val="0"/>
          <w:numId w:val="17"/>
        </w:numPr>
        <w:spacing w:line="360" w:lineRule="auto"/>
        <w:ind w:firstLine="480" w:firstLineChars="200"/>
        <w:jc w:val="left"/>
        <w:rPr>
          <w:rFonts w:hint="default" w:ascii="宋体" w:hAnsi="宋体" w:cs="宋体"/>
          <w:bCs/>
          <w:sz w:val="24"/>
          <w:highlight w:val="none"/>
          <w:lang w:val="en-US" w:eastAsia="zh-CN"/>
        </w:rPr>
      </w:pPr>
      <w:r>
        <w:rPr>
          <w:rFonts w:hint="eastAsia" w:ascii="宋体" w:hAnsi="宋体" w:cs="宋体"/>
          <w:bCs/>
          <w:sz w:val="24"/>
          <w:highlight w:val="none"/>
          <w:lang w:val="en-US" w:eastAsia="zh-CN"/>
        </w:rPr>
        <w:t>在开放日前一工作日内，本理财计划7个工作日可变现资产的可变现价值应当不低于该理财计划资产净值的10%。</w:t>
      </w:r>
    </w:p>
    <w:p>
      <w:pPr>
        <w:numPr>
          <w:ilvl w:val="0"/>
          <w:numId w:val="19"/>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其他投资限制</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本理财计划不得直接投资于信贷资产，不得直接或间接投资于杭州银行信贷资产，不得直接或间接投资于杭州银行或其他银行业金融机构发行的理财产品，不得直接或间接投资于杭州银行发行的次级档信贷</w:t>
      </w:r>
      <w:r>
        <w:rPr>
          <w:rFonts w:ascii="宋体" w:hAnsi="宋体" w:cs="宋体"/>
          <w:bCs/>
          <w:sz w:val="24"/>
          <w:highlight w:val="none"/>
        </w:rPr>
        <w:fldChar w:fldCharType="begin"/>
      </w:r>
      <w:r>
        <w:rPr>
          <w:rFonts w:ascii="宋体" w:hAnsi="宋体" w:cs="宋体"/>
          <w:bCs/>
          <w:sz w:val="24"/>
          <w:highlight w:val="none"/>
        </w:rPr>
        <w:instrText xml:space="preserve"> HYPERLINK "https://baike.baidu.com/item/%E8%B5%84%E4%BA%A7%E6%94%AF%E6%8C%81%E8%AF%81%E5%88%B8/8989161" \t "https://baike.baidu.com/item/%E5%95%86%E4%B8%9A%E9%93%B6%E8%A1%8C%E7%90%86%E8%B4%A2%E4%B8%9A%E5%8A%A1%E7%9B%91%E7%9D%A3%E7%AE%A1%E7%90%86%E5%8A%9E%E6%B3%95/_blank" </w:instrText>
      </w:r>
      <w:r>
        <w:rPr>
          <w:rFonts w:ascii="宋体" w:hAnsi="宋体" w:cs="宋体"/>
          <w:bCs/>
          <w:sz w:val="24"/>
          <w:highlight w:val="none"/>
        </w:rPr>
        <w:fldChar w:fldCharType="separate"/>
      </w:r>
      <w:r>
        <w:rPr>
          <w:rFonts w:ascii="宋体" w:hAnsi="宋体" w:cs="宋体"/>
          <w:bCs/>
          <w:sz w:val="24"/>
          <w:highlight w:val="none"/>
        </w:rPr>
        <w:t>资产支持证券</w:t>
      </w:r>
      <w:r>
        <w:rPr>
          <w:rFonts w:ascii="宋体" w:hAnsi="宋体" w:cs="宋体"/>
          <w:bCs/>
          <w:sz w:val="24"/>
          <w:highlight w:val="none"/>
        </w:rPr>
        <w:fldChar w:fldCharType="end"/>
      </w:r>
      <w:r>
        <w:rPr>
          <w:rFonts w:hint="eastAsia" w:ascii="宋体" w:hAnsi="宋体" w:cs="宋体"/>
          <w:bCs/>
          <w:sz w:val="24"/>
          <w:highlight w:val="none"/>
        </w:rPr>
        <w:t>，不得直接或间接投资于未上市公司股权及其受（收）益权。</w:t>
      </w:r>
    </w:p>
    <w:p>
      <w:pPr>
        <w:numPr>
          <w:ilvl w:val="0"/>
          <w:numId w:val="12"/>
        </w:numPr>
        <w:spacing w:line="360" w:lineRule="auto"/>
        <w:ind w:left="0" w:leftChars="0" w:firstLine="482" w:firstLineChars="200"/>
        <w:jc w:val="left"/>
        <w:outlineLvl w:val="2"/>
        <w:rPr>
          <w:rFonts w:hint="eastAsia" w:ascii="宋体" w:hAnsi="宋体" w:cs="宋体"/>
          <w:b/>
          <w:bCs w:val="0"/>
          <w:sz w:val="24"/>
          <w:highlight w:val="none"/>
        </w:rPr>
      </w:pPr>
      <w:r>
        <w:rPr>
          <w:rFonts w:hint="eastAsia" w:ascii="宋体" w:hAnsi="宋体" w:cs="宋体"/>
          <w:b/>
          <w:bCs w:val="0"/>
          <w:sz w:val="24"/>
          <w:highlight w:val="none"/>
          <w:lang w:eastAsia="zh-CN"/>
        </w:rPr>
        <w:t>拟投资市场、资产的流动性风险评估</w:t>
      </w:r>
    </w:p>
    <w:p>
      <w:pPr>
        <w:numPr>
          <w:ilvl w:val="0"/>
          <w:numId w:val="0"/>
        </w:numPr>
        <w:spacing w:line="360" w:lineRule="auto"/>
        <w:ind w:firstLine="480" w:firstLineChars="200"/>
        <w:jc w:val="left"/>
        <w:rPr>
          <w:rFonts w:hint="eastAsia" w:ascii="宋体" w:hAnsi="宋体" w:cs="宋体"/>
          <w:b w:val="0"/>
          <w:bCs/>
          <w:sz w:val="24"/>
          <w:highlight w:val="none"/>
          <w:lang w:val="en-US" w:eastAsia="zh-CN"/>
        </w:rPr>
      </w:pPr>
      <w:r>
        <w:rPr>
          <w:rFonts w:hint="eastAsia" w:ascii="宋体" w:hAnsi="宋体" w:cs="宋体"/>
          <w:b w:val="0"/>
          <w:bCs/>
          <w:sz w:val="24"/>
          <w:highlight w:val="none"/>
          <w:lang w:eastAsia="zh-CN"/>
        </w:rPr>
        <w:t>本理财计划</w:t>
      </w:r>
      <w:r>
        <w:rPr>
          <w:rFonts w:hint="eastAsia" w:ascii="宋体" w:hAnsi="宋体" w:cs="宋体"/>
          <w:b w:val="0"/>
          <w:bCs/>
          <w:sz w:val="24"/>
          <w:highlight w:val="none"/>
          <w:lang w:val="en-US" w:eastAsia="zh-CN"/>
        </w:rPr>
        <w:t>拟投资市场可能面临的流动性风险如下：</w:t>
      </w:r>
    </w:p>
    <w:p>
      <w:pPr>
        <w:numPr>
          <w:ilvl w:val="0"/>
          <w:numId w:val="20"/>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lang w:eastAsia="zh-CN"/>
        </w:rPr>
        <w:t>投资于</w:t>
      </w:r>
      <w:r>
        <w:rPr>
          <w:rFonts w:hint="eastAsia" w:ascii="宋体" w:hAnsi="宋体" w:cs="宋体"/>
          <w:bCs/>
          <w:sz w:val="24"/>
          <w:highlight w:val="none"/>
          <w:lang w:val="en-US" w:eastAsia="zh-CN"/>
        </w:rPr>
        <w:t>标准化固收类的可能流动性风险：各类债券、存款、货币基金、债券基金、质押式及买断式回购等标准化资产具体规范的交易场所，市场透明度较高，运作方式规范，可支持产品的投资和应对日常申赎的需要。上述资产受限于市场交易活跃度，或当出现风险事件后，可能会难以以合理价格变现，同时市场资金面紧张也可能降低市场参与者的交易意愿，进而带来流动性风险。</w:t>
      </w:r>
    </w:p>
    <w:p>
      <w:pPr>
        <w:numPr>
          <w:ilvl w:val="0"/>
          <w:numId w:val="20"/>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lang w:val="en-US" w:eastAsia="zh-CN"/>
        </w:rPr>
        <w:t>投资于非标准化固定收益类资产的可能流动性风险（如有）：非标准化固定收益类资产项下的基础资产现金流未能及时完整取得而产生信用风险，从而无法如期兑付进一步引发流动性风险。</w:t>
      </w:r>
    </w:p>
    <w:p>
      <w:pPr>
        <w:numPr>
          <w:ilvl w:val="0"/>
          <w:numId w:val="20"/>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lang w:val="en-US" w:eastAsia="zh-CN"/>
        </w:rPr>
        <w:t>投资于权益类、其他类资产的可能流动性风险（如有）：权益类、其他类资产包括但不限于上市公司普通股、上市公司优先股、股票基金、股票定向增发、未上市公司股权等，受国家政策、经济周期、利率、汇率、股票发行人经营情况、大宗商品等因素导致的市场风险，可能导致流通与转让限制、市场参与者交易意愿降低、停牌、退市等情形，从而进一步引发流动性风险。</w:t>
      </w:r>
    </w:p>
    <w:p>
      <w:pPr>
        <w:numPr>
          <w:ilvl w:val="0"/>
          <w:numId w:val="0"/>
        </w:numPr>
        <w:spacing w:line="360" w:lineRule="auto"/>
        <w:ind w:firstLine="480" w:firstLineChars="200"/>
        <w:jc w:val="left"/>
        <w:rPr>
          <w:rFonts w:hint="eastAsia" w:ascii="宋体" w:hAnsi="宋体" w:cs="宋体"/>
          <w:bCs/>
          <w:sz w:val="24"/>
          <w:highlight w:val="none"/>
          <w:lang w:val="en-US" w:eastAsia="zh-CN"/>
        </w:rPr>
      </w:pPr>
      <w:r>
        <w:rPr>
          <w:rFonts w:hint="eastAsia" w:ascii="宋体" w:hAnsi="宋体" w:cs="宋体"/>
          <w:bCs/>
          <w:sz w:val="24"/>
          <w:highlight w:val="none"/>
          <w:lang w:val="en-US" w:eastAsia="zh-CN"/>
        </w:rPr>
        <w:t>以上风险仅为列举性质，未能详尽列明拟投资市场和资产面临的全部流动性风险</w:t>
      </w:r>
      <w:r>
        <w:rPr>
          <w:rFonts w:hint="default" w:ascii="宋体" w:hAnsi="宋体" w:cs="宋体"/>
          <w:bCs/>
          <w:sz w:val="24"/>
          <w:highlight w:val="none"/>
          <w:lang w:val="en-US" w:eastAsia="zh-CN"/>
        </w:rPr>
        <w:t>可能导致投资者投资本金及收益损失</w:t>
      </w:r>
      <w:r>
        <w:rPr>
          <w:rFonts w:hint="eastAsia" w:ascii="宋体" w:hAnsi="宋体" w:cs="宋体"/>
          <w:bCs/>
          <w:sz w:val="24"/>
          <w:highlight w:val="none"/>
          <w:lang w:val="en-US" w:eastAsia="zh-CN"/>
        </w:rPr>
        <w:t>或延期兑付</w:t>
      </w:r>
      <w:r>
        <w:rPr>
          <w:rFonts w:hint="default" w:ascii="宋体" w:hAnsi="宋体" w:cs="宋体"/>
          <w:bCs/>
          <w:sz w:val="24"/>
          <w:highlight w:val="none"/>
          <w:lang w:val="en-US" w:eastAsia="zh-CN"/>
        </w:rPr>
        <w:t>的所有因素</w:t>
      </w:r>
      <w:r>
        <w:rPr>
          <w:rFonts w:hint="eastAsia" w:ascii="宋体" w:hAnsi="宋体" w:cs="宋体"/>
          <w:bCs/>
          <w:sz w:val="24"/>
          <w:highlight w:val="none"/>
          <w:lang w:val="en-US" w:eastAsia="zh-CN"/>
        </w:rPr>
        <w:t>。管理人会进行标的的分散化投资并结合对各类标的资产的预期流动性合理进行资产配置，最大程度防范流动性风险。</w:t>
      </w:r>
    </w:p>
    <w:p>
      <w:pPr>
        <w:numPr>
          <w:ilvl w:val="0"/>
          <w:numId w:val="0"/>
        </w:numPr>
        <w:spacing w:line="360" w:lineRule="auto"/>
        <w:ind w:firstLine="480" w:firstLineChars="200"/>
        <w:jc w:val="left"/>
        <w:rPr>
          <w:rFonts w:hint="eastAsia" w:ascii="宋体" w:hAnsi="宋体" w:cs="宋体"/>
          <w:bCs/>
          <w:sz w:val="24"/>
          <w:highlight w:val="none"/>
          <w:lang w:val="en-US" w:eastAsia="zh-CN"/>
        </w:rPr>
      </w:pPr>
    </w:p>
    <w:p>
      <w:pPr>
        <w:numPr>
          <w:ilvl w:val="0"/>
          <w:numId w:val="21"/>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合作机构及主要职责</w:t>
      </w:r>
    </w:p>
    <w:p>
      <w:pPr>
        <w:numPr>
          <w:ilvl w:val="0"/>
          <w:numId w:val="2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托管人</w:t>
      </w:r>
    </w:p>
    <w:tbl>
      <w:tblPr>
        <w:tblStyle w:val="11"/>
        <w:tblW w:w="8280" w:type="dxa"/>
        <w:tblInd w:w="1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25"/>
        <w:gridCol w:w="625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8" w:hRule="atLeast"/>
        </w:trPr>
        <w:tc>
          <w:tcPr>
            <w:tcW w:w="2025" w:type="dxa"/>
            <w:noWrap w:val="0"/>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bCs/>
                <w:sz w:val="21"/>
                <w:szCs w:val="21"/>
                <w:highlight w:val="none"/>
              </w:rPr>
            </w:pPr>
            <w:r>
              <w:rPr>
                <w:rFonts w:hint="eastAsia" w:ascii="宋体" w:hAnsi="宋体" w:cs="宋体"/>
                <w:bCs/>
                <w:sz w:val="21"/>
                <w:szCs w:val="21"/>
                <w:highlight w:val="none"/>
              </w:rPr>
              <w:t>托管人名称</w:t>
            </w:r>
          </w:p>
        </w:tc>
        <w:tc>
          <w:tcPr>
            <w:tcW w:w="6255" w:type="dxa"/>
            <w:noWrap w:val="0"/>
            <w:vAlign w:val="top"/>
          </w:tcPr>
          <w:p>
            <w:pPr>
              <w:keepNext w:val="0"/>
              <w:keepLines w:val="0"/>
              <w:suppressLineNumbers w:val="0"/>
              <w:spacing w:before="0" w:beforeAutospacing="0" w:after="0" w:afterAutospacing="0" w:line="360" w:lineRule="auto"/>
              <w:ind w:left="0" w:right="0"/>
              <w:jc w:val="left"/>
              <w:rPr>
                <w:rFonts w:hint="default" w:ascii="宋体" w:hAnsi="宋体" w:cs="宋体"/>
                <w:bCs/>
                <w:sz w:val="21"/>
                <w:szCs w:val="21"/>
                <w:highlight w:val="none"/>
              </w:rPr>
            </w:pPr>
            <w:r>
              <w:rPr>
                <w:rFonts w:hint="eastAsia" w:ascii="宋体" w:hAnsi="宋体" w:eastAsia="宋体" w:cs="宋体"/>
                <w:bCs/>
                <w:kern w:val="2"/>
                <w:sz w:val="21"/>
                <w:szCs w:val="21"/>
                <w:highlight w:val="none"/>
                <w:lang w:val="en-US" w:eastAsia="zh-CN" w:bidi="ar-SA"/>
              </w:rPr>
              <w:t>杭州银行股份有限公司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trPr>
        <w:tc>
          <w:tcPr>
            <w:tcW w:w="2025" w:type="dxa"/>
            <w:noWrap w:val="0"/>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bCs/>
                <w:sz w:val="21"/>
                <w:szCs w:val="21"/>
                <w:highlight w:val="none"/>
              </w:rPr>
            </w:pPr>
            <w:r>
              <w:rPr>
                <w:rFonts w:hint="eastAsia" w:ascii="宋体" w:hAnsi="宋体" w:cs="宋体"/>
                <w:bCs/>
                <w:sz w:val="21"/>
                <w:szCs w:val="21"/>
                <w:highlight w:val="none"/>
              </w:rPr>
              <w:t>托管人住所</w:t>
            </w:r>
          </w:p>
        </w:tc>
        <w:tc>
          <w:tcPr>
            <w:tcW w:w="6255" w:type="dxa"/>
            <w:noWrap w:val="0"/>
            <w:vAlign w:val="top"/>
          </w:tcPr>
          <w:p>
            <w:pPr>
              <w:keepNext w:val="0"/>
              <w:keepLines w:val="0"/>
              <w:suppressLineNumbers w:val="0"/>
              <w:spacing w:before="0" w:beforeAutospacing="0" w:after="0" w:afterAutospacing="0" w:line="360" w:lineRule="auto"/>
              <w:ind w:left="0" w:right="0"/>
              <w:jc w:val="left"/>
              <w:rPr>
                <w:rFonts w:hint="eastAsia" w:ascii="宋体" w:hAnsi="宋体" w:cs="宋体"/>
                <w:bCs/>
                <w:sz w:val="21"/>
                <w:szCs w:val="21"/>
                <w:highlight w:val="none"/>
              </w:rPr>
            </w:pPr>
            <w:r>
              <w:rPr>
                <w:rFonts w:hint="eastAsia" w:ascii="宋体" w:hAnsi="宋体" w:eastAsia="宋体" w:cs="宋体"/>
                <w:bCs/>
                <w:kern w:val="2"/>
                <w:sz w:val="21"/>
                <w:szCs w:val="21"/>
                <w:highlight w:val="none"/>
                <w:lang w:val="en-US" w:eastAsia="zh-CN" w:bidi="ar-SA"/>
              </w:rPr>
              <w:t>浙江省杭州市上城区解放东路168号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71" w:hRule="atLeast"/>
        </w:trPr>
        <w:tc>
          <w:tcPr>
            <w:tcW w:w="2025" w:type="dxa"/>
            <w:noWrap w:val="0"/>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bCs/>
                <w:sz w:val="21"/>
                <w:szCs w:val="21"/>
                <w:highlight w:val="none"/>
              </w:rPr>
            </w:pPr>
            <w:r>
              <w:rPr>
                <w:rFonts w:hint="eastAsia" w:ascii="宋体" w:hAnsi="宋体" w:cs="宋体"/>
                <w:bCs/>
                <w:sz w:val="21"/>
                <w:szCs w:val="21"/>
                <w:highlight w:val="none"/>
              </w:rPr>
              <w:t>托管人职责</w:t>
            </w:r>
          </w:p>
        </w:tc>
        <w:tc>
          <w:tcPr>
            <w:tcW w:w="6255" w:type="dxa"/>
            <w:noWrap w:val="0"/>
            <w:vAlign w:val="top"/>
          </w:tcPr>
          <w:p>
            <w:pPr>
              <w:keepNext w:val="0"/>
              <w:keepLines w:val="0"/>
              <w:suppressLineNumbers w:val="0"/>
              <w:spacing w:before="0" w:beforeAutospacing="0" w:after="0" w:afterAutospacing="0" w:line="360" w:lineRule="auto"/>
              <w:ind w:left="0" w:right="0"/>
              <w:jc w:val="left"/>
              <w:rPr>
                <w:rFonts w:hint="eastAsia" w:ascii="宋体" w:hAnsi="宋体" w:cs="宋体"/>
                <w:bCs/>
                <w:sz w:val="21"/>
                <w:szCs w:val="21"/>
                <w:highlight w:val="none"/>
              </w:rPr>
            </w:pPr>
            <w:r>
              <w:rPr>
                <w:rFonts w:hint="eastAsia" w:ascii="宋体" w:hAnsi="宋体" w:eastAsia="宋体" w:cs="宋体"/>
                <w:bCs/>
                <w:kern w:val="2"/>
                <w:sz w:val="21"/>
                <w:szCs w:val="21"/>
                <w:highlight w:val="none"/>
                <w:lang w:val="en-US" w:eastAsia="zh-CN" w:bidi="ar-SA"/>
              </w:rPr>
              <w:t>主要提供包括账户开立、资金保管、资金结算、估值核对等理财产品托管服务。</w:t>
            </w:r>
          </w:p>
        </w:tc>
      </w:tr>
    </w:tbl>
    <w:p>
      <w:pPr>
        <w:numPr>
          <w:ilvl w:val="0"/>
          <w:numId w:val="23"/>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销售机构</w:t>
      </w:r>
    </w:p>
    <w:tbl>
      <w:tblPr>
        <w:tblStyle w:val="11"/>
        <w:tblW w:w="7600" w:type="dxa"/>
        <w:tblInd w:w="37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1000"/>
        <w:gridCol w:w="1600"/>
        <w:gridCol w:w="1200"/>
        <w:gridCol w:w="3800"/>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销售机构信息</w:t>
            </w: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杭州银行股份有限公司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浙江省杭州市上城区解放东路168号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95398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杭银理财有限责任公司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浙江省杭州市拱墅区庆春路38号金龙财富中心6层</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400-8950-999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上海农村商业银行股份有限公司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上海市黄浦区中山东二路70号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021-962999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东莞农村商业银行股份有限公司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广东省东莞市东城街道鸿福东路2号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0769961122</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东莞银行股份有限公司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东莞市莞城区体育路21号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0769-22865171</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东营银行股份有限公司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山东省东营市东营区府前大街87-1号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0546-7666871</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中信百信银行股份有限公司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北京市朝阳区安定路5号院3号楼8层</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956186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中邮邮惠万家银行有限责任公司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上海市虹口区东大名路1080号25层、26层</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95504</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九江银行股份有限公司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江西省九江市濂溪区长虹大道619号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95316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兴业银行股份有限公司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福建省福州市台江区江滨中大道39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0591-87844196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北京中关村银行股份有限公司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北京市海淀区丰豪东路9号院2号楼3层2单元301至306,4层至10层2单元</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4000108858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北京农村商业银行股份有限公司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北京市西城区月坛南街1号院2号楼</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96198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南洋商业银行（中国）有限公司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南京市建邺区江山大街88号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025-86775446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厦门国际银行股份有限公司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厦门市思明区鹭江道8-10号国际银行大厦1-6层</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956085</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厦门银行股份有限公司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厦门市思明区湖滨北路101号商业银行大厦</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400-858-8888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台州银行股份有限公司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浙江省台州市路桥区南官大道92号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0576-81896013</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吉林亿联银行股份有限公司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吉林省长春市南关区人民大街10606号东北亚国际金融中心一期北楼</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95396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吉林银行股份有限公司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经济开发区东南湖大路1817号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0431-84999543</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唐山银行股份有限公司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河北省唐山市路南区建设南路19号唐山新世界中心写字楼5层、21层、22层、23层、24层、26层、27层、28层、29层、30层</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0315-2826443</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四川天府银行股份有限公司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四川省南充市顺庆区滨江中路一段97号26栋</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400-16-96869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四川新网银行股份有限公司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成都高新区吉泰三路8号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95394</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大连农村商业银行股份有限公司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辽宁省大连经济技术开发区五彩城A区1栋-A1号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96689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大连银行股份有限公司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辽宁省大连市中山区中山路88号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4006640099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威海蓝海银行股份有限公司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山东省威海市环翠区新威路17-2号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0631-5356901</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宁波东海银行股份有限公司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浙江省宁波市鄞州区和济街181号1幢4、5、6、7层,宁波市鄞州区民安东路292号,宁波市鄞州区鼎泰路355号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0574-81872233</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宁波奉化农村商业银行股份有限公司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宁波市奉化区锦屏街道中山路27号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4008896596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宁波通商银行股份有限公司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浙江省宁波市鄞州区民安东路337号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4009166666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宁波鄞州农村商业银行股份有限公司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浙江省宁波市鄞州区民惠西路88号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0574-87412766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富邦华一银行有限公司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中国(上海)自由贸易试验区世纪大道1168号A座101室、18楼、19楼及20楼</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021-962811</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广东南粤银行股份有限公司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湛江经济技术开发区乐山路27号财富汇金融中心1层01、02号商铺、2层01号商铺、3层01号商铺、39-45层办公室</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0759-3309100</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广州银行股份有限公司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广州市天河区珠江东路30号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400-83-96699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德州银行股份有限公司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德州市三八东路1266号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0534-2291695</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新韩银行（中国）有限公司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北京市朝阳区工体北路甲6号中宇大厦12层,11层1101,1102及1109单元</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010-85290088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日照银行股份有限公司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日照市烟台路197号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0633-8781988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江苏常熟农村商业银行股份有限公司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江苏省常熟市新世纪大道58号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0512-52909021</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江苏昆山农村商业银行股份有限公司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江苏省昆山市前进东路828号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0512-57370966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江苏苏商银行股份有限公司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南京市建邺区庐山路248号4号楼第7、8、9、27、28、29层,4号楼裙楼第1、2层</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025-66669001</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江苏银行股份有限公司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江苏南京市中华路26号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025-83508241</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泉州银行股份有限公司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泉州市丰泽区泉泰路266号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0595-22572619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浙商银行股份有限公司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浙江省杭州市萧山区鸿宁路1788号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0571-87659101</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浙江南浔农村商业银行股份有限公司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浙江省湖州市南浔区南浔镇人瑞路1188号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4008896596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浙江台州路桥农村商业银行股份有限公司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浙江省台州市路桥区路北街道中心大道5789号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4008896596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浙江嵊州农村商业银行股份有限公司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浙江省嵊州市官河路398号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4008896596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浙江常山农村商业银行股份有限公司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浙江省衢州市常山县紫港街道文教东路258号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4008896596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浙江开化农村商业银行股份有限公司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浙江省衢州市开化县华埠镇永吉二路8号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0570-6025125</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浙江文成农村商业银行股份有限公司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浙江省温州市文成县大学镇伯温路6号文成农商银行</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4008896596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浙江新昌农村商业银行股份有限公司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新昌县七星街道七星路18号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4008896596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浙江武义农村商业银行股份有限公司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浙江省金华市武义县武阳中路37号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0579-87663486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浙江民泰商业银行股份有限公司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浙江省温岭市太平街道三星大道168号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0576-86165160</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浙江永嘉农村商业银行股份有限公司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浙江省永嘉县瓯北镇阳光大道3918号永嘉农商银行总行</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4008057705</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浙江泰顺农村商业银行股份有限公司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浙江泰顺县罗阳镇文祥大道181号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4008057708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浙江浦江农村商业银行股份有限公司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浙江省浦江县人民东路90号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0579-88081234</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浙江温州龙湾农村商业银行股份有限公司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温州市龙湾区永中街道永宁西路555号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4008296596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浙江绍兴恒信农村商业银行股份有限公司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浙江省绍兴市越城区中兴中路159号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4008896596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浙江绍兴瑞丰农村商业银行股份有限公司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浙江省绍兴市柯桥区笛扬路1363号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4008896596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浙江网商银行股份有限公司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浙江省杭州市西湖区学院路77号黄龙国际中心8号楼14-20层</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95188-3(个人客户)/956188(企业客户)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浙江苍南农村商业银行股份有限公司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浙江省温州市苍南县灵溪镇人民大道425号苍南农商银行</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0577-68111111</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浙江萧山农村商业银行股份有限公司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杭州市萧山区城厢街道人民路258号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4008896596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浙江衢州衢江农村商业银行股份有限公司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浙江省衢州市衢江区樟潭街道信安东路37号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0570-3026608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浙江诸暨农村商业银行股份有限公司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浙江省诸暨市暨阳街道大桥东路2号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4008896596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浙江长兴农村商业银行股份有限公司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浙江省长兴县太湖街道明珠路1298号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4008896596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浙江青田农村商业银行股份有限公司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浙江省丽水市青田县鹤城街道鹤城东路180号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0578-6833720</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浙江龙游农村商业银行股份有限公司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浙江省衢州市龙游县龙洲街道荣昌大道683、685、687号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4008896596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海南银行股份有限公司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海南省海口市龙华区海秀东路31号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0898-66505978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深圳前海微众银行股份有限公司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深圳市前海深港合作区前湾一路1号A栋201室（入驻深圳市前海商务秘书有限公司）经营场所:广东省深圳市南山区沙河西路1819号深圳湾科技生态园7栋A座</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0755-89462525</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湖州吴兴农村商业银行股份有限公司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浙江省湖州市吴兴区东街55号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4008896596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潍坊银行股份有限公司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潍坊市奎文区胜利东街5139号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0536-8106161</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澳门国际银行股份有限公司广州分行</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广州市天河区珠江新城华夏路8号合景国际金融广场1层104房、27层2701房自编02单元、34层3401房、35层3501房</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020-28089999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烟台银行股份有限公司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烟台市芝罘区海港路25号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0535-6691305</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甘肃银行股份有限公司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甘肃省兰州市城关区东岗西路525号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0931-8771864</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盛京银行股份有限公司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沈阳市沈河区北站路109号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95337</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石嘴山银行股份有限公司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宁夏回族自治区石嘴山市大武口区朝阳西街39号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0952-2029121</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秦皇岛银行股份有限公司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河北省秦皇岛市海港区河北大街西段560号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0335-5911161</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绍兴银行股份有限公司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浙江省绍兴市越城区塔山街道中兴南路1号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13606751337</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苏州银行股份有限公司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中国（江苏）自由贸易试验区苏州片区苏州工业园区钟园路728号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0512-69868556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郑州银行股份有限公司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郑州市郑东新区商务外环路22号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0371-67009898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重庆富民银行股份有限公司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重庆市渝北区财富东路2号涉外商务区一期B1栋</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023-88298888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重庆银行股份有限公司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重庆市江北区永平门街6号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956023</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金华银行股份有限公司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浙江省金华市丹溪路1388号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0579-96528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长安银行股份有限公司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陕西省西安市高新区高新四路13号1幢1单元10101室</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029-96669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齐鲁银行股份有限公司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山东省济南市历下区经十路10817号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0531-86075850</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Align w:val="center"/>
          </w:tcPr>
          <w:p>
            <w:pPr>
              <w:keepNext w:val="0"/>
              <w:keepLines w:val="0"/>
              <w:suppressLineNumbers w:val="0"/>
              <w:spacing w:before="0" w:beforeAutospacing="0" w:after="0" w:afterAutospacing="0"/>
              <w:ind w:left="0" w:right="0"/>
              <w:jc w:val="center"/>
              <w:rPr>
                <w:rFonts w:hint="default"/>
              </w:rPr>
            </w:pPr>
            <w:r>
              <w:rPr>
                <w:rFonts w:hint="default"/>
              </w:rPr>
              <w:t>销售机构职责</w:t>
            </w:r>
          </w:p>
        </w:tc>
        <w:tc>
          <w:tcPr>
            <w:tcW w:w="6600" w:type="dxa"/>
            <w:gridSpan w:val="3"/>
            <w:vAlign w:val="center"/>
          </w:tcPr>
          <w:p>
            <w:pPr>
              <w:keepNext w:val="0"/>
              <w:keepLines w:val="0"/>
              <w:suppressLineNumbers w:val="0"/>
              <w:spacing w:before="0" w:beforeAutospacing="0" w:after="0" w:afterAutospacing="0"/>
              <w:ind w:left="0" w:right="0"/>
              <w:jc w:val="left"/>
              <w:rPr>
                <w:rFonts w:hint="default"/>
              </w:rPr>
            </w:pPr>
            <w:r>
              <w:rPr>
                <w:rFonts w:hint="default"/>
              </w:rPr>
              <w:t>主要负责理财计划推广、投资者风险承受能力评估、投资者适当性管理、理财计划份额认购、申购及赎回办理。协助管理人负责与投资者签订理财计划合同、与投资者沟通及进行信息披露、接受投资者咨询和客户维护等销售服务。</w:t>
            </w:r>
          </w:p>
        </w:tc>
      </w:tr>
    </w:tbl>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本理财计划后续如新增/减少销售机构或销售机构信息变更，请以管理人最新公告</w:t>
      </w:r>
      <w:r>
        <w:rPr>
          <w:rFonts w:hint="eastAsia" w:ascii="宋体" w:hAnsi="宋体" w:cs="宋体"/>
          <w:bCs/>
          <w:color w:val="000000"/>
          <w:sz w:val="24"/>
          <w:highlight w:val="none"/>
          <w:lang w:eastAsia="zh-CN"/>
        </w:rPr>
        <w:t>或官方网站展示</w:t>
      </w:r>
      <w:r>
        <w:rPr>
          <w:rFonts w:hint="eastAsia" w:ascii="宋体" w:hAnsi="宋体" w:cs="宋体"/>
          <w:bCs/>
          <w:color w:val="000000"/>
          <w:sz w:val="24"/>
          <w:highlight w:val="none"/>
        </w:rPr>
        <w:t>为准。</w:t>
      </w:r>
    </w:p>
    <w:p>
      <w:pPr>
        <w:spacing w:line="360" w:lineRule="auto"/>
        <w:jc w:val="left"/>
        <w:rPr>
          <w:rFonts w:ascii="宋体" w:hAnsi="宋体" w:cs="宋体"/>
          <w:bCs/>
          <w:sz w:val="24"/>
          <w:highlight w:val="none"/>
        </w:rPr>
      </w:pPr>
    </w:p>
    <w:p>
      <w:pPr>
        <w:numPr>
          <w:ilvl w:val="0"/>
          <w:numId w:val="21"/>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估值</w:t>
      </w:r>
    </w:p>
    <w:p>
      <w:pPr>
        <w:numPr>
          <w:ilvl w:val="0"/>
          <w:numId w:val="2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估值日</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本理财计划估值日为每个</w:t>
      </w:r>
      <w:r>
        <w:rPr>
          <w:rFonts w:hint="eastAsia" w:ascii="宋体" w:hAnsi="宋体" w:cs="宋体"/>
          <w:bCs/>
          <w:color w:val="000000"/>
          <w:sz w:val="24"/>
          <w:highlight w:val="none"/>
          <w:lang w:eastAsia="zh-CN"/>
        </w:rPr>
        <w:t>工作日</w:t>
      </w:r>
      <w:r>
        <w:rPr>
          <w:rFonts w:hint="eastAsia" w:ascii="宋体" w:hAnsi="宋体" w:cs="宋体"/>
          <w:bCs/>
          <w:color w:val="000000"/>
          <w:sz w:val="24"/>
          <w:highlight w:val="none"/>
        </w:rPr>
        <w:t>，定期由理财管理人和理财托管人核对估值结果并向投资者披露，具体日期以管理人公告为准。</w:t>
      </w:r>
    </w:p>
    <w:p>
      <w:pPr>
        <w:numPr>
          <w:ilvl w:val="0"/>
          <w:numId w:val="2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估值对象</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本理财计划所投资的所有资产及负债。</w:t>
      </w:r>
    </w:p>
    <w:p>
      <w:pPr>
        <w:numPr>
          <w:ilvl w:val="0"/>
          <w:numId w:val="2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估值目的</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客观、准确反映理财计划的价值。</w:t>
      </w:r>
    </w:p>
    <w:p>
      <w:pPr>
        <w:numPr>
          <w:ilvl w:val="0"/>
          <w:numId w:val="2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估值方法</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估值方法中列示的资产品种不代表管理人的实际投向，本理财计划投资范围以“投资范围”章节表述为准。</w:t>
      </w:r>
    </w:p>
    <w:p>
      <w:pPr>
        <w:spacing w:line="360" w:lineRule="auto"/>
        <w:ind w:firstLine="480" w:firstLineChars="200"/>
        <w:rPr>
          <w:rFonts w:hint="eastAsia" w:ascii="宋体" w:hAnsi="宋体" w:cs="宋体"/>
          <w:b/>
          <w:sz w:val="24"/>
          <w:highlight w:val="none"/>
        </w:rPr>
      </w:pPr>
      <w:r>
        <w:rPr>
          <w:rFonts w:hint="eastAsia"/>
          <w:sz w:val="24"/>
          <w:highlight w:val="none"/>
        </w:rPr>
        <w:t>理财计划所投资各类资产按照会计准则和监管要求进行会计分类，并按如下规则进行计量：</w:t>
      </w:r>
    </w:p>
    <w:p>
      <w:pPr>
        <w:numPr>
          <w:ilvl w:val="0"/>
          <w:numId w:val="25"/>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lang w:eastAsia="zh-CN"/>
        </w:rPr>
        <w:t>货币市场工具类资产</w:t>
      </w:r>
    </w:p>
    <w:p>
      <w:pPr>
        <w:pStyle w:val="20"/>
        <w:adjustRightInd/>
        <w:spacing w:line="360" w:lineRule="auto"/>
        <w:ind w:firstLine="480" w:firstLineChars="200"/>
        <w:rPr>
          <w:rFonts w:hint="eastAsia" w:ascii="宋体" w:hAnsi="宋体" w:eastAsia="宋体" w:cs="宋体"/>
          <w:bCs/>
          <w:kern w:val="2"/>
          <w:highlight w:val="none"/>
          <w:lang w:eastAsia="zh-CN"/>
        </w:rPr>
      </w:pPr>
      <w:r>
        <w:rPr>
          <w:rFonts w:hint="eastAsia" w:ascii="宋体" w:hAnsi="宋体" w:cs="宋体"/>
          <w:bCs/>
          <w:kern w:val="2"/>
          <w:highlight w:val="none"/>
          <w:lang w:eastAsia="zh-CN"/>
        </w:rPr>
        <w:t>银行存款</w:t>
      </w:r>
      <w:r>
        <w:rPr>
          <w:rFonts w:hint="eastAsia" w:ascii="宋体" w:hAnsi="宋体" w:cs="宋体"/>
          <w:bCs/>
          <w:kern w:val="2"/>
          <w:highlight w:val="none"/>
        </w:rPr>
        <w:t>及回购，以本金列示，按商定利率在实际持有期间内逐日计提利息。</w:t>
      </w:r>
    </w:p>
    <w:p>
      <w:pPr>
        <w:numPr>
          <w:ilvl w:val="0"/>
          <w:numId w:val="25"/>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债券</w:t>
      </w:r>
      <w:r>
        <w:rPr>
          <w:rFonts w:hint="eastAsia" w:ascii="宋体" w:hAnsi="宋体" w:cs="宋体"/>
          <w:bCs/>
          <w:color w:val="000000"/>
          <w:sz w:val="24"/>
          <w:highlight w:val="none"/>
          <w:lang w:eastAsia="zh-CN"/>
        </w:rPr>
        <w:t>及同业存单类</w:t>
      </w:r>
      <w:r>
        <w:rPr>
          <w:rFonts w:hint="eastAsia" w:ascii="宋体" w:hAnsi="宋体" w:cs="宋体"/>
          <w:bCs/>
          <w:color w:val="000000"/>
          <w:sz w:val="24"/>
          <w:highlight w:val="none"/>
        </w:rPr>
        <w:t>资产</w:t>
      </w:r>
    </w:p>
    <w:p>
      <w:pPr>
        <w:numPr>
          <w:ilvl w:val="0"/>
          <w:numId w:val="0"/>
        </w:numPr>
        <w:spacing w:line="360" w:lineRule="auto"/>
        <w:ind w:firstLine="480" w:firstLineChars="200"/>
        <w:rPr>
          <w:rFonts w:hint="default" w:ascii="宋体" w:hAnsi="宋体" w:eastAsia="宋体" w:cs="宋体"/>
          <w:bCs/>
          <w:color w:val="000000"/>
          <w:sz w:val="24"/>
          <w:highlight w:val="none"/>
          <w:lang w:val="en-US" w:eastAsia="zh-CN"/>
        </w:rPr>
      </w:pPr>
      <w:r>
        <w:rPr>
          <w:rFonts w:hint="eastAsia" w:ascii="宋体" w:hAnsi="宋体" w:cs="宋体"/>
          <w:bCs/>
          <w:color w:val="000000"/>
          <w:sz w:val="24"/>
          <w:highlight w:val="none"/>
        </w:rPr>
        <w:t>债券及同业存单类资产，按市价法估值。市价法不能确定公允价值的，采用估值技术进行估值。</w:t>
      </w:r>
    </w:p>
    <w:p>
      <w:pPr>
        <w:numPr>
          <w:ilvl w:val="0"/>
          <w:numId w:val="25"/>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lang w:eastAsia="zh-CN"/>
        </w:rPr>
        <w:t>债权类</w:t>
      </w:r>
      <w:r>
        <w:rPr>
          <w:rFonts w:hint="eastAsia" w:ascii="宋体" w:hAnsi="宋体" w:cs="宋体"/>
          <w:bCs/>
          <w:color w:val="000000"/>
          <w:sz w:val="24"/>
          <w:highlight w:val="none"/>
        </w:rPr>
        <w:t>资产</w:t>
      </w:r>
    </w:p>
    <w:p>
      <w:p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rPr>
        <w:t>债权类资产，按市价法估值。市价法不能确定其公允价值的，采用估值技术进行估值。</w:t>
      </w:r>
    </w:p>
    <w:p>
      <w:pPr>
        <w:numPr>
          <w:ilvl w:val="0"/>
          <w:numId w:val="25"/>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lang w:eastAsia="zh-CN"/>
        </w:rPr>
        <w:t>股权类</w:t>
      </w:r>
      <w:r>
        <w:rPr>
          <w:rFonts w:hint="eastAsia" w:ascii="宋体" w:hAnsi="宋体" w:cs="宋体"/>
          <w:bCs/>
          <w:color w:val="000000"/>
          <w:sz w:val="24"/>
          <w:highlight w:val="none"/>
        </w:rPr>
        <w:t>资产</w:t>
      </w:r>
    </w:p>
    <w:p>
      <w:pPr>
        <w:numPr>
          <w:ilvl w:val="0"/>
          <w:numId w:val="26"/>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lang w:eastAsia="zh-CN"/>
        </w:rPr>
        <w:t>上</w:t>
      </w:r>
      <w:r>
        <w:rPr>
          <w:rFonts w:hint="eastAsia" w:ascii="宋体" w:hAnsi="宋体" w:cs="宋体"/>
          <w:bCs/>
          <w:color w:val="000000"/>
          <w:sz w:val="24"/>
          <w:highlight w:val="none"/>
        </w:rPr>
        <w:t>市流通股票按估值日其所在证券交易所的收盘价估值；估值日无交易，且最近交易日后未发生影响公允价值计量的重大事件的，以最近交易日的收盘价估值。</w:t>
      </w:r>
    </w:p>
    <w:p>
      <w:pPr>
        <w:numPr>
          <w:ilvl w:val="0"/>
          <w:numId w:val="26"/>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lang w:eastAsia="zh-CN"/>
        </w:rPr>
        <w:t>未上市股票的估值：</w:t>
      </w:r>
    </w:p>
    <w:p>
      <w:pPr>
        <w:numPr>
          <w:ilvl w:val="0"/>
          <w:numId w:val="0"/>
        </w:numPr>
        <w:spacing w:line="360" w:lineRule="auto"/>
        <w:ind w:firstLine="480" w:firstLineChars="200"/>
        <w:rPr>
          <w:rFonts w:hint="eastAsia" w:ascii="宋体" w:hAnsi="宋体"/>
          <w:sz w:val="24"/>
          <w:highlight w:val="none"/>
        </w:rPr>
      </w:pPr>
      <w:r>
        <w:rPr>
          <w:rFonts w:hint="eastAsia" w:ascii="宋体" w:hAnsi="宋体" w:cs="宋体"/>
          <w:bCs/>
          <w:color w:val="000000"/>
          <w:sz w:val="24"/>
          <w:highlight w:val="none"/>
          <w:lang w:val="en-US" w:eastAsia="zh-CN"/>
        </w:rPr>
        <w:t>1）</w:t>
      </w:r>
      <w:r>
        <w:rPr>
          <w:rFonts w:hint="eastAsia" w:ascii="宋体" w:hAnsi="宋体"/>
          <w:sz w:val="24"/>
          <w:highlight w:val="none"/>
        </w:rPr>
        <w:t>送股、转增股、配股和公开增发新股等发行未上市的股票，按估值日在证券交易所挂牌的同一股票的市价估值；</w:t>
      </w:r>
    </w:p>
    <w:p>
      <w:pPr>
        <w:numPr>
          <w:ilvl w:val="0"/>
          <w:numId w:val="0"/>
        </w:numPr>
        <w:spacing w:line="360" w:lineRule="auto"/>
        <w:ind w:firstLine="480" w:firstLineChars="200"/>
        <w:rPr>
          <w:rFonts w:hint="eastAsia" w:ascii="宋体" w:hAnsi="宋体"/>
          <w:sz w:val="24"/>
          <w:highlight w:val="none"/>
        </w:rPr>
      </w:pPr>
      <w:r>
        <w:rPr>
          <w:rFonts w:hint="eastAsia" w:ascii="宋体" w:hAnsi="宋体"/>
          <w:sz w:val="24"/>
          <w:highlight w:val="none"/>
          <w:lang w:val="en-US" w:eastAsia="zh-CN"/>
        </w:rPr>
        <w:t>2）</w:t>
      </w:r>
      <w:r>
        <w:rPr>
          <w:rFonts w:hint="eastAsia" w:ascii="宋体" w:hAnsi="宋体"/>
          <w:sz w:val="24"/>
          <w:highlight w:val="none"/>
        </w:rPr>
        <w:t>首次公开发行有明确锁定期的股票，同一股票在交易所上市后，按交易所上市的同一股票的市价估值；</w:t>
      </w:r>
    </w:p>
    <w:p>
      <w:pPr>
        <w:numPr>
          <w:ilvl w:val="0"/>
          <w:numId w:val="0"/>
        </w:numPr>
        <w:spacing w:line="360" w:lineRule="auto"/>
        <w:ind w:firstLine="480" w:firstLineChars="200"/>
        <w:rPr>
          <w:rFonts w:hint="eastAsia" w:ascii="宋体" w:hAnsi="宋体"/>
          <w:sz w:val="24"/>
          <w:highlight w:val="none"/>
        </w:rPr>
      </w:pPr>
      <w:r>
        <w:rPr>
          <w:rFonts w:hint="eastAsia" w:ascii="宋体" w:hAnsi="宋体"/>
          <w:sz w:val="24"/>
          <w:highlight w:val="none"/>
          <w:lang w:val="en-US" w:eastAsia="zh-CN"/>
        </w:rPr>
        <w:t>3）</w:t>
      </w:r>
      <w:r>
        <w:rPr>
          <w:rFonts w:hint="eastAsia" w:ascii="宋体" w:hAnsi="宋体"/>
          <w:sz w:val="24"/>
          <w:highlight w:val="none"/>
        </w:rPr>
        <w:t>首次发行未上市的股票，按发行价格进行估值；</w:t>
      </w:r>
    </w:p>
    <w:p>
      <w:pPr>
        <w:numPr>
          <w:ilvl w:val="0"/>
          <w:numId w:val="0"/>
        </w:numPr>
        <w:spacing w:line="360" w:lineRule="auto"/>
        <w:ind w:firstLine="480" w:firstLineChars="200"/>
        <w:rPr>
          <w:rFonts w:hint="eastAsia" w:ascii="宋体" w:hAnsi="宋体"/>
          <w:sz w:val="24"/>
          <w:highlight w:val="none"/>
        </w:rPr>
      </w:pPr>
      <w:r>
        <w:rPr>
          <w:rFonts w:hint="eastAsia" w:ascii="宋体" w:hAnsi="宋体"/>
          <w:sz w:val="24"/>
          <w:highlight w:val="none"/>
          <w:lang w:val="en-US" w:eastAsia="zh-CN"/>
        </w:rPr>
        <w:t>4）</w:t>
      </w:r>
      <w:r>
        <w:rPr>
          <w:rFonts w:hint="eastAsia" w:ascii="宋体" w:hAnsi="宋体"/>
          <w:sz w:val="24"/>
          <w:highlight w:val="none"/>
        </w:rPr>
        <w:t>因持有股票而享有的配股权，采用估值技术确定公允价值。</w:t>
      </w:r>
    </w:p>
    <w:p>
      <w:pPr>
        <w:numPr>
          <w:ilvl w:val="0"/>
          <w:numId w:val="26"/>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lang w:eastAsia="zh-CN"/>
        </w:rPr>
        <w:t>非上市股权的估值：</w:t>
      </w:r>
    </w:p>
    <w:p>
      <w:pPr>
        <w:numPr>
          <w:ilvl w:val="0"/>
          <w:numId w:val="0"/>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非上市股权类资产，按照国家最新规定，采用合理的估值技术进行估值。</w:t>
      </w:r>
    </w:p>
    <w:p>
      <w:pPr>
        <w:numPr>
          <w:ilvl w:val="0"/>
          <w:numId w:val="25"/>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lang w:eastAsia="zh-CN"/>
        </w:rPr>
        <w:t>基金、资产管理计划类</w:t>
      </w:r>
      <w:r>
        <w:rPr>
          <w:rFonts w:hint="eastAsia" w:ascii="宋体" w:hAnsi="宋体" w:cs="宋体"/>
          <w:bCs/>
          <w:color w:val="000000"/>
          <w:sz w:val="24"/>
          <w:highlight w:val="none"/>
        </w:rPr>
        <w:t>资产</w:t>
      </w:r>
    </w:p>
    <w:p>
      <w:pPr>
        <w:numPr>
          <w:ilvl w:val="0"/>
          <w:numId w:val="0"/>
        </w:numPr>
        <w:spacing w:line="360" w:lineRule="auto"/>
        <w:ind w:firstLine="480" w:firstLineChars="200"/>
        <w:rPr>
          <w:rFonts w:hint="eastAsia" w:ascii="宋体" w:hAnsi="宋体"/>
          <w:sz w:val="24"/>
          <w:highlight w:val="none"/>
        </w:rPr>
      </w:pPr>
      <w:r>
        <w:rPr>
          <w:rFonts w:hint="eastAsia" w:ascii="宋体" w:hAnsi="宋体" w:cs="宋体"/>
          <w:bCs/>
          <w:color w:val="000000"/>
          <w:sz w:val="24"/>
          <w:highlight w:val="none"/>
        </w:rPr>
        <w:t>若合同约定估值方案，以基金、信托计划、资产管理计划的管理人提供的最新报价估值。报价包括资产的单位净值、每万份收益以及其他形式的投资收益。</w:t>
      </w:r>
    </w:p>
    <w:p>
      <w:pPr>
        <w:numPr>
          <w:ilvl w:val="0"/>
          <w:numId w:val="0"/>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rPr>
        <w:t>若合同未约定估值方案，但有确定的预期收益率的，按商定利率每日计提投资收益。如该类资产存续期间发生影响资产未来现金流的重大事件的，经管理人合理判断对资产价值进行重估。</w:t>
      </w:r>
    </w:p>
    <w:p>
      <w:pPr>
        <w:numPr>
          <w:ilvl w:val="0"/>
          <w:numId w:val="25"/>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其他资产的估值方法</w:t>
      </w:r>
    </w:p>
    <w:p>
      <w:pPr>
        <w:pStyle w:val="20"/>
        <w:spacing w:line="360" w:lineRule="auto"/>
        <w:ind w:firstLine="480" w:firstLineChars="200"/>
        <w:rPr>
          <w:rFonts w:hint="eastAsia" w:ascii="宋体" w:hAnsi="宋体" w:cs="宋体"/>
          <w:bCs/>
          <w:kern w:val="2"/>
          <w:highlight w:val="none"/>
        </w:rPr>
      </w:pPr>
      <w:r>
        <w:rPr>
          <w:rFonts w:hint="eastAsia" w:ascii="宋体" w:hAnsi="宋体" w:cs="宋体"/>
          <w:bCs/>
          <w:kern w:val="2"/>
          <w:highlight w:val="none"/>
        </w:rPr>
        <w:t>其他资产存在公允价值的，按照监管要求进行公允价值估值，公允价值不能确定的按国家最新规定进行估值。</w:t>
      </w:r>
    </w:p>
    <w:p>
      <w:pPr>
        <w:pStyle w:val="20"/>
        <w:spacing w:line="360" w:lineRule="auto"/>
        <w:ind w:firstLine="480" w:firstLineChars="200"/>
        <w:rPr>
          <w:rFonts w:hint="eastAsia" w:ascii="宋体" w:hAnsi="宋体" w:cs="宋体"/>
          <w:bCs/>
          <w:color w:val="000000"/>
          <w:sz w:val="24"/>
          <w:highlight w:val="none"/>
        </w:rPr>
      </w:pPr>
      <w:r>
        <w:rPr>
          <w:rFonts w:hint="eastAsia" w:ascii="宋体" w:hAnsi="宋体" w:cs="宋体"/>
          <w:bCs/>
          <w:kern w:val="2"/>
          <w:highlight w:val="none"/>
          <w:lang w:eastAsia="zh-CN"/>
        </w:rPr>
        <w:t>以</w:t>
      </w:r>
      <w:r>
        <w:rPr>
          <w:rFonts w:hint="eastAsia" w:ascii="宋体" w:hAnsi="宋体" w:cs="宋体"/>
          <w:bCs/>
          <w:color w:val="000000"/>
          <w:sz w:val="24"/>
          <w:highlight w:val="none"/>
        </w:rPr>
        <w:t>摊余成本法计量的资产，按照会计准则规定采用合理的减值计量模型或第三方减值计量结果进行减值计提。计提减值不等同于金融资产已发生损失，仅为对未来风险的审慎预期。</w:t>
      </w:r>
    </w:p>
    <w:p>
      <w:pPr>
        <w:pStyle w:val="20"/>
        <w:tabs>
          <w:tab w:val="left" w:pos="0"/>
        </w:tabs>
        <w:spacing w:line="360" w:lineRule="auto"/>
        <w:ind w:firstLine="480" w:firstLineChars="200"/>
        <w:rPr>
          <w:rFonts w:hint="eastAsia" w:ascii="宋体" w:hAnsi="宋体" w:cs="宋体"/>
          <w:bCs/>
          <w:kern w:val="2"/>
          <w:highlight w:val="none"/>
        </w:rPr>
      </w:pPr>
      <w:r>
        <w:rPr>
          <w:rFonts w:hint="eastAsia" w:ascii="宋体" w:hAnsi="宋体" w:cs="宋体"/>
          <w:bCs/>
          <w:kern w:val="2"/>
          <w:highlight w:val="none"/>
        </w:rPr>
        <w:t>当理财计划管理人或托管人认为按上述方法对理财计划进行估值不能客观反映其公允价值的，可以在满足监管要求的前提下协商一致后，</w:t>
      </w:r>
      <w:r>
        <w:rPr>
          <w:rFonts w:hint="eastAsia" w:ascii="宋体" w:hAnsi="宋体" w:cs="宋体"/>
          <w:bCs/>
          <w:kern w:val="2"/>
          <w:highlight w:val="none"/>
          <w:lang w:eastAsia="zh-CN"/>
        </w:rPr>
        <w:t>按最能反映公允价值的价格估值，</w:t>
      </w:r>
      <w:r>
        <w:rPr>
          <w:rFonts w:hint="eastAsia" w:ascii="宋体" w:hAnsi="宋体" w:cs="宋体"/>
          <w:bCs/>
          <w:kern w:val="2"/>
          <w:highlight w:val="none"/>
        </w:rPr>
        <w:t>并自协商一致日后执行。</w:t>
      </w:r>
    </w:p>
    <w:p>
      <w:pPr>
        <w:pStyle w:val="20"/>
        <w:tabs>
          <w:tab w:val="left" w:pos="0"/>
        </w:tabs>
        <w:spacing w:line="360" w:lineRule="auto"/>
        <w:ind w:firstLine="480" w:firstLineChars="200"/>
        <w:rPr>
          <w:rFonts w:hint="eastAsia" w:ascii="宋体" w:hAnsi="宋体" w:cs="宋体"/>
          <w:bCs/>
          <w:kern w:val="2"/>
          <w:highlight w:val="none"/>
        </w:rPr>
      </w:pPr>
      <w:r>
        <w:rPr>
          <w:rFonts w:hint="eastAsia" w:ascii="宋体" w:hAnsi="宋体" w:cs="宋体"/>
          <w:bCs/>
          <w:kern w:val="2"/>
          <w:highlight w:val="none"/>
        </w:rPr>
        <w:t>如在本理财计划发行、募集、管理期间，有权管理机关对财务报告准则、估值核算方法标准进行调整，管理人有权根据相关机关要求对本理财计划的估值方法进行相应修改。</w:t>
      </w:r>
    </w:p>
    <w:p>
      <w:pPr>
        <w:numPr>
          <w:ilvl w:val="0"/>
          <w:numId w:val="2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估值差错处理</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如理财计划管理人或托管人发现资产估值违反本理财计划说明书约定的估值方法、程序及相关法律法规的规定或者未能充分维护投资者利益时，应立即通知对方，共同查明原因，协商解决。如经相关各方在平等基础上充分讨论后，仍无法达成一致意见，以理财计划管理人意见为准。当委托财产估值提交投资者后发现存在错误时，理财计划管理人和托管人应该立即报告投资者并及时更正。由于本理财计划估值所用的数据来源中出现错误，或由于其它不可抗力原因，理财计划管理人和托管人虽然已采取必要、适当、合理的措施进行检查，但是未能发现该错误的，由此造成的估值错误，理财计划管理人和托管人免除赔偿责任，但理财计划管理人和托管人应当积极采取必要的措施消除由此造成的影响。</w:t>
      </w:r>
    </w:p>
    <w:p>
      <w:pPr>
        <w:numPr>
          <w:ilvl w:val="0"/>
          <w:numId w:val="2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暂停估值情形</w:t>
      </w:r>
    </w:p>
    <w:p>
      <w:pPr>
        <w:numPr>
          <w:ilvl w:val="0"/>
          <w:numId w:val="27"/>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理财计划投资所涉及的交易市场遇法定节假日或因其他原因暂停营业时暂停估值，该种情况理财计划估值日期</w:t>
      </w:r>
      <w:r>
        <w:rPr>
          <w:rFonts w:hint="eastAsia" w:ascii="宋体" w:hAnsi="宋体" w:cs="宋体"/>
          <w:bCs/>
          <w:color w:val="000000"/>
          <w:sz w:val="24"/>
          <w:highlight w:val="none"/>
          <w:lang w:eastAsia="zh-CN"/>
        </w:rPr>
        <w:t>提前到上</w:t>
      </w:r>
      <w:r>
        <w:rPr>
          <w:rFonts w:hint="eastAsia" w:ascii="宋体" w:hAnsi="宋体" w:cs="宋体"/>
          <w:bCs/>
          <w:color w:val="000000"/>
          <w:sz w:val="24"/>
          <w:highlight w:val="none"/>
        </w:rPr>
        <w:t>一交易日。</w:t>
      </w:r>
    </w:p>
    <w:p>
      <w:pPr>
        <w:numPr>
          <w:ilvl w:val="0"/>
          <w:numId w:val="27"/>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因不可抗力或其他情形致使理财计划管理人、理财计划托管人无法准确评估资产价值时。</w:t>
      </w:r>
    </w:p>
    <w:p>
      <w:pPr>
        <w:numPr>
          <w:ilvl w:val="0"/>
          <w:numId w:val="27"/>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lang w:eastAsia="zh-CN"/>
        </w:rPr>
        <w:t>当</w:t>
      </w:r>
      <w:r>
        <w:rPr>
          <w:rFonts w:hint="eastAsia" w:ascii="宋体" w:hAnsi="宋体" w:cs="宋体"/>
          <w:bCs/>
          <w:color w:val="000000"/>
          <w:sz w:val="24"/>
          <w:highlight w:val="none"/>
          <w:lang w:val="en-US" w:eastAsia="zh-CN"/>
        </w:rPr>
        <w:t>前一估值日理财计划资产净值50%以上的资产不具备活跃交易市场或者在活跃市场中无报价，且不能采用估值技术可靠计量公允价值时，管理人应当暂停该理财计划估值，并按照监管规定采取</w:t>
      </w:r>
      <w:r>
        <w:rPr>
          <w:rFonts w:hint="eastAsia" w:ascii="宋体" w:hAnsi="宋体" w:cs="宋体"/>
          <w:bCs/>
          <w:color w:val="000000"/>
          <w:sz w:val="24"/>
          <w:highlight w:val="none"/>
        </w:rPr>
        <w:t>延缓支付赎回款项或暂停接受理财</w:t>
      </w:r>
      <w:r>
        <w:rPr>
          <w:rFonts w:hint="eastAsia" w:ascii="宋体" w:hAnsi="宋体" w:cs="宋体"/>
          <w:bCs/>
          <w:color w:val="000000"/>
          <w:sz w:val="24"/>
          <w:highlight w:val="none"/>
          <w:lang w:eastAsia="zh-CN"/>
        </w:rPr>
        <w:t>计划</w:t>
      </w:r>
      <w:r>
        <w:rPr>
          <w:rFonts w:hint="eastAsia" w:ascii="宋体" w:hAnsi="宋体" w:cs="宋体"/>
          <w:bCs/>
          <w:color w:val="000000"/>
          <w:sz w:val="24"/>
          <w:highlight w:val="none"/>
        </w:rPr>
        <w:t>认购、赎回申请等</w:t>
      </w:r>
      <w:r>
        <w:rPr>
          <w:rFonts w:hint="eastAsia" w:ascii="宋体" w:hAnsi="宋体" w:cs="宋体"/>
          <w:bCs/>
          <w:color w:val="000000"/>
          <w:sz w:val="24"/>
          <w:highlight w:val="none"/>
          <w:lang w:val="en-US" w:eastAsia="zh-CN"/>
        </w:rPr>
        <w:t>措施。</w:t>
      </w:r>
    </w:p>
    <w:p>
      <w:pPr>
        <w:numPr>
          <w:ilvl w:val="0"/>
          <w:numId w:val="27"/>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理财计划管理人、托管人有合理理由认为将影响本理财计划估值的其他情形发生。</w:t>
      </w:r>
    </w:p>
    <w:p>
      <w:pPr>
        <w:numPr>
          <w:ilvl w:val="0"/>
          <w:numId w:val="2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资产账册的建立</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管理人和托管人在本合同生效后，应按照相关各方约定的同一记账方法和会计处理原则，分别独立设置、保管理财计划财产的全套账册，对相关各方各自的账册定期进行核对，互相监督，以保证委托财产的安全。若双方对会计处理方法存在分歧，应以理财计划管理人的处理方法为准。</w:t>
      </w:r>
    </w:p>
    <w:p>
      <w:pPr>
        <w:spacing w:line="360" w:lineRule="auto"/>
        <w:ind w:firstLine="480" w:firstLineChars="200"/>
        <w:jc w:val="left"/>
        <w:rPr>
          <w:rFonts w:hint="eastAsia" w:ascii="宋体" w:hAnsi="宋体" w:cs="宋体"/>
          <w:bCs/>
          <w:color w:val="000000"/>
          <w:sz w:val="24"/>
          <w:highlight w:val="none"/>
        </w:rPr>
      </w:pPr>
    </w:p>
    <w:p>
      <w:pPr>
        <w:numPr>
          <w:ilvl w:val="0"/>
          <w:numId w:val="21"/>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费用及税收</w:t>
      </w:r>
    </w:p>
    <w:p>
      <w:pPr>
        <w:numPr>
          <w:ilvl w:val="0"/>
          <w:numId w:val="2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费用种类</w:t>
      </w:r>
    </w:p>
    <w:p>
      <w:pPr>
        <w:spacing w:line="360" w:lineRule="auto"/>
        <w:ind w:firstLine="480" w:firstLineChars="200"/>
        <w:jc w:val="left"/>
        <w:rPr>
          <w:rFonts w:ascii="宋体" w:hAnsi="宋体" w:cs="宋体"/>
          <w:b/>
          <w:sz w:val="24"/>
          <w:highlight w:val="none"/>
        </w:rPr>
      </w:pPr>
      <w:r>
        <w:rPr>
          <w:rFonts w:hint="eastAsia" w:ascii="宋体" w:hAnsi="宋体" w:cs="宋体"/>
          <w:bCs/>
          <w:color w:val="000000"/>
          <w:sz w:val="24"/>
          <w:highlight w:val="none"/>
        </w:rPr>
        <w:t>本理财计划</w:t>
      </w:r>
      <w:r>
        <w:rPr>
          <w:rFonts w:hint="eastAsia" w:ascii="宋体" w:hAnsi="宋体" w:cs="宋体"/>
          <w:bCs/>
          <w:color w:val="000000"/>
          <w:sz w:val="24"/>
          <w:highlight w:val="none"/>
          <w:lang w:eastAsia="zh-CN"/>
        </w:rPr>
        <w:t>涉及</w:t>
      </w:r>
      <w:r>
        <w:rPr>
          <w:rFonts w:hint="eastAsia" w:ascii="宋体" w:hAnsi="宋体" w:cs="宋体"/>
          <w:bCs/>
          <w:color w:val="000000"/>
          <w:sz w:val="24"/>
          <w:highlight w:val="none"/>
        </w:rPr>
        <w:t>费用包括</w:t>
      </w:r>
      <w:r>
        <w:rPr>
          <w:rFonts w:hint="eastAsia" w:ascii="宋体" w:hAnsi="宋体" w:cs="宋体"/>
          <w:bCs/>
          <w:color w:val="000000"/>
          <w:sz w:val="24"/>
          <w:highlight w:val="none"/>
          <w:lang w:eastAsia="zh-CN"/>
        </w:rPr>
        <w:t>销售服务费</w:t>
      </w:r>
      <w:r>
        <w:rPr>
          <w:rFonts w:hint="eastAsia" w:ascii="宋体" w:hAnsi="宋体" w:cs="宋体"/>
          <w:bCs/>
          <w:color w:val="000000"/>
          <w:sz w:val="24"/>
          <w:highlight w:val="none"/>
        </w:rPr>
        <w:t>、托管费、固定管理费、认购费、申购费、赎回费、浮动管理费以及理财计划运作和清算中产生的其他费用等。</w:t>
      </w:r>
    </w:p>
    <w:p>
      <w:pPr>
        <w:numPr>
          <w:ilvl w:val="0"/>
          <w:numId w:val="2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费用计提方法、标准及支付方式</w:t>
      </w:r>
    </w:p>
    <w:p>
      <w:pPr>
        <w:numPr>
          <w:ilvl w:val="0"/>
          <w:numId w:val="29"/>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lang w:eastAsia="zh-CN"/>
        </w:rPr>
        <w:t>销售服务费</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lang w:val="en-US" w:eastAsia="zh-CN"/>
        </w:rPr>
        <w:t>以</w:t>
      </w:r>
      <w:r>
        <w:rPr>
          <w:rFonts w:hint="eastAsia" w:ascii="宋体" w:hAnsi="宋体" w:cs="宋体"/>
          <w:bCs/>
          <w:color w:val="000000"/>
          <w:sz w:val="24"/>
          <w:szCs w:val="24"/>
          <w:highlight w:val="none"/>
        </w:rPr>
        <w:t>〖</w:t>
      </w:r>
      <w:r>
        <w:rPr>
          <w:rFonts w:hint="eastAsia" w:ascii="宋体" w:hAnsi="宋体" w:eastAsia="宋体" w:cs="宋体"/>
          <w:bCs/>
          <w:color w:val="000000"/>
          <w:kern w:val="2"/>
          <w:sz w:val="24"/>
          <w:szCs w:val="24"/>
          <w:highlight w:val="none"/>
          <w:lang w:val="en-US" w:eastAsia="zh-CN" w:bidi="ar-SA"/>
        </w:rPr>
        <w:t>A</w:t>
      </w:r>
      <w:r>
        <w:rPr>
          <w:rFonts w:hint="eastAsia" w:ascii="宋体" w:hAnsi="宋体" w:cs="宋体"/>
          <w:bCs/>
          <w:color w:val="000000"/>
          <w:sz w:val="24"/>
          <w:szCs w:val="24"/>
          <w:highlight w:val="none"/>
          <w:lang w:val="en-US" w:eastAsia="zh-CN"/>
        </w:rPr>
        <w:t>份额</w:t>
      </w:r>
      <w:r>
        <w:rPr>
          <w:rFonts w:hint="eastAsia" w:ascii="宋体" w:hAnsi="宋体" w:cs="宋体"/>
          <w:bCs/>
          <w:color w:val="000000"/>
          <w:sz w:val="24"/>
          <w:szCs w:val="24"/>
          <w:highlight w:val="none"/>
        </w:rPr>
        <w:t>〗为例</w:t>
      </w:r>
      <w:r>
        <w:rPr>
          <w:rFonts w:hint="eastAsia" w:ascii="宋体" w:hAnsi="宋体" w:cs="宋体"/>
          <w:bCs/>
          <w:color w:val="000000"/>
          <w:sz w:val="24"/>
          <w:szCs w:val="24"/>
          <w:highlight w:val="none"/>
          <w:lang w:eastAsia="zh-CN"/>
        </w:rPr>
        <w:t>，</w:t>
      </w:r>
      <w:r>
        <w:rPr>
          <w:rFonts w:hint="eastAsia" w:ascii="宋体" w:hAnsi="宋体" w:cs="宋体"/>
          <w:bCs/>
          <w:color w:val="000000"/>
          <w:sz w:val="24"/>
          <w:szCs w:val="24"/>
          <w:highlight w:val="none"/>
        </w:rPr>
        <w:t>理财计划财产的年化</w:t>
      </w:r>
      <w:r>
        <w:rPr>
          <w:rFonts w:hint="eastAsia" w:ascii="宋体" w:hAnsi="宋体" w:cs="宋体"/>
          <w:bCs/>
          <w:color w:val="000000"/>
          <w:sz w:val="24"/>
          <w:szCs w:val="24"/>
          <w:highlight w:val="none"/>
          <w:lang w:eastAsia="zh-CN"/>
        </w:rPr>
        <w:t>销售服务费</w:t>
      </w:r>
      <w:r>
        <w:rPr>
          <w:rFonts w:hint="eastAsia" w:ascii="宋体" w:hAnsi="宋体" w:cs="宋体"/>
          <w:bCs/>
          <w:color w:val="000000"/>
          <w:sz w:val="24"/>
          <w:szCs w:val="24"/>
          <w:highlight w:val="none"/>
        </w:rPr>
        <w:t>率为</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0.30</w:t>
      </w:r>
      <w:r>
        <w:rPr>
          <w:rFonts w:hint="eastAsia" w:ascii="宋体" w:hAnsi="宋体" w:cs="宋体"/>
          <w:bCs/>
          <w:color w:val="000000"/>
          <w:sz w:val="24"/>
          <w:szCs w:val="24"/>
          <w:highlight w:val="none"/>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，计算方法如下：</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H＝E×</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0.30</w:t>
      </w:r>
      <w:r>
        <w:rPr>
          <w:rFonts w:hint="eastAsia" w:ascii="宋体" w:hAnsi="宋体" w:cs="宋体"/>
          <w:bCs/>
          <w:color w:val="000000"/>
          <w:sz w:val="24"/>
          <w:szCs w:val="24"/>
          <w:highlight w:val="none"/>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÷365</w:t>
      </w:r>
    </w:p>
    <w:p>
      <w:pPr>
        <w:spacing w:line="360" w:lineRule="auto"/>
        <w:ind w:firstLine="480" w:firstLineChars="200"/>
        <w:jc w:val="left"/>
        <w:rPr>
          <w:rFonts w:hint="eastAsia" w:ascii="宋体" w:hAnsi="宋体" w:eastAsia="宋体" w:cs="宋体"/>
          <w:bCs/>
          <w:color w:val="000000"/>
          <w:sz w:val="24"/>
          <w:szCs w:val="24"/>
          <w:highlight w:val="none"/>
          <w:lang w:eastAsia="zh-CN"/>
        </w:rPr>
      </w:pPr>
      <w:r>
        <w:rPr>
          <w:rFonts w:hint="eastAsia" w:ascii="宋体" w:hAnsi="宋体" w:cs="宋体"/>
          <w:bCs/>
          <w:color w:val="000000"/>
          <w:sz w:val="24"/>
          <w:szCs w:val="24"/>
          <w:highlight w:val="none"/>
        </w:rPr>
        <w:t>H为每日应计提的</w:t>
      </w:r>
      <w:r>
        <w:rPr>
          <w:rFonts w:hint="eastAsia" w:ascii="宋体" w:hAnsi="宋体" w:cs="宋体"/>
          <w:bCs/>
          <w:color w:val="000000"/>
          <w:sz w:val="24"/>
          <w:szCs w:val="24"/>
          <w:highlight w:val="none"/>
          <w:lang w:eastAsia="zh-CN"/>
        </w:rPr>
        <w:t>销售服务费</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E为本理财计划前一日资产净值</w:t>
      </w:r>
    </w:p>
    <w:p>
      <w:pPr>
        <w:spacing w:line="360" w:lineRule="auto"/>
        <w:ind w:firstLine="480" w:firstLineChars="200"/>
        <w:jc w:val="left"/>
        <w:rPr>
          <w:rFonts w:hint="eastAsia" w:ascii="宋体" w:hAnsi="宋体" w:cs="宋体"/>
          <w:bCs/>
          <w:color w:val="FF0000"/>
          <w:sz w:val="24"/>
          <w:highlight w:val="none"/>
        </w:rPr>
      </w:pPr>
      <w:r>
        <w:rPr>
          <w:rFonts w:hint="eastAsia" w:ascii="宋体" w:hAnsi="宋体" w:cs="宋体"/>
          <w:bCs/>
          <w:color w:val="000000"/>
          <w:sz w:val="24"/>
          <w:szCs w:val="24"/>
          <w:highlight w:val="none"/>
          <w:lang w:eastAsia="zh-CN"/>
        </w:rPr>
        <w:t>销售服务费</w:t>
      </w:r>
      <w:r>
        <w:rPr>
          <w:rFonts w:hint="eastAsia" w:ascii="宋体" w:hAnsi="宋体" w:cs="宋体"/>
          <w:bCs/>
          <w:color w:val="000000"/>
          <w:sz w:val="24"/>
          <w:szCs w:val="24"/>
          <w:highlight w:val="none"/>
        </w:rPr>
        <w:t>原则上按日计提。</w:t>
      </w:r>
    </w:p>
    <w:p>
      <w:pPr>
        <w:numPr>
          <w:ilvl w:val="0"/>
          <w:numId w:val="29"/>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托管费</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理财计划财产的年化托管费为</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0.025</w:t>
      </w:r>
      <w:r>
        <w:rPr>
          <w:rFonts w:hint="eastAsia" w:ascii="宋体" w:hAnsi="宋体" w:cs="宋体"/>
          <w:bCs/>
          <w:color w:val="000000"/>
          <w:sz w:val="24"/>
          <w:szCs w:val="24"/>
          <w:highlight w:val="none"/>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，计算方法如下：</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H＝E×</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0.025</w:t>
      </w:r>
      <w:r>
        <w:rPr>
          <w:rFonts w:hint="eastAsia" w:ascii="宋体" w:hAnsi="宋体" w:cs="宋体"/>
          <w:bCs/>
          <w:color w:val="000000"/>
          <w:sz w:val="24"/>
          <w:szCs w:val="24"/>
          <w:highlight w:val="none"/>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÷365</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H为每日应计提的托管费</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E为本理财计划前一日资产净值</w:t>
      </w:r>
    </w:p>
    <w:p>
      <w:pPr>
        <w:spacing w:line="360" w:lineRule="auto"/>
        <w:ind w:firstLine="480" w:firstLineChars="200"/>
        <w:jc w:val="left"/>
        <w:rPr>
          <w:rFonts w:hint="eastAsia" w:ascii="宋体" w:hAnsi="宋体" w:cs="宋体"/>
          <w:bCs/>
          <w:color w:val="FF0000"/>
          <w:sz w:val="24"/>
          <w:highlight w:val="none"/>
        </w:rPr>
      </w:pPr>
      <w:r>
        <w:rPr>
          <w:rFonts w:hint="eastAsia" w:ascii="宋体" w:hAnsi="宋体" w:cs="宋体"/>
          <w:bCs/>
          <w:color w:val="000000"/>
          <w:sz w:val="24"/>
          <w:szCs w:val="24"/>
          <w:highlight w:val="none"/>
        </w:rPr>
        <w:t>托管费原则上按日计提。</w:t>
      </w:r>
    </w:p>
    <w:p>
      <w:pPr>
        <w:numPr>
          <w:ilvl w:val="0"/>
          <w:numId w:val="29"/>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固定管理费</w:t>
      </w:r>
    </w:p>
    <w:p>
      <w:pPr>
        <w:spacing w:line="360" w:lineRule="auto"/>
        <w:ind w:firstLine="480" w:firstLineChars="200"/>
        <w:jc w:val="left"/>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lang w:val="en-US" w:eastAsia="zh-CN"/>
        </w:rPr>
        <w:t>以</w:t>
      </w:r>
      <w:r>
        <w:rPr>
          <w:rFonts w:hint="eastAsia" w:ascii="宋体" w:hAnsi="宋体" w:eastAsia="宋体" w:cs="宋体"/>
          <w:bCs/>
          <w:color w:val="000000"/>
          <w:sz w:val="24"/>
          <w:szCs w:val="24"/>
          <w:highlight w:val="none"/>
        </w:rPr>
        <w:t>〖</w:t>
      </w:r>
      <w:r>
        <w:rPr>
          <w:rFonts w:hint="eastAsia" w:ascii="宋体" w:hAnsi="宋体" w:eastAsia="宋体" w:cs="宋体"/>
          <w:bCs/>
          <w:color w:val="000000"/>
          <w:kern w:val="2"/>
          <w:sz w:val="24"/>
          <w:szCs w:val="24"/>
          <w:highlight w:val="none"/>
          <w:lang w:val="en-US" w:eastAsia="zh-CN" w:bidi="ar-SA"/>
        </w:rPr>
        <w:t>A</w:t>
      </w:r>
      <w:r>
        <w:rPr>
          <w:rFonts w:hint="eastAsia" w:ascii="宋体" w:hAnsi="宋体" w:eastAsia="宋体" w:cs="宋体"/>
          <w:bCs/>
          <w:color w:val="000000"/>
          <w:sz w:val="24"/>
          <w:szCs w:val="24"/>
          <w:highlight w:val="none"/>
          <w:lang w:val="en-US" w:eastAsia="zh-CN"/>
        </w:rPr>
        <w:t>份额</w:t>
      </w:r>
      <w:r>
        <w:rPr>
          <w:rFonts w:hint="eastAsia" w:ascii="宋体" w:hAnsi="宋体" w:eastAsia="宋体" w:cs="宋体"/>
          <w:bCs/>
          <w:color w:val="000000"/>
          <w:sz w:val="24"/>
          <w:szCs w:val="24"/>
          <w:highlight w:val="none"/>
        </w:rPr>
        <w:t>〗为例</w:t>
      </w:r>
      <w:r>
        <w:rPr>
          <w:rFonts w:hint="eastAsia" w:ascii="宋体" w:hAnsi="宋体" w:eastAsia="宋体" w:cs="宋体"/>
          <w:bCs/>
          <w:color w:val="000000"/>
          <w:sz w:val="24"/>
          <w:szCs w:val="24"/>
          <w:highlight w:val="none"/>
          <w:lang w:eastAsia="zh-CN"/>
        </w:rPr>
        <w:t>，</w:t>
      </w:r>
      <w:r>
        <w:rPr>
          <w:rFonts w:hint="eastAsia" w:ascii="宋体" w:hAnsi="宋体" w:eastAsia="宋体" w:cs="宋体"/>
          <w:bCs/>
          <w:color w:val="000000"/>
          <w:sz w:val="24"/>
          <w:szCs w:val="24"/>
          <w:highlight w:val="none"/>
        </w:rPr>
        <w:t>理财计划财产的年化固定管理费率为</w:t>
      </w:r>
      <w:r>
        <w:rPr>
          <w:rFonts w:hint="eastAsia" w:ascii="宋体" w:hAnsi="宋体" w:eastAsia="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0.30</w:t>
      </w:r>
      <w:r>
        <w:rPr>
          <w:rFonts w:hint="eastAsia" w:ascii="宋体" w:hAnsi="宋体" w:eastAsia="宋体" w:cs="宋体"/>
          <w:bCs/>
          <w:color w:val="000000"/>
          <w:sz w:val="24"/>
          <w:szCs w:val="24"/>
          <w:highlight w:val="none"/>
        </w:rPr>
        <w:t>%</w:t>
      </w:r>
      <w:r>
        <w:rPr>
          <w:rFonts w:hint="eastAsia" w:ascii="宋体" w:hAnsi="宋体" w:eastAsia="宋体" w:cs="宋体"/>
          <w:color w:val="000000"/>
          <w:sz w:val="24"/>
          <w:szCs w:val="24"/>
          <w:highlight w:val="none"/>
        </w:rPr>
        <w:t>〗</w:t>
      </w:r>
      <w:r>
        <w:rPr>
          <w:rFonts w:hint="eastAsia" w:ascii="宋体" w:hAnsi="宋体" w:eastAsia="宋体" w:cs="宋体"/>
          <w:bCs/>
          <w:color w:val="000000"/>
          <w:sz w:val="24"/>
          <w:szCs w:val="24"/>
          <w:highlight w:val="none"/>
        </w:rPr>
        <w:t>，计算方法如下：</w:t>
      </w:r>
    </w:p>
    <w:p>
      <w:pPr>
        <w:spacing w:line="360" w:lineRule="auto"/>
        <w:ind w:firstLine="480" w:firstLineChars="200"/>
        <w:jc w:val="left"/>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rPr>
        <w:t>H＝E×</w:t>
      </w:r>
      <w:r>
        <w:rPr>
          <w:rFonts w:hint="eastAsia" w:ascii="宋体" w:hAnsi="宋体" w:eastAsia="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0.30</w:t>
      </w:r>
      <w:r>
        <w:rPr>
          <w:rFonts w:hint="eastAsia" w:ascii="宋体" w:hAnsi="宋体" w:eastAsia="宋体" w:cs="宋体"/>
          <w:bCs/>
          <w:color w:val="000000"/>
          <w:sz w:val="24"/>
          <w:szCs w:val="24"/>
          <w:highlight w:val="none"/>
        </w:rPr>
        <w:t>%</w:t>
      </w:r>
      <w:r>
        <w:rPr>
          <w:rFonts w:hint="eastAsia" w:ascii="宋体" w:hAnsi="宋体" w:eastAsia="宋体" w:cs="宋体"/>
          <w:color w:val="000000"/>
          <w:sz w:val="24"/>
          <w:szCs w:val="24"/>
          <w:highlight w:val="none"/>
        </w:rPr>
        <w:t>〗</w:t>
      </w:r>
      <w:r>
        <w:rPr>
          <w:rFonts w:hint="eastAsia" w:ascii="宋体" w:hAnsi="宋体" w:eastAsia="宋体" w:cs="宋体"/>
          <w:bCs/>
          <w:color w:val="000000"/>
          <w:sz w:val="24"/>
          <w:szCs w:val="24"/>
          <w:highlight w:val="none"/>
        </w:rPr>
        <w:t>÷365</w:t>
      </w:r>
    </w:p>
    <w:p>
      <w:pPr>
        <w:spacing w:line="360" w:lineRule="auto"/>
        <w:ind w:firstLine="480" w:firstLineChars="200"/>
        <w:jc w:val="left"/>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rPr>
        <w:t>H为每日应计提的</w:t>
      </w:r>
      <w:r>
        <w:rPr>
          <w:rFonts w:hint="eastAsia" w:ascii="宋体" w:hAnsi="宋体" w:eastAsia="宋体" w:cs="宋体"/>
          <w:bCs/>
          <w:color w:val="000000"/>
          <w:sz w:val="24"/>
          <w:szCs w:val="24"/>
          <w:highlight w:val="none"/>
          <w:lang w:eastAsia="zh-CN"/>
        </w:rPr>
        <w:t>固定</w:t>
      </w:r>
      <w:r>
        <w:rPr>
          <w:rFonts w:hint="eastAsia" w:ascii="宋体" w:hAnsi="宋体" w:eastAsia="宋体" w:cs="宋体"/>
          <w:bCs/>
          <w:color w:val="000000"/>
          <w:sz w:val="24"/>
          <w:szCs w:val="24"/>
          <w:highlight w:val="none"/>
        </w:rPr>
        <w:t>管理费</w:t>
      </w:r>
    </w:p>
    <w:p>
      <w:pPr>
        <w:spacing w:line="360" w:lineRule="auto"/>
        <w:ind w:firstLine="480" w:firstLineChars="200"/>
        <w:jc w:val="left"/>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rPr>
        <w:t>E为本理财计划前一日资产净值</w:t>
      </w:r>
    </w:p>
    <w:p>
      <w:pPr>
        <w:keepNext w:val="0"/>
        <w:keepLines w:val="0"/>
        <w:widowControl w:val="0"/>
        <w:suppressLineNumbers w:val="0"/>
        <w:spacing w:before="0" w:beforeAutospacing="0" w:after="0" w:afterAutospacing="0" w:line="360" w:lineRule="auto"/>
        <w:ind w:left="0" w:right="0" w:firstLine="480" w:firstLineChars="200"/>
        <w:jc w:val="both"/>
        <w:rPr>
          <w:rFonts w:hint="eastAsia" w:ascii="宋体" w:hAnsi="宋体" w:eastAsia="宋体" w:cs="宋体"/>
          <w:bCs/>
          <w:color w:val="000000"/>
          <w:sz w:val="24"/>
          <w:highlight w:val="none"/>
          <w:lang w:eastAsia="zh-CN"/>
        </w:rPr>
      </w:pPr>
      <w:r>
        <w:rPr>
          <w:rFonts w:hint="eastAsia" w:ascii="宋体" w:hAnsi="宋体" w:eastAsia="宋体" w:cs="宋体"/>
          <w:bCs/>
          <w:color w:val="000000"/>
          <w:sz w:val="24"/>
          <w:szCs w:val="24"/>
          <w:highlight w:val="none"/>
        </w:rPr>
        <w:t>固定管理费原则上按日计提</w:t>
      </w:r>
      <w:r>
        <w:rPr>
          <w:rFonts w:hint="eastAsia" w:ascii="宋体" w:hAnsi="宋体" w:eastAsia="宋体" w:cs="宋体"/>
          <w:bCs/>
          <w:color w:val="000000"/>
          <w:sz w:val="24"/>
          <w:szCs w:val="24"/>
          <w:highlight w:val="none"/>
          <w:lang w:eastAsia="zh-CN"/>
        </w:rPr>
        <w:t>，</w:t>
      </w:r>
      <w:r>
        <w:rPr>
          <w:rFonts w:hint="eastAsia" w:ascii="宋体" w:hAnsi="宋体" w:eastAsia="宋体" w:cs="宋体"/>
          <w:color w:val="000000"/>
          <w:kern w:val="2"/>
          <w:sz w:val="24"/>
          <w:szCs w:val="24"/>
          <w:lang w:val="en-US" w:eastAsia="zh-CN" w:bidi="ar"/>
        </w:rPr>
        <w:t>若本理财计划份额每个周期结束日的折合年化收益率不达当期该份额业绩比较基准下限，则管理人以当期全部固定管理费为上限，减免全部或部分固定管理费用</w:t>
      </w:r>
      <w:r>
        <w:rPr>
          <w:rFonts w:hint="eastAsia" w:ascii="宋体" w:hAnsi="宋体" w:eastAsia="宋体" w:cs="宋体"/>
          <w:bCs/>
          <w:color w:val="000000"/>
          <w:sz w:val="24"/>
          <w:szCs w:val="24"/>
          <w:highlight w:val="none"/>
          <w:lang w:eastAsia="zh"/>
        </w:rPr>
        <w:t>。</w:t>
      </w:r>
    </w:p>
    <w:p>
      <w:pPr>
        <w:numPr>
          <w:ilvl w:val="0"/>
          <w:numId w:val="29"/>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认购费</w:t>
      </w:r>
    </w:p>
    <w:p>
      <w:pPr>
        <w:spacing w:line="360" w:lineRule="auto"/>
        <w:ind w:firstLine="480" w:firstLineChars="200"/>
        <w:jc w:val="left"/>
        <w:rPr>
          <w:rFonts w:hint="eastAsia" w:ascii="宋体" w:hAnsi="宋体" w:cs="宋体"/>
          <w:bCs/>
          <w:color w:val="FF0000"/>
          <w:sz w:val="24"/>
          <w:highlight w:val="none"/>
        </w:rPr>
      </w:pPr>
      <w:r>
        <w:rPr>
          <w:rFonts w:hint="eastAsia" w:ascii="宋体" w:hAnsi="宋体" w:cs="宋体"/>
          <w:bCs/>
          <w:color w:val="000000"/>
          <w:sz w:val="24"/>
          <w:highlight w:val="none"/>
        </w:rPr>
        <w:t>本理财计划免除认购费。</w:t>
      </w:r>
    </w:p>
    <w:p>
      <w:pPr>
        <w:numPr>
          <w:ilvl w:val="0"/>
          <w:numId w:val="30"/>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申购费</w:t>
      </w:r>
    </w:p>
    <w:p>
      <w:pPr>
        <w:spacing w:line="360" w:lineRule="auto"/>
        <w:ind w:firstLine="480" w:firstLineChars="200"/>
        <w:jc w:val="left"/>
        <w:rPr>
          <w:rFonts w:ascii="宋体" w:hAnsi="宋体" w:cs="宋体"/>
          <w:b/>
          <w:color w:val="FF0000"/>
          <w:sz w:val="24"/>
          <w:highlight w:val="none"/>
        </w:rPr>
      </w:pPr>
      <w:r>
        <w:rPr>
          <w:rFonts w:hint="eastAsia" w:ascii="宋体" w:hAnsi="宋体" w:cs="宋体"/>
          <w:bCs/>
          <w:color w:val="000000"/>
          <w:sz w:val="24"/>
          <w:highlight w:val="none"/>
        </w:rPr>
        <w:t>本理财计划免除申购费。</w:t>
      </w:r>
    </w:p>
    <w:p>
      <w:pPr>
        <w:numPr>
          <w:ilvl w:val="0"/>
          <w:numId w:val="30"/>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赎回费</w:t>
      </w:r>
    </w:p>
    <w:p>
      <w:pPr>
        <w:spacing w:line="360" w:lineRule="auto"/>
        <w:ind w:firstLine="480" w:firstLineChars="200"/>
        <w:jc w:val="left"/>
        <w:rPr>
          <w:rFonts w:ascii="宋体" w:hAnsi="宋体" w:cs="宋体"/>
          <w:b/>
          <w:color w:val="FF0000"/>
          <w:sz w:val="24"/>
          <w:highlight w:val="none"/>
        </w:rPr>
      </w:pPr>
      <w:r>
        <w:rPr>
          <w:rFonts w:hint="eastAsia" w:ascii="宋体" w:hAnsi="宋体" w:cs="宋体"/>
          <w:bCs/>
          <w:color w:val="000000"/>
          <w:sz w:val="24"/>
          <w:highlight w:val="none"/>
        </w:rPr>
        <w:t>本理财计划免除赎回费。</w:t>
      </w:r>
    </w:p>
    <w:p>
      <w:pPr>
        <w:numPr>
          <w:ilvl w:val="0"/>
          <w:numId w:val="31"/>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浮动管理费</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理财管理人根据理财计划投资情况计算浮动管理费，本理财计划</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A</w:t>
      </w:r>
      <w:r>
        <w:rPr>
          <w:rFonts w:hint="eastAsia" w:ascii="宋体" w:hAnsi="宋体" w:cs="宋体"/>
          <w:color w:val="000000"/>
          <w:sz w:val="24"/>
          <w:szCs w:val="24"/>
          <w:highlight w:val="none"/>
          <w:lang w:val="en-US" w:eastAsia="zh-CN"/>
        </w:rPr>
        <w:t>份额</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投资周期的</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折合年化收益率超</w:t>
      </w:r>
      <w:r>
        <w:rPr>
          <w:rFonts w:hint="eastAsia" w:ascii="宋体" w:hAnsi="宋体" w:cs="宋体"/>
          <w:bCs/>
          <w:color w:val="000000"/>
          <w:sz w:val="24"/>
          <w:szCs w:val="24"/>
          <w:highlight w:val="none"/>
          <w:lang w:eastAsia="zh"/>
        </w:rPr>
        <w:t>过</w:t>
      </w:r>
      <w:r>
        <w:rPr>
          <w:rFonts w:hint="eastAsia" w:ascii="宋体" w:hAnsi="宋体" w:eastAsia="宋体" w:cs="宋体"/>
          <w:bCs/>
          <w:color w:val="000000"/>
          <w:kern w:val="2"/>
          <w:sz w:val="24"/>
          <w:szCs w:val="24"/>
          <w:highlight w:val="none"/>
          <w:lang w:val="en-US" w:eastAsia="zh" w:bidi="ar-SA"/>
        </w:rPr>
        <w:t>2.35</w:t>
      </w:r>
      <w:r>
        <w:rPr>
          <w:rFonts w:hint="eastAsia" w:ascii="宋体" w:hAnsi="宋体" w:cs="宋体"/>
          <w:bCs/>
          <w:color w:val="000000"/>
          <w:sz w:val="24"/>
          <w:szCs w:val="24"/>
          <w:highlight w:val="none"/>
          <w:lang w:eastAsia="zh"/>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的部分管理人提取</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50</w:t>
      </w:r>
      <w:r>
        <w:rPr>
          <w:rFonts w:hint="eastAsia" w:ascii="宋体" w:hAnsi="宋体" w:cs="宋体"/>
          <w:color w:val="000000"/>
          <w:sz w:val="24"/>
          <w:szCs w:val="24"/>
          <w:highlight w:val="none"/>
          <w:lang w:eastAsia="zh"/>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作为浮动管理费，每个投资周期结束后收取。本理财计划投资周期的折合年化收益率若小于或等于</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2.35</w:t>
      </w:r>
      <w:r>
        <w:rPr>
          <w:rFonts w:hint="eastAsia" w:ascii="宋体" w:hAnsi="宋体" w:cs="宋体"/>
          <w:bCs/>
          <w:color w:val="000000"/>
          <w:sz w:val="24"/>
          <w:szCs w:val="24"/>
          <w:highlight w:val="none"/>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则不收取浮动管理费。</w:t>
      </w:r>
      <w:r>
        <w:rPr>
          <w:rFonts w:hint="eastAsia" w:ascii="宋体" w:hAnsi="宋体" w:cs="宋体"/>
          <w:bCs/>
          <w:color w:val="000000"/>
          <w:sz w:val="24"/>
          <w:szCs w:val="24"/>
          <w:highlight w:val="none"/>
          <w:lang w:eastAsia="zh-CN"/>
        </w:rPr>
        <w:t>浮动管理费原则上按估值日计提，</w:t>
      </w:r>
      <w:r>
        <w:rPr>
          <w:rFonts w:hint="eastAsia" w:ascii="宋体" w:hAnsi="宋体" w:cs="宋体"/>
          <w:bCs/>
          <w:color w:val="000000"/>
          <w:sz w:val="24"/>
          <w:szCs w:val="24"/>
          <w:highlight w:val="none"/>
          <w:lang w:val="en-US" w:eastAsia="zh-CN"/>
        </w:rPr>
        <w:t>赎回/理财计划</w:t>
      </w:r>
      <w:r>
        <w:rPr>
          <w:rFonts w:hint="eastAsia" w:ascii="宋体" w:hAnsi="宋体" w:cs="宋体"/>
          <w:bCs/>
          <w:color w:val="000000"/>
          <w:sz w:val="24"/>
          <w:szCs w:val="24"/>
          <w:highlight w:val="none"/>
          <w:lang w:eastAsia="zh-CN"/>
        </w:rPr>
        <w:t>到期收取。以</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A</w:t>
      </w:r>
      <w:r>
        <w:rPr>
          <w:rFonts w:hint="eastAsia" w:ascii="宋体" w:hAnsi="宋体" w:cs="宋体"/>
          <w:color w:val="000000"/>
          <w:sz w:val="24"/>
          <w:szCs w:val="24"/>
          <w:highlight w:val="none"/>
          <w:lang w:val="en-US" w:eastAsia="zh-CN"/>
        </w:rPr>
        <w:t>份额</w:t>
      </w:r>
      <w:r>
        <w:rPr>
          <w:rFonts w:hint="eastAsia" w:ascii="宋体" w:hAnsi="宋体" w:cs="宋体"/>
          <w:color w:val="000000"/>
          <w:sz w:val="24"/>
          <w:szCs w:val="24"/>
          <w:highlight w:val="none"/>
        </w:rPr>
        <w:t>〗</w:t>
      </w:r>
      <w:r>
        <w:rPr>
          <w:rFonts w:hint="eastAsia" w:ascii="宋体" w:hAnsi="宋体" w:cs="宋体"/>
          <w:color w:val="000000"/>
          <w:sz w:val="24"/>
          <w:szCs w:val="24"/>
          <w:highlight w:val="none"/>
          <w:lang w:eastAsia="zh-CN"/>
        </w:rPr>
        <w:t>为例，</w:t>
      </w:r>
      <w:r>
        <w:rPr>
          <w:rFonts w:hint="eastAsia" w:ascii="宋体" w:hAnsi="宋体" w:cs="宋体"/>
          <w:bCs/>
          <w:color w:val="000000"/>
          <w:sz w:val="24"/>
          <w:szCs w:val="24"/>
          <w:highlight w:val="none"/>
        </w:rPr>
        <w:t>具体计算方法如下：</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H＝E×NAV0×(K-R)×〖</w:t>
      </w:r>
      <w:r>
        <w:rPr>
          <w:rFonts w:hint="eastAsia" w:ascii="宋体" w:hAnsi="宋体" w:eastAsia="宋体" w:cs="宋体"/>
          <w:bCs/>
          <w:color w:val="000000"/>
          <w:kern w:val="2"/>
          <w:sz w:val="24"/>
          <w:szCs w:val="24"/>
          <w:highlight w:val="none"/>
          <w:lang w:val="en-US" w:eastAsia="zh-CN" w:bidi="ar-SA"/>
        </w:rPr>
        <w:t>50</w:t>
      </w:r>
      <w:r>
        <w:rPr>
          <w:rFonts w:hint="eastAsia" w:ascii="宋体" w:hAnsi="宋体" w:cs="宋体"/>
          <w:bCs/>
          <w:color w:val="000000"/>
          <w:sz w:val="24"/>
          <w:szCs w:val="24"/>
          <w:highlight w:val="none"/>
        </w:rPr>
        <w:t>%〗×N÷365</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其中，K=(NAV1-NAV0+T)÷NAV0×365÷N</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H为当前确认日应收取浮动管理费</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E为本</w:t>
      </w:r>
      <w:r>
        <w:rPr>
          <w:rFonts w:hint="eastAsia" w:ascii="宋体" w:hAnsi="宋体" w:cs="宋体"/>
          <w:bCs/>
          <w:color w:val="000000"/>
          <w:sz w:val="24"/>
          <w:szCs w:val="24"/>
          <w:highlight w:val="none"/>
          <w:lang w:val="en-US" w:eastAsia="zh-CN"/>
        </w:rPr>
        <w:t>理财计划</w:t>
      </w:r>
      <w:r>
        <w:rPr>
          <w:rFonts w:hint="eastAsia" w:ascii="宋体" w:hAnsi="宋体" w:cs="宋体"/>
          <w:bCs/>
          <w:color w:val="000000"/>
          <w:sz w:val="24"/>
          <w:szCs w:val="24"/>
          <w:highlight w:val="none"/>
        </w:rPr>
        <w:t>上一个确认日的存续份额</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K为收取浮动管理费前投资者赎回份额对应持有区间折合年化收益率</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NAV0为上一个确认日前一日费后单位净值</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NAV1为当前确认日前一日未扣除浮动管理费前的单位净值</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R为本次投资周期的</w:t>
      </w:r>
      <w:r>
        <w:rPr>
          <w:rFonts w:hint="eastAsia" w:ascii="宋体" w:hAnsi="宋体" w:cs="宋体"/>
          <w:bCs/>
          <w:color w:val="000000"/>
          <w:sz w:val="24"/>
          <w:szCs w:val="24"/>
          <w:highlight w:val="none"/>
          <w:lang w:val="en-US" w:eastAsia="zh-CN"/>
        </w:rPr>
        <w:t>浮动管理费计提基数</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N为上一个确认日（含）至当前确认日（不含）的实际理财天数</w:t>
      </w:r>
    </w:p>
    <w:p>
      <w:pPr>
        <w:spacing w:line="360" w:lineRule="auto"/>
        <w:ind w:firstLine="480" w:firstLineChars="200"/>
        <w:jc w:val="left"/>
        <w:rPr>
          <w:rFonts w:hint="eastAsia" w:ascii="宋体" w:hAnsi="宋体" w:cs="宋体"/>
          <w:bCs/>
          <w:color w:val="FF0000"/>
          <w:sz w:val="24"/>
          <w:highlight w:val="none"/>
        </w:rPr>
      </w:pPr>
      <w:r>
        <w:rPr>
          <w:rFonts w:hint="eastAsia" w:ascii="宋体" w:hAnsi="宋体" w:cs="宋体"/>
          <w:bCs/>
          <w:color w:val="000000"/>
          <w:sz w:val="24"/>
          <w:szCs w:val="24"/>
          <w:highlight w:val="none"/>
        </w:rPr>
        <w:t>T为当前投资周期内每单位份额的实际分红金额的合计（如有）</w:t>
      </w:r>
    </w:p>
    <w:p>
      <w:pPr>
        <w:numPr>
          <w:ilvl w:val="0"/>
          <w:numId w:val="32"/>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其他费用</w:t>
      </w:r>
    </w:p>
    <w:p>
      <w:p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rPr>
        <w:t>除上述费用外，由受托管理资产承担的费用包括但不限于：</w:t>
      </w:r>
    </w:p>
    <w:p>
      <w:pPr>
        <w:numPr>
          <w:ilvl w:val="0"/>
          <w:numId w:val="3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财产管理、运用或处分过程中发生的税费。</w:t>
      </w:r>
    </w:p>
    <w:p>
      <w:pPr>
        <w:numPr>
          <w:ilvl w:val="0"/>
          <w:numId w:val="3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代理机构手续费、管理费、财务顾问费、保管费。</w:t>
      </w:r>
    </w:p>
    <w:p>
      <w:pPr>
        <w:numPr>
          <w:ilvl w:val="0"/>
          <w:numId w:val="3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审计费、律师费、公证费等费用。</w:t>
      </w:r>
    </w:p>
    <w:p>
      <w:pPr>
        <w:numPr>
          <w:ilvl w:val="0"/>
          <w:numId w:val="3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管理人自行或委托第三方向本理财计划所投资产所涉及相关主体进行追偿所发生的费用（包括但不限于诉讼费、仲裁费、律师费、保全费等全部费用）。</w:t>
      </w:r>
    </w:p>
    <w:p>
      <w:pPr>
        <w:numPr>
          <w:ilvl w:val="0"/>
          <w:numId w:val="3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理财计划的交易费用（包括但不限于交易佣金、相关账户费用等）及投资其他资管产品的费用。</w:t>
      </w:r>
    </w:p>
    <w:p>
      <w:pPr>
        <w:numPr>
          <w:ilvl w:val="0"/>
          <w:numId w:val="3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监管规定的其他费用。</w:t>
      </w:r>
    </w:p>
    <w:p>
      <w:pPr>
        <w:spacing w:line="360" w:lineRule="auto"/>
        <w:ind w:firstLine="482" w:firstLineChars="200"/>
        <w:jc w:val="left"/>
        <w:rPr>
          <w:rFonts w:ascii="宋体" w:hAnsi="宋体" w:cs="宋体"/>
          <w:bCs/>
          <w:sz w:val="24"/>
          <w:highlight w:val="none"/>
        </w:rPr>
      </w:pPr>
      <w:r>
        <w:rPr>
          <w:rFonts w:hint="eastAsia" w:ascii="宋体" w:hAnsi="宋体" w:cs="宋体"/>
          <w:b/>
          <w:sz w:val="24"/>
          <w:highlight w:val="none"/>
        </w:rPr>
        <w:t>管理人有权根据国家政策和适用法律的规定，对本理财计划费用名目、收费条件、收费标准和收费方式进行调整，并按照信息披露约定的方式向投资者进行披露。对于管理人增加费用名目、提高收费标准等对投资者利益产生实质影响的情形，投资者如不同意调整的，可在管理人信息披露的补充或修改后的相关业务调整生效前申请赎回本理财计划，逾期未赎回的视为同意接受上述调整且继续持有本理财计划。</w:t>
      </w:r>
    </w:p>
    <w:p>
      <w:pPr>
        <w:numPr>
          <w:ilvl w:val="0"/>
          <w:numId w:val="3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税收说明</w:t>
      </w:r>
    </w:p>
    <w:p>
      <w:pPr>
        <w:numPr>
          <w:ilvl w:val="0"/>
          <w:numId w:val="35"/>
        </w:numPr>
        <w:spacing w:line="360" w:lineRule="auto"/>
        <w:ind w:firstLine="480" w:firstLineChars="200"/>
        <w:jc w:val="left"/>
        <w:rPr>
          <w:highlight w:val="none"/>
        </w:rPr>
      </w:pPr>
      <w:r>
        <w:rPr>
          <w:rFonts w:hint="eastAsia" w:ascii="宋体" w:hAnsi="宋体" w:cs="宋体"/>
          <w:bCs/>
          <w:color w:val="000000"/>
          <w:sz w:val="24"/>
          <w:highlight w:val="none"/>
        </w:rPr>
        <w:t>根据财政部、国家税务总局相关税收监管政策的规定，理财计划运营过程中发生的增值税应税行为，以理财计划为增值税纳税主体，计算并缴纳增值税及附加税费。理财计划管理人将按照相关规定计算应缴纳的税费，并从本理财计划财产中支付。</w:t>
      </w:r>
    </w:p>
    <w:p>
      <w:pPr>
        <w:numPr>
          <w:ilvl w:val="0"/>
          <w:numId w:val="35"/>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除法律法规特别要求外，投资者应缴纳的税收由投资者自行缴纳，理财计划管理人不承担代扣代缴或纳税的义务。</w:t>
      </w:r>
    </w:p>
    <w:p>
      <w:pPr>
        <w:numPr>
          <w:ilvl w:val="0"/>
          <w:numId w:val="35"/>
        </w:numPr>
        <w:spacing w:line="360" w:lineRule="auto"/>
        <w:ind w:firstLine="480" w:firstLineChars="200"/>
        <w:jc w:val="left"/>
        <w:rPr>
          <w:rFonts w:hint="eastAsia" w:ascii="宋体" w:hAnsi="宋体" w:cs="宋体"/>
          <w:b/>
          <w:sz w:val="24"/>
          <w:highlight w:val="none"/>
        </w:rPr>
      </w:pPr>
      <w:r>
        <w:rPr>
          <w:rFonts w:hint="eastAsia" w:ascii="宋体" w:hAnsi="宋体" w:cs="宋体"/>
          <w:bCs/>
          <w:color w:val="000000"/>
          <w:sz w:val="24"/>
          <w:highlight w:val="none"/>
        </w:rPr>
        <w:t>后续国家法律法规如对相关税收政策进行调整，理财计划管理人有权根据税收政策相应调整理财计划运营过程中发生的税费计算及缴纳方式。</w:t>
      </w:r>
    </w:p>
    <w:p>
      <w:pPr>
        <w:spacing w:line="360" w:lineRule="auto"/>
        <w:jc w:val="left"/>
        <w:rPr>
          <w:rFonts w:hint="eastAsia" w:ascii="宋体" w:hAnsi="宋体" w:cs="宋体"/>
          <w:b/>
          <w:sz w:val="24"/>
          <w:highlight w:val="none"/>
        </w:rPr>
      </w:pPr>
    </w:p>
    <w:p>
      <w:pPr>
        <w:numPr>
          <w:ilvl w:val="0"/>
          <w:numId w:val="21"/>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收益计算</w:t>
      </w:r>
    </w:p>
    <w:p>
      <w:pPr>
        <w:numPr>
          <w:ilvl w:val="0"/>
          <w:numId w:val="36"/>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计算公式</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投资者理财收益＝赎回份额×赎回确认日（提前终止日）</w:t>
      </w:r>
      <w:r>
        <w:rPr>
          <w:rFonts w:hint="eastAsia" w:ascii="宋体" w:hAnsi="宋体" w:cs="宋体"/>
          <w:bCs/>
          <w:color w:val="000000"/>
          <w:sz w:val="24"/>
          <w:highlight w:val="none"/>
          <w:lang w:val="en-US" w:eastAsia="zh-CN"/>
        </w:rPr>
        <w:t>前一日</w:t>
      </w:r>
      <w:r>
        <w:rPr>
          <w:rFonts w:hint="eastAsia" w:ascii="宋体" w:hAnsi="宋体" w:cs="宋体"/>
          <w:bCs/>
          <w:color w:val="000000"/>
          <w:sz w:val="24"/>
          <w:highlight w:val="none"/>
        </w:rPr>
        <w:t>单位净值-认购或申购金额+</w:t>
      </w:r>
      <w:r>
        <w:rPr>
          <w:rFonts w:hint="eastAsia" w:ascii="宋体" w:hAnsi="宋体" w:cs="宋体"/>
          <w:bCs/>
          <w:sz w:val="24"/>
          <w:highlight w:val="none"/>
        </w:rPr>
        <w:t>份额持有期间累计分红（如有）</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份额=认购或申购金额÷认购或申购确认日</w:t>
      </w:r>
      <w:r>
        <w:rPr>
          <w:rFonts w:hint="eastAsia" w:ascii="宋体" w:hAnsi="宋体" w:cs="宋体"/>
          <w:bCs/>
          <w:color w:val="000000"/>
          <w:sz w:val="24"/>
          <w:highlight w:val="none"/>
          <w:lang w:val="en-US" w:eastAsia="zh-CN"/>
        </w:rPr>
        <w:t>前一日</w:t>
      </w:r>
      <w:r>
        <w:rPr>
          <w:rFonts w:hint="eastAsia" w:ascii="宋体" w:hAnsi="宋体" w:cs="宋体"/>
          <w:bCs/>
          <w:color w:val="000000"/>
          <w:sz w:val="24"/>
          <w:highlight w:val="none"/>
        </w:rPr>
        <w:t>单位净值。</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赎回确认日（提前终止日）</w:t>
      </w:r>
      <w:r>
        <w:rPr>
          <w:rFonts w:hint="eastAsia" w:ascii="宋体" w:hAnsi="宋体" w:cs="宋体"/>
          <w:bCs/>
          <w:color w:val="000000"/>
          <w:sz w:val="24"/>
          <w:highlight w:val="none"/>
          <w:lang w:val="en-US" w:eastAsia="zh-CN"/>
        </w:rPr>
        <w:t>前一日的</w:t>
      </w:r>
      <w:r>
        <w:rPr>
          <w:rFonts w:hint="eastAsia" w:ascii="宋体" w:hAnsi="宋体" w:cs="宋体"/>
          <w:bCs/>
          <w:color w:val="000000"/>
          <w:sz w:val="24"/>
          <w:highlight w:val="none"/>
        </w:rPr>
        <w:t>单位净值为提取相关费用及税费后的单位理财计划份额净值。</w:t>
      </w:r>
    </w:p>
    <w:p>
      <w:pPr>
        <w:numPr>
          <w:ilvl w:val="0"/>
          <w:numId w:val="36"/>
        </w:numPr>
        <w:spacing w:line="360" w:lineRule="auto"/>
        <w:jc w:val="left"/>
        <w:outlineLvl w:val="2"/>
        <w:rPr>
          <w:rFonts w:hint="eastAsia" w:ascii="宋体" w:hAnsi="宋体" w:cs="宋体"/>
          <w:bCs/>
          <w:color w:val="000000"/>
          <w:sz w:val="24"/>
          <w:highlight w:val="none"/>
        </w:rPr>
      </w:pPr>
      <w:r>
        <w:rPr>
          <w:rFonts w:hint="eastAsia" w:ascii="宋体" w:hAnsi="宋体" w:cs="宋体"/>
          <w:b/>
          <w:sz w:val="24"/>
          <w:highlight w:val="none"/>
        </w:rPr>
        <w:t>示例说明</w:t>
      </w:r>
    </w:p>
    <w:p>
      <w:pPr>
        <w:numPr>
          <w:ilvl w:val="0"/>
          <w:numId w:val="0"/>
        </w:numPr>
        <w:spacing w:line="360" w:lineRule="auto"/>
        <w:ind w:left="420" w:leftChars="0"/>
        <w:jc w:val="left"/>
        <w:outlineLvl w:val="9"/>
        <w:rPr>
          <w:rFonts w:hint="eastAsia" w:ascii="宋体" w:hAnsi="宋体" w:cs="宋体"/>
          <w:bCs/>
          <w:color w:val="000000"/>
          <w:sz w:val="24"/>
          <w:highlight w:val="none"/>
        </w:rPr>
      </w:pPr>
      <w:r>
        <w:rPr>
          <w:rFonts w:hint="eastAsia" w:ascii="宋体" w:hAnsi="宋体" w:eastAsia="宋体" w:cs="宋体"/>
          <w:bCs/>
          <w:color w:val="000000"/>
          <w:sz w:val="24"/>
          <w:highlight w:val="none"/>
          <w:lang w:val="en-US" w:eastAsia="zh-CN"/>
        </w:rPr>
        <w:t>以下示例均为假设情况，不构成业绩预测，不代表本理财计划实际投资业绩。</w:t>
      </w:r>
    </w:p>
    <w:p>
      <w:pPr>
        <w:keepNext w:val="0"/>
        <w:keepLines w:val="0"/>
        <w:widowControl w:val="0"/>
        <w:numPr>
          <w:ilvl w:val="0"/>
          <w:numId w:val="37"/>
        </w:numPr>
        <w:suppressLineNumbers w:val="0"/>
        <w:spacing w:before="0" w:beforeAutospacing="0" w:after="0" w:afterAutospacing="0" w:line="360" w:lineRule="auto"/>
        <w:ind w:left="0" w:right="0" w:firstLine="482" w:firstLineChars="200"/>
        <w:jc w:val="left"/>
        <w:rPr>
          <w:rFonts w:hint="eastAsia" w:ascii="宋体" w:hAnsi="宋体" w:eastAsia="宋体" w:cs="宋体"/>
          <w:b/>
          <w:bCs/>
          <w:kern w:val="2"/>
          <w:sz w:val="24"/>
          <w:szCs w:val="24"/>
        </w:rPr>
      </w:pPr>
      <w:r>
        <w:rPr>
          <w:rFonts w:hint="eastAsia" w:ascii="宋体" w:hAnsi="宋体" w:eastAsia="宋体" w:cs="宋体"/>
          <w:b/>
          <w:bCs/>
          <w:kern w:val="2"/>
          <w:sz w:val="24"/>
          <w:szCs w:val="24"/>
          <w:lang w:val="en-US" w:eastAsia="zh-CN" w:bidi="ar"/>
        </w:rPr>
        <w:t>示例一</w:t>
      </w:r>
    </w:p>
    <w:p>
      <w:pPr>
        <w:keepNext w:val="0"/>
        <w:keepLines w:val="0"/>
        <w:widowControl w:val="0"/>
        <w:suppressLineNumbers w:val="0"/>
        <w:spacing w:before="0" w:beforeAutospacing="0" w:after="0" w:afterAutospacing="0" w:line="360" w:lineRule="auto"/>
        <w:ind w:left="0" w:right="0" w:firstLine="482" w:firstLineChars="200"/>
        <w:jc w:val="left"/>
        <w:rPr>
          <w:rFonts w:hint="eastAsia" w:ascii="宋体" w:hAnsi="宋体" w:eastAsia="宋体" w:cs="宋体"/>
          <w:color w:val="000000"/>
          <w:kern w:val="2"/>
          <w:sz w:val="24"/>
          <w:szCs w:val="24"/>
        </w:rPr>
      </w:pPr>
      <w:r>
        <w:rPr>
          <w:rFonts w:hint="eastAsia" w:ascii="宋体" w:hAnsi="宋体" w:eastAsia="宋体" w:cs="宋体"/>
          <w:b/>
          <w:bCs/>
          <w:color w:val="000000"/>
          <w:kern w:val="2"/>
          <w:sz w:val="24"/>
          <w:szCs w:val="24"/>
          <w:lang w:val="en-US" w:eastAsia="zh-CN" w:bidi="ar"/>
        </w:rPr>
        <w:t>扣除托管费、固定管理费、销售服务费（如有）后，投资收益率超过浮动管理费计提基</w:t>
      </w:r>
      <w:r>
        <w:rPr>
          <w:rFonts w:hint="eastAsia" w:ascii="宋体" w:hAnsi="宋体" w:eastAsia="宋体" w:cs="宋体"/>
          <w:b/>
          <w:bCs/>
          <w:color w:val="000000"/>
          <w:kern w:val="2"/>
          <w:sz w:val="24"/>
          <w:szCs w:val="24"/>
          <w:lang w:val="en-US" w:eastAsia="zh" w:bidi="ar"/>
        </w:rPr>
        <w:t>数</w:t>
      </w:r>
      <w:r>
        <w:rPr>
          <w:rFonts w:hint="eastAsia" w:ascii="宋体" w:hAnsi="宋体" w:eastAsia="宋体" w:cs="宋体"/>
          <w:b/>
          <w:bCs/>
          <w:color w:val="000000"/>
          <w:kern w:val="2"/>
          <w:sz w:val="24"/>
          <w:szCs w:val="24"/>
          <w:lang w:val="en-US" w:eastAsia="zh-CN" w:bidi="ar"/>
        </w:rPr>
        <w:t>。</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以某投资者投资10万元〖A份额〗为例，假设购买时理财计划净值为1.00元，折算份额为100,000.00份,假设投资理财计划362天后，</w:t>
      </w:r>
      <w:r>
        <w:rPr>
          <w:rFonts w:hint="eastAsia" w:ascii="宋体" w:hAnsi="宋体" w:eastAsia="宋体" w:cs="宋体"/>
          <w:kern w:val="2"/>
          <w:sz w:val="24"/>
          <w:szCs w:val="24"/>
          <w:lang w:val="en-US" w:eastAsia="zh-CN" w:bidi="ar"/>
        </w:rPr>
        <w:t>赎回份额</w:t>
      </w:r>
      <w:r>
        <w:rPr>
          <w:rFonts w:hint="eastAsia" w:ascii="宋体" w:hAnsi="宋体" w:eastAsia="宋体" w:cs="宋体"/>
          <w:color w:val="000000"/>
          <w:kern w:val="2"/>
          <w:sz w:val="24"/>
          <w:szCs w:val="24"/>
          <w:lang w:val="en-US" w:eastAsia="zh-CN" w:bidi="ar"/>
        </w:rPr>
        <w:t>100,000.00</w:t>
      </w:r>
      <w:r>
        <w:rPr>
          <w:rFonts w:hint="eastAsia" w:ascii="宋体" w:hAnsi="宋体" w:eastAsia="宋体" w:cs="宋体"/>
          <w:kern w:val="2"/>
          <w:sz w:val="24"/>
          <w:szCs w:val="24"/>
          <w:lang w:val="en-US" w:eastAsia="zh-CN" w:bidi="ar"/>
        </w:rPr>
        <w:t>份</w:t>
      </w:r>
      <w:r>
        <w:rPr>
          <w:rFonts w:hint="eastAsia" w:ascii="宋体" w:hAnsi="宋体" w:eastAsia="宋体" w:cs="宋体"/>
          <w:color w:val="000000"/>
          <w:kern w:val="2"/>
          <w:sz w:val="24"/>
          <w:szCs w:val="24"/>
          <w:lang w:val="en-US" w:eastAsia="zh-CN" w:bidi="ar"/>
        </w:rPr>
        <w:t>。假设管理人提取超过5.00%的50%作为浮动管理费，浮动管理费计提基</w:t>
      </w:r>
      <w:r>
        <w:rPr>
          <w:rFonts w:hint="eastAsia" w:ascii="宋体" w:hAnsi="宋体" w:eastAsia="宋体" w:cs="宋体"/>
          <w:color w:val="000000"/>
          <w:kern w:val="2"/>
          <w:sz w:val="24"/>
          <w:szCs w:val="24"/>
          <w:lang w:val="en-US" w:eastAsia="zh" w:bidi="ar"/>
        </w:rPr>
        <w:t>数</w:t>
      </w:r>
      <w:r>
        <w:rPr>
          <w:rFonts w:hint="eastAsia" w:ascii="宋体" w:hAnsi="宋体" w:eastAsia="宋体" w:cs="宋体"/>
          <w:color w:val="000000"/>
          <w:kern w:val="2"/>
          <w:sz w:val="24"/>
          <w:szCs w:val="24"/>
          <w:lang w:val="en-US" w:eastAsia="zh-CN" w:bidi="ar"/>
        </w:rPr>
        <w:t>为5.00%，期间无分红。赎回时扣除托管费、固定管理费、销售服务费（如有）后，如理财计划净值为1.0615，此时，(1.0615/1.00-1)×365/362=6.20%&gt;5.00%，即投资收益超过〖5.00%〗，则投资管理人对超过〖5.00%〗部分收益收取浮动管理费，浮动管理费为：</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（100,000.00×1.0615-100,000.00×1.0000-100,000.00×1.0000×5.00%×362/365）×50%=595.55（元）</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扣除浮动管理费后，投资者最终收益为：</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100,000.00×（1.0615-1.00）-595.55 =5,554.45（元），理财计划赎回时，投资者获得的实际收益相当于达到年化收益率水平为：5,554.45/100,000.00×365/362=5.60%。</w:t>
      </w:r>
    </w:p>
    <w:p>
      <w:pPr>
        <w:keepNext w:val="0"/>
        <w:keepLines w:val="0"/>
        <w:widowControl w:val="0"/>
        <w:numPr>
          <w:ilvl w:val="0"/>
          <w:numId w:val="37"/>
        </w:numPr>
        <w:suppressLineNumbers w:val="0"/>
        <w:spacing w:before="0" w:beforeAutospacing="0" w:after="0" w:afterAutospacing="0" w:line="360" w:lineRule="auto"/>
        <w:ind w:left="0" w:right="0" w:firstLine="482" w:firstLineChars="200"/>
        <w:jc w:val="left"/>
        <w:rPr>
          <w:rFonts w:hint="eastAsia" w:ascii="宋体" w:hAnsi="宋体" w:eastAsia="宋体" w:cs="宋体"/>
          <w:b/>
          <w:bCs/>
          <w:kern w:val="2"/>
          <w:sz w:val="24"/>
          <w:szCs w:val="24"/>
        </w:rPr>
      </w:pPr>
      <w:r>
        <w:rPr>
          <w:rFonts w:hint="eastAsia" w:ascii="宋体" w:hAnsi="宋体" w:eastAsia="宋体" w:cs="宋体"/>
          <w:b/>
          <w:bCs/>
          <w:kern w:val="2"/>
          <w:sz w:val="24"/>
          <w:szCs w:val="24"/>
          <w:lang w:val="en-US" w:eastAsia="zh-CN" w:bidi="ar"/>
        </w:rPr>
        <w:t>示例二</w:t>
      </w:r>
    </w:p>
    <w:p>
      <w:pPr>
        <w:keepNext w:val="0"/>
        <w:keepLines w:val="0"/>
        <w:widowControl w:val="0"/>
        <w:suppressLineNumbers w:val="0"/>
        <w:spacing w:before="0" w:beforeAutospacing="0" w:after="0" w:afterAutospacing="0" w:line="360" w:lineRule="auto"/>
        <w:ind w:left="0" w:right="0" w:firstLine="482" w:firstLineChars="200"/>
        <w:jc w:val="left"/>
        <w:rPr>
          <w:rFonts w:hint="eastAsia" w:ascii="宋体" w:hAnsi="宋体" w:eastAsia="宋体" w:cs="宋体"/>
          <w:color w:val="000000"/>
          <w:kern w:val="2"/>
          <w:sz w:val="24"/>
          <w:szCs w:val="24"/>
        </w:rPr>
      </w:pPr>
      <w:r>
        <w:rPr>
          <w:rFonts w:hint="eastAsia" w:ascii="宋体" w:hAnsi="宋体" w:eastAsia="宋体" w:cs="宋体"/>
          <w:b/>
          <w:bCs/>
          <w:color w:val="000000"/>
          <w:kern w:val="2"/>
          <w:sz w:val="24"/>
          <w:szCs w:val="24"/>
          <w:lang w:val="en-US" w:eastAsia="zh-CN" w:bidi="ar"/>
        </w:rPr>
        <w:t>扣除托管费、固定管理费、销售服务费（如有）后，投资收益率未达到浮动管理费计提基</w:t>
      </w:r>
      <w:r>
        <w:rPr>
          <w:rFonts w:hint="eastAsia" w:ascii="宋体" w:hAnsi="宋体" w:eastAsia="宋体" w:cs="宋体"/>
          <w:b/>
          <w:bCs/>
          <w:color w:val="000000"/>
          <w:kern w:val="2"/>
          <w:sz w:val="24"/>
          <w:szCs w:val="24"/>
          <w:lang w:val="en-US" w:eastAsia="zh" w:bidi="ar"/>
        </w:rPr>
        <w:t>数</w:t>
      </w:r>
      <w:r>
        <w:rPr>
          <w:rFonts w:hint="eastAsia" w:ascii="宋体" w:hAnsi="宋体" w:eastAsia="宋体" w:cs="宋体"/>
          <w:b/>
          <w:bCs/>
          <w:color w:val="000000"/>
          <w:kern w:val="2"/>
          <w:sz w:val="24"/>
          <w:szCs w:val="24"/>
          <w:lang w:val="en-US" w:eastAsia="zh-CN" w:bidi="ar"/>
        </w:rPr>
        <w:t>。</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以某投资者投资10万元〖A份额〗为例，假设购买时理财计划净值为1.00元，折算份额为100,000.00份，假设投资理财计划362天后，</w:t>
      </w:r>
      <w:r>
        <w:rPr>
          <w:rFonts w:hint="eastAsia" w:ascii="宋体" w:hAnsi="宋体" w:eastAsia="宋体" w:cs="宋体"/>
          <w:kern w:val="2"/>
          <w:sz w:val="24"/>
          <w:szCs w:val="24"/>
          <w:lang w:val="en-US" w:eastAsia="zh-CN" w:bidi="ar"/>
        </w:rPr>
        <w:t>赎回份额</w:t>
      </w:r>
      <w:r>
        <w:rPr>
          <w:rFonts w:hint="eastAsia" w:ascii="宋体" w:hAnsi="宋体" w:eastAsia="宋体" w:cs="宋体"/>
          <w:color w:val="000000"/>
          <w:kern w:val="2"/>
          <w:sz w:val="24"/>
          <w:szCs w:val="24"/>
          <w:lang w:val="en-US" w:eastAsia="zh-CN" w:bidi="ar"/>
        </w:rPr>
        <w:t>100,000.00</w:t>
      </w:r>
      <w:r>
        <w:rPr>
          <w:rFonts w:hint="eastAsia" w:ascii="宋体" w:hAnsi="宋体" w:eastAsia="宋体" w:cs="宋体"/>
          <w:kern w:val="2"/>
          <w:sz w:val="24"/>
          <w:szCs w:val="24"/>
          <w:lang w:val="en-US" w:eastAsia="zh-CN" w:bidi="ar"/>
        </w:rPr>
        <w:t>份</w:t>
      </w:r>
      <w:r>
        <w:rPr>
          <w:rFonts w:hint="eastAsia" w:ascii="宋体" w:hAnsi="宋体" w:eastAsia="宋体" w:cs="宋体"/>
          <w:color w:val="000000"/>
          <w:kern w:val="2"/>
          <w:sz w:val="24"/>
          <w:szCs w:val="24"/>
          <w:lang w:val="en-US" w:eastAsia="zh-CN" w:bidi="ar"/>
        </w:rPr>
        <w:t>。假设管理人提取超过5.00%的50%作为浮动管理费，</w:t>
      </w:r>
      <w:r>
        <w:rPr>
          <w:rFonts w:hint="eastAsia" w:ascii="宋体" w:hAnsi="宋体" w:eastAsia="宋体" w:cs="宋体"/>
          <w:b w:val="0"/>
          <w:bCs w:val="0"/>
          <w:kern w:val="2"/>
          <w:sz w:val="24"/>
          <w:szCs w:val="24"/>
          <w:lang w:val="en-US" w:eastAsia="zh-CN" w:bidi="ar"/>
        </w:rPr>
        <w:t>浮动管理费计提基</w:t>
      </w:r>
      <w:r>
        <w:rPr>
          <w:rFonts w:hint="eastAsia" w:ascii="宋体" w:hAnsi="宋体" w:eastAsia="宋体" w:cs="宋体"/>
          <w:b w:val="0"/>
          <w:bCs w:val="0"/>
          <w:kern w:val="2"/>
          <w:sz w:val="24"/>
          <w:szCs w:val="24"/>
          <w:lang w:val="en-US" w:eastAsia="zh" w:bidi="ar"/>
        </w:rPr>
        <w:t>数</w:t>
      </w:r>
      <w:r>
        <w:rPr>
          <w:rFonts w:hint="eastAsia" w:ascii="宋体" w:hAnsi="宋体" w:eastAsia="宋体" w:cs="宋体"/>
          <w:kern w:val="2"/>
          <w:sz w:val="24"/>
          <w:szCs w:val="24"/>
          <w:lang w:val="en-US" w:eastAsia="zh-CN" w:bidi="ar"/>
        </w:rPr>
        <w:t>为5.00%</w:t>
      </w:r>
      <w:r>
        <w:rPr>
          <w:rFonts w:hint="eastAsia" w:ascii="宋体" w:hAnsi="宋体" w:eastAsia="宋体" w:cs="宋体"/>
          <w:color w:val="000000"/>
          <w:kern w:val="2"/>
          <w:sz w:val="24"/>
          <w:szCs w:val="24"/>
          <w:lang w:val="en-US" w:eastAsia="zh-CN" w:bidi="ar"/>
        </w:rPr>
        <w:t>，期间无分红。赎回时扣除托管费、固定管理费、销售服务费（如有）后，如理财计划净值为1.0426，此时，(1.0426/1.00-1)×365/362=4.30%&lt;5.00%，即投资收益未达到〖5.00%〗，则投资管理人不收取浮动管理费，投资者最终收益为：100,000.00×(1.0426-1.00）=4,260.00（元）</w:t>
      </w:r>
    </w:p>
    <w:p>
      <w:pPr>
        <w:keepNext w:val="0"/>
        <w:keepLines w:val="0"/>
        <w:widowControl w:val="0"/>
        <w:numPr>
          <w:ilvl w:val="0"/>
          <w:numId w:val="37"/>
        </w:numPr>
        <w:suppressLineNumbers w:val="0"/>
        <w:spacing w:before="0" w:beforeAutospacing="0" w:after="0" w:afterAutospacing="0" w:line="360" w:lineRule="auto"/>
        <w:ind w:left="0" w:right="0" w:firstLine="482" w:firstLineChars="200"/>
        <w:jc w:val="left"/>
        <w:rPr>
          <w:rFonts w:hint="eastAsia" w:ascii="宋体" w:hAnsi="宋体" w:eastAsia="宋体" w:cs="宋体"/>
          <w:b/>
          <w:bCs/>
          <w:kern w:val="2"/>
          <w:sz w:val="24"/>
          <w:szCs w:val="24"/>
        </w:rPr>
      </w:pPr>
      <w:r>
        <w:rPr>
          <w:rFonts w:hint="eastAsia" w:ascii="宋体" w:hAnsi="宋体" w:eastAsia="宋体" w:cs="宋体"/>
          <w:b/>
          <w:bCs/>
          <w:kern w:val="2"/>
          <w:sz w:val="24"/>
          <w:szCs w:val="24"/>
          <w:lang w:val="en-US" w:eastAsia="zh-CN" w:bidi="ar"/>
        </w:rPr>
        <w:t>示例三</w:t>
      </w:r>
    </w:p>
    <w:p>
      <w:pPr>
        <w:keepNext w:val="0"/>
        <w:keepLines w:val="0"/>
        <w:widowControl w:val="0"/>
        <w:suppressLineNumbers w:val="0"/>
        <w:spacing w:before="0" w:beforeAutospacing="0" w:after="0" w:afterAutospacing="0" w:line="360" w:lineRule="auto"/>
        <w:ind w:left="0" w:right="0" w:firstLine="482" w:firstLineChars="200"/>
        <w:jc w:val="left"/>
        <w:rPr>
          <w:rFonts w:hint="eastAsia" w:ascii="宋体" w:hAnsi="宋体" w:eastAsia="宋体" w:cs="宋体"/>
          <w:b/>
          <w:bCs/>
          <w:color w:val="000000"/>
          <w:kern w:val="2"/>
          <w:sz w:val="24"/>
          <w:szCs w:val="24"/>
          <w:lang w:val="en-US" w:eastAsia="zh-CN" w:bidi="ar"/>
        </w:rPr>
      </w:pPr>
      <w:r>
        <w:rPr>
          <w:rFonts w:hint="eastAsia" w:ascii="宋体" w:hAnsi="宋体" w:eastAsia="宋体" w:cs="宋体"/>
          <w:b/>
          <w:bCs/>
          <w:color w:val="000000"/>
          <w:kern w:val="2"/>
          <w:sz w:val="24"/>
          <w:szCs w:val="24"/>
          <w:lang w:val="en-US" w:eastAsia="zh-CN" w:bidi="ar"/>
        </w:rPr>
        <w:t>扣除托管费、固定管理费、销售服务费（如有）后，投资发生亏损。</w:t>
      </w:r>
    </w:p>
    <w:p>
      <w:pPr>
        <w:keepNext w:val="0"/>
        <w:keepLines w:val="0"/>
        <w:widowControl w:val="0"/>
        <w:suppressLineNumbers w:val="0"/>
        <w:spacing w:before="0" w:beforeAutospacing="0" w:after="0" w:afterAutospacing="0" w:line="360" w:lineRule="auto"/>
        <w:ind w:left="0" w:right="0" w:firstLine="480" w:firstLineChars="200"/>
        <w:jc w:val="both"/>
        <w:rPr>
          <w:rFonts w:hint="eastAsia" w:ascii="宋体" w:hAnsi="宋体" w:eastAsia="宋体" w:cs="宋体"/>
          <w:b/>
          <w:bCs/>
          <w:color w:val="000000"/>
          <w:kern w:val="2"/>
          <w:sz w:val="24"/>
          <w:szCs w:val="24"/>
          <w:lang w:val="en-US" w:eastAsia="zh" w:bidi="ar"/>
        </w:rPr>
      </w:pPr>
      <w:r>
        <w:rPr>
          <w:rFonts w:hint="eastAsia" w:ascii="宋体" w:hAnsi="宋体" w:eastAsia="宋体" w:cs="宋体"/>
          <w:color w:val="000000"/>
          <w:kern w:val="2"/>
          <w:sz w:val="24"/>
          <w:szCs w:val="24"/>
          <w:lang w:val="en-US" w:eastAsia="zh-CN" w:bidi="ar"/>
        </w:rPr>
        <w:t>以某投资者投资10万元〖A份额〗为例，假设购买时理财计划净值为1.00元，折算份额为100,000.00份，假设投资理财计划362天后，</w:t>
      </w:r>
      <w:r>
        <w:rPr>
          <w:rFonts w:hint="eastAsia" w:ascii="宋体" w:hAnsi="宋体" w:eastAsia="宋体" w:cs="宋体"/>
          <w:kern w:val="2"/>
          <w:sz w:val="24"/>
          <w:szCs w:val="24"/>
          <w:lang w:val="en-US" w:eastAsia="zh-CN" w:bidi="ar"/>
        </w:rPr>
        <w:t>赎回份额</w:t>
      </w:r>
      <w:r>
        <w:rPr>
          <w:rFonts w:hint="eastAsia" w:ascii="宋体" w:hAnsi="宋体" w:eastAsia="宋体" w:cs="宋体"/>
          <w:color w:val="000000"/>
          <w:kern w:val="2"/>
          <w:sz w:val="24"/>
          <w:szCs w:val="24"/>
          <w:lang w:val="en-US" w:eastAsia="zh-CN" w:bidi="ar"/>
        </w:rPr>
        <w:t>100,000.00</w:t>
      </w:r>
      <w:r>
        <w:rPr>
          <w:rFonts w:hint="eastAsia" w:ascii="宋体" w:hAnsi="宋体" w:eastAsia="宋体" w:cs="宋体"/>
          <w:kern w:val="2"/>
          <w:sz w:val="24"/>
          <w:szCs w:val="24"/>
          <w:lang w:val="en-US" w:eastAsia="zh-CN" w:bidi="ar"/>
        </w:rPr>
        <w:t>份</w:t>
      </w:r>
      <w:r>
        <w:rPr>
          <w:rFonts w:hint="eastAsia" w:ascii="宋体" w:hAnsi="宋体" w:eastAsia="宋体" w:cs="宋体"/>
          <w:color w:val="000000"/>
          <w:kern w:val="2"/>
          <w:sz w:val="24"/>
          <w:szCs w:val="24"/>
          <w:lang w:val="en-US" w:eastAsia="zh-CN" w:bidi="ar"/>
        </w:rPr>
        <w:t>。假设管理人提取超过5.00%的50%作为浮动管理费，</w:t>
      </w:r>
      <w:r>
        <w:rPr>
          <w:rFonts w:hint="eastAsia" w:ascii="宋体" w:hAnsi="宋体" w:eastAsia="宋体" w:cs="宋体"/>
          <w:b w:val="0"/>
          <w:bCs w:val="0"/>
          <w:kern w:val="2"/>
          <w:sz w:val="24"/>
          <w:szCs w:val="24"/>
          <w:lang w:val="en-US" w:eastAsia="zh-CN" w:bidi="ar"/>
        </w:rPr>
        <w:t>浮动管理费计提基准</w:t>
      </w:r>
      <w:r>
        <w:rPr>
          <w:rFonts w:hint="eastAsia" w:ascii="宋体" w:hAnsi="宋体" w:eastAsia="宋体" w:cs="宋体"/>
          <w:kern w:val="2"/>
          <w:sz w:val="24"/>
          <w:szCs w:val="24"/>
          <w:lang w:val="en-US" w:eastAsia="zh-CN" w:bidi="ar"/>
        </w:rPr>
        <w:t>为5.00%</w:t>
      </w:r>
      <w:r>
        <w:rPr>
          <w:rFonts w:hint="eastAsia" w:ascii="宋体" w:hAnsi="宋体" w:eastAsia="宋体" w:cs="宋体"/>
          <w:color w:val="000000"/>
          <w:kern w:val="2"/>
          <w:sz w:val="24"/>
          <w:szCs w:val="24"/>
          <w:lang w:val="en-US" w:eastAsia="zh-CN" w:bidi="ar"/>
        </w:rPr>
        <w:t>，期间无分红。赎回时扣除托管费、固定管理费、销售服务费（如有）后，如理财计划净值为0.9975，则投资管理人不收取浮动管理费，投资者最终收益为：100,000.00×（0.9975-1.00）=-250.00（元）</w:t>
      </w:r>
      <w:r>
        <w:rPr>
          <w:rFonts w:hint="eastAsia" w:ascii="宋体" w:hAnsi="宋体" w:eastAsia="宋体" w:cs="宋体"/>
          <w:color w:val="000000"/>
          <w:kern w:val="2"/>
          <w:sz w:val="24"/>
          <w:szCs w:val="24"/>
          <w:lang w:val="en-US" w:eastAsia="zh" w:bidi="ar"/>
        </w:rPr>
        <w:t>。</w:t>
      </w:r>
    </w:p>
    <w:p>
      <w:pPr>
        <w:numPr>
          <w:ilvl w:val="0"/>
          <w:numId w:val="36"/>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最不利情况分析</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由于市场波动导致投资资产贬值或者投资资产发生信用风险导致相应损失，使理财计划</w:t>
      </w:r>
      <w:r>
        <w:rPr>
          <w:rFonts w:hint="eastAsia" w:ascii="宋体" w:hAnsi="宋体" w:cs="宋体"/>
          <w:bCs/>
          <w:color w:val="000000"/>
          <w:sz w:val="24"/>
          <w:highlight w:val="none"/>
          <w:lang w:eastAsia="zh-CN"/>
        </w:rPr>
        <w:t>赎回或</w:t>
      </w:r>
      <w:r>
        <w:rPr>
          <w:rFonts w:hint="eastAsia" w:ascii="宋体" w:hAnsi="宋体" w:cs="宋体"/>
          <w:bCs/>
          <w:color w:val="000000"/>
          <w:sz w:val="24"/>
          <w:highlight w:val="none"/>
        </w:rPr>
        <w:t>到期时投资收益达不到业绩基准，甚至不足以支付理财计划本金，届时理财资金将按照理财计划实际净值向投资者进行分配。但在此种情形下，理财计划保留向发生信用风险的投资资产发行主体进行追偿的法定权利，若这些权利在未来得以实现，在扣除相关费用后，将继续向投资者进行清偿。</w:t>
      </w:r>
    </w:p>
    <w:p>
      <w:pPr>
        <w:spacing w:line="360" w:lineRule="auto"/>
        <w:ind w:firstLine="480" w:firstLineChars="200"/>
        <w:jc w:val="left"/>
        <w:rPr>
          <w:rFonts w:hint="eastAsia" w:ascii="宋体" w:hAnsi="宋体" w:cs="宋体"/>
          <w:bCs/>
          <w:color w:val="000000"/>
          <w:sz w:val="24"/>
          <w:highlight w:val="none"/>
        </w:rPr>
      </w:pPr>
    </w:p>
    <w:p>
      <w:pPr>
        <w:numPr>
          <w:ilvl w:val="0"/>
          <w:numId w:val="21"/>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交易规则</w:t>
      </w:r>
    </w:p>
    <w:p>
      <w:pPr>
        <w:numPr>
          <w:ilvl w:val="0"/>
          <w:numId w:val="3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认购</w:t>
      </w:r>
    </w:p>
    <w:p>
      <w:pPr>
        <w:numPr>
          <w:ilvl w:val="0"/>
          <w:numId w:val="39"/>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在理财计划认购期内，个人投资者可通过网上银行等电子渠道或携带本人身份证件、借记卡至销售机构办理相关手续。机构投资者可通过网上银行等电子渠道或携带加盖单位公章的营业执照复印件、法人身份证件原件及复印件、《授权委托书》、被授权人身份证件原件及复印件及销售机构要求的其他资料到销售机构办理。</w:t>
      </w:r>
      <w:r>
        <w:rPr>
          <w:rFonts w:hint="eastAsia" w:ascii="宋体" w:hAnsi="宋体" w:cs="宋体"/>
          <w:bCs/>
          <w:color w:val="000000"/>
          <w:sz w:val="24"/>
          <w:highlight w:val="none"/>
          <w:lang w:eastAsia="zh-CN"/>
        </w:rPr>
        <w:t>（具体以销售机构要求为准）</w:t>
      </w:r>
    </w:p>
    <w:p>
      <w:pPr>
        <w:numPr>
          <w:ilvl w:val="0"/>
          <w:numId w:val="39"/>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理财计划认购期内，投资者可以对本理财计划进行认购、追加、撤单，相应投资资金将在投资者指定账户中冻结。</w:t>
      </w:r>
    </w:p>
    <w:p>
      <w:pPr>
        <w:numPr>
          <w:ilvl w:val="0"/>
          <w:numId w:val="39"/>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lang w:eastAsia="zh-CN"/>
        </w:rPr>
        <w:t>如新增认</w:t>
      </w:r>
      <w:r>
        <w:rPr>
          <w:rFonts w:hint="eastAsia" w:ascii="宋体" w:hAnsi="宋体" w:cs="宋体"/>
          <w:bCs/>
          <w:color w:val="000000"/>
          <w:sz w:val="24"/>
          <w:highlight w:val="none"/>
          <w:lang w:val="en-US" w:eastAsia="zh-CN"/>
        </w:rPr>
        <w:t>购使得单一投资者持有份额比例超过理财计划总份额的50％，管理人将不再接受超出部分的认购申请。非因投资管理人主观因素导致突破前款规定比例限制的，在单一投资者持有比例降至50％以下之前，管理人将不再接受该投资者对该理财计划的认购申请。投资者持有份额的计算以管理人登记为准。</w:t>
      </w:r>
    </w:p>
    <w:p>
      <w:pPr>
        <w:numPr>
          <w:ilvl w:val="0"/>
          <w:numId w:val="3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成立</w:t>
      </w:r>
    </w:p>
    <w:p>
      <w:pPr>
        <w:numPr>
          <w:ilvl w:val="0"/>
          <w:numId w:val="40"/>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销售机构有权以投资者的投资金额为限从投资者理财账户中进行资金扣划，无需投资者另行授权。</w:t>
      </w:r>
    </w:p>
    <w:p>
      <w:pPr>
        <w:numPr>
          <w:ilvl w:val="0"/>
          <w:numId w:val="40"/>
        </w:numPr>
        <w:spacing w:line="360" w:lineRule="auto"/>
        <w:ind w:firstLine="480" w:firstLineChars="200"/>
        <w:jc w:val="left"/>
        <w:rPr>
          <w:rFonts w:hint="eastAsia" w:ascii="宋体" w:hAnsi="宋体" w:cs="宋体"/>
          <w:b/>
          <w:sz w:val="24"/>
          <w:highlight w:val="none"/>
        </w:rPr>
      </w:pPr>
      <w:r>
        <w:rPr>
          <w:rFonts w:hint="eastAsia" w:ascii="宋体" w:hAnsi="宋体" w:cs="宋体"/>
          <w:bCs/>
          <w:color w:val="000000"/>
          <w:sz w:val="24"/>
          <w:highlight w:val="none"/>
        </w:rPr>
        <w:t>管理人将在理财计划成立日对认购期的认购及追加申请进行确认和划款。</w:t>
      </w:r>
    </w:p>
    <w:p>
      <w:pPr>
        <w:numPr>
          <w:ilvl w:val="0"/>
          <w:numId w:val="3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申购及赎回</w:t>
      </w:r>
    </w:p>
    <w:p>
      <w:pPr>
        <w:numPr>
          <w:ilvl w:val="0"/>
          <w:numId w:val="41"/>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交易确认及时间</w:t>
      </w:r>
    </w:p>
    <w:p>
      <w:pPr>
        <w:numPr>
          <w:ilvl w:val="0"/>
          <w:numId w:val="42"/>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本理财计划在每个开放期的开放日工作时间可进行申购</w:t>
      </w:r>
      <w:r>
        <w:rPr>
          <w:rFonts w:hint="eastAsia" w:ascii="宋体" w:hAnsi="宋体" w:cs="宋体"/>
          <w:bCs/>
          <w:sz w:val="24"/>
          <w:highlight w:val="none"/>
          <w:lang w:val="en-US" w:eastAsia="zh-CN"/>
        </w:rPr>
        <w:t>和赎回</w:t>
      </w:r>
      <w:r>
        <w:rPr>
          <w:rFonts w:hint="eastAsia" w:ascii="宋体" w:hAnsi="宋体" w:cs="宋体"/>
          <w:bCs/>
          <w:sz w:val="24"/>
          <w:highlight w:val="none"/>
        </w:rPr>
        <w:t>，申购</w:t>
      </w:r>
      <w:r>
        <w:rPr>
          <w:rFonts w:hint="eastAsia" w:ascii="宋体" w:hAnsi="宋体" w:cs="宋体"/>
          <w:bCs/>
          <w:sz w:val="24"/>
          <w:highlight w:val="none"/>
          <w:lang w:val="en-US" w:eastAsia="zh-CN"/>
        </w:rPr>
        <w:t>和赎回</w:t>
      </w:r>
      <w:r>
        <w:rPr>
          <w:rFonts w:hint="eastAsia" w:ascii="宋体" w:hAnsi="宋体" w:cs="宋体"/>
          <w:bCs/>
          <w:sz w:val="24"/>
          <w:highlight w:val="none"/>
        </w:rPr>
        <w:t>申请将在确认日进行确认，即开放期后的第〖</w:t>
      </w:r>
      <w:r>
        <w:rPr>
          <w:rFonts w:hint="eastAsia" w:ascii="宋体" w:hAnsi="宋体" w:cs="宋体"/>
          <w:bCs/>
          <w:color w:val="000000"/>
          <w:sz w:val="24"/>
          <w:highlight w:val="none"/>
        </w:rPr>
        <w:t>1</w:t>
      </w:r>
      <w:r>
        <w:rPr>
          <w:rFonts w:hint="eastAsia" w:ascii="宋体" w:hAnsi="宋体" w:cs="宋体"/>
          <w:bCs/>
          <w:sz w:val="24"/>
          <w:highlight w:val="none"/>
        </w:rPr>
        <w:t>〗个〖</w:t>
      </w:r>
      <w:r>
        <w:rPr>
          <w:rFonts w:hint="eastAsia" w:ascii="宋体" w:hAnsi="宋体" w:eastAsia="宋体" w:cs="宋体"/>
          <w:bCs/>
          <w:kern w:val="2"/>
          <w:sz w:val="24"/>
          <w:szCs w:val="24"/>
          <w:highlight w:val="none"/>
          <w:lang w:val="en-US" w:eastAsia="zh-CN" w:bidi="ar-SA"/>
        </w:rPr>
        <w:t>工作日</w:t>
      </w:r>
      <w:r>
        <w:rPr>
          <w:rFonts w:hint="eastAsia" w:ascii="宋体" w:hAnsi="宋体" w:cs="宋体"/>
          <w:bCs/>
          <w:sz w:val="24"/>
          <w:highlight w:val="none"/>
        </w:rPr>
        <w:t>〗进行确认。</w:t>
      </w:r>
    </w:p>
    <w:p>
      <w:pPr>
        <w:numPr>
          <w:ilvl w:val="0"/>
          <w:numId w:val="42"/>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工作时间为每个〖</w:t>
      </w:r>
      <w:r>
        <w:rPr>
          <w:rFonts w:hint="eastAsia" w:ascii="宋体" w:hAnsi="宋体" w:eastAsia="宋体" w:cs="宋体"/>
          <w:bCs/>
          <w:kern w:val="2"/>
          <w:sz w:val="24"/>
          <w:szCs w:val="24"/>
          <w:highlight w:val="none"/>
          <w:lang w:val="en-US" w:eastAsia="zh-CN" w:bidi="ar-SA"/>
        </w:rPr>
        <w:t>工作日</w:t>
      </w:r>
      <w:r>
        <w:rPr>
          <w:rFonts w:hint="eastAsia" w:ascii="宋体" w:hAnsi="宋体" w:cs="宋体"/>
          <w:bCs/>
          <w:sz w:val="24"/>
          <w:highlight w:val="none"/>
        </w:rPr>
        <w:t>〗上午〖</w:t>
      </w:r>
      <w:r>
        <w:rPr>
          <w:rFonts w:hint="eastAsia" w:ascii="宋体" w:hAnsi="宋体" w:cs="宋体"/>
          <w:bCs/>
          <w:color w:val="000000"/>
          <w:sz w:val="24"/>
          <w:highlight w:val="none"/>
        </w:rPr>
        <w:t>9:00</w:t>
      </w:r>
      <w:r>
        <w:rPr>
          <w:rFonts w:hint="eastAsia" w:ascii="宋体" w:hAnsi="宋体" w:cs="宋体"/>
          <w:bCs/>
          <w:sz w:val="24"/>
          <w:highlight w:val="none"/>
        </w:rPr>
        <w:t>〗至下午〖</w:t>
      </w:r>
      <w:r>
        <w:rPr>
          <w:rFonts w:hint="eastAsia" w:ascii="宋体" w:hAnsi="宋体" w:cs="宋体"/>
          <w:bCs/>
          <w:color w:val="000000"/>
          <w:sz w:val="24"/>
          <w:highlight w:val="none"/>
        </w:rPr>
        <w:t>17:00〗</w:t>
      </w:r>
      <w:r>
        <w:rPr>
          <w:rFonts w:hint="eastAsia" w:ascii="宋体" w:hAnsi="宋体" w:cs="宋体"/>
          <w:bCs/>
          <w:sz w:val="24"/>
          <w:highlight w:val="none"/>
        </w:rPr>
        <w:t>。</w:t>
      </w:r>
      <w:r>
        <w:rPr>
          <w:rFonts w:hint="eastAsia" w:ascii="宋体" w:hAnsi="宋体" w:cs="宋体"/>
          <w:color w:val="000000"/>
          <w:kern w:val="0"/>
          <w:sz w:val="24"/>
          <w:szCs w:val="24"/>
          <w:highlight w:val="none"/>
        </w:rPr>
        <w:t>（具体以销售机构规定为准）</w:t>
      </w:r>
    </w:p>
    <w:p>
      <w:pPr>
        <w:numPr>
          <w:ilvl w:val="0"/>
          <w:numId w:val="42"/>
        </w:num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lang w:eastAsia="zh-CN"/>
        </w:rPr>
        <w:t>如新增申</w:t>
      </w:r>
      <w:r>
        <w:rPr>
          <w:rFonts w:hint="eastAsia" w:ascii="宋体" w:hAnsi="宋体" w:cs="宋体"/>
          <w:bCs/>
          <w:color w:val="000000"/>
          <w:sz w:val="24"/>
          <w:highlight w:val="none"/>
          <w:lang w:val="en-US" w:eastAsia="zh-CN"/>
        </w:rPr>
        <w:t>购使得单一投资者持有份额比例超过理财计划总份额的50％，管理人将不再接受超出部分的申购申请。非因投资管理人主观因素导致突破前款规定比例限制的，在单一投资者持有比例降至50％以下之前，管理人将不再接受该投资者对该理财计划的申购申请。投资者持有份额的计算以管理人登记为准。</w:t>
      </w:r>
    </w:p>
    <w:p>
      <w:pPr>
        <w:numPr>
          <w:ilvl w:val="0"/>
          <w:numId w:val="41"/>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到账时间</w:t>
      </w:r>
    </w:p>
    <w:p>
      <w:p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赎回资金确认后，最快</w:t>
      </w:r>
      <w:r>
        <w:rPr>
          <w:rFonts w:hint="eastAsia" w:ascii="宋体" w:hAnsi="宋体" w:eastAsia="宋体" w:cs="宋体"/>
          <w:bCs/>
          <w:kern w:val="2"/>
          <w:sz w:val="24"/>
          <w:szCs w:val="24"/>
          <w:highlight w:val="none"/>
          <w:lang w:val="en-US" w:eastAsia="zh-CN" w:bidi="ar-SA"/>
        </w:rPr>
        <w:t>〖确认日当日〗</w:t>
      </w:r>
      <w:r>
        <w:rPr>
          <w:rFonts w:hint="eastAsia" w:ascii="宋体" w:hAnsi="宋体" w:cs="宋体"/>
          <w:bCs/>
          <w:sz w:val="24"/>
          <w:highlight w:val="none"/>
        </w:rPr>
        <w:t>，最晚</w:t>
      </w:r>
      <w:r>
        <w:rPr>
          <w:rFonts w:hint="eastAsia" w:ascii="宋体" w:hAnsi="宋体" w:eastAsia="宋体" w:cs="宋体"/>
          <w:bCs/>
          <w:kern w:val="2"/>
          <w:sz w:val="24"/>
          <w:szCs w:val="24"/>
          <w:highlight w:val="none"/>
          <w:lang w:val="en-US" w:eastAsia="zh-CN" w:bidi="ar-SA"/>
        </w:rPr>
        <w:t>确认日后〖2〗个〖工作日〗内</w:t>
      </w:r>
      <w:r>
        <w:rPr>
          <w:rFonts w:hint="eastAsia" w:ascii="宋体" w:hAnsi="宋体" w:cs="宋体"/>
          <w:bCs/>
          <w:sz w:val="24"/>
          <w:highlight w:val="none"/>
        </w:rPr>
        <w:t>（遇节假日顺延）支付。如遇资金在途或法定工作日调整，实际资金到账日以公告为准。</w:t>
      </w:r>
      <w:r>
        <w:rPr>
          <w:rFonts w:hint="eastAsia" w:ascii="宋体" w:hAnsi="宋体" w:cs="宋体"/>
          <w:color w:val="000000"/>
          <w:kern w:val="0"/>
          <w:sz w:val="24"/>
          <w:szCs w:val="24"/>
          <w:highlight w:val="none"/>
        </w:rPr>
        <w:t>（具体以销售机构规定为准）</w:t>
      </w:r>
    </w:p>
    <w:p>
      <w:pPr>
        <w:numPr>
          <w:ilvl w:val="0"/>
          <w:numId w:val="41"/>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巨额赎回处理</w:t>
      </w:r>
    </w:p>
    <w:p>
      <w:pPr>
        <w:numPr>
          <w:ilvl w:val="0"/>
          <w:numId w:val="43"/>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巨额赎回认定</w:t>
      </w:r>
    </w:p>
    <w:p>
      <w:p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理财计划存续期内，若理财计划开放日净赎回申请份额超过上一日日终理财计划总份额〖</w:t>
      </w:r>
      <w:r>
        <w:rPr>
          <w:rFonts w:hint="eastAsia" w:ascii="宋体" w:hAnsi="宋体" w:cs="宋体"/>
          <w:bCs/>
          <w:color w:val="000000"/>
          <w:sz w:val="24"/>
          <w:highlight w:val="none"/>
        </w:rPr>
        <w:t>10%</w:t>
      </w:r>
      <w:r>
        <w:rPr>
          <w:rFonts w:hint="eastAsia" w:ascii="宋体" w:hAnsi="宋体" w:cs="宋体"/>
          <w:bCs/>
          <w:sz w:val="24"/>
          <w:highlight w:val="none"/>
        </w:rPr>
        <w:t>〗时，即构成巨额赎回。</w:t>
      </w:r>
    </w:p>
    <w:p>
      <w:pPr>
        <w:numPr>
          <w:ilvl w:val="0"/>
          <w:numId w:val="4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巨额赎回处理</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ascii="宋体" w:hAnsi="宋体" w:cs="宋体"/>
          <w:bCs/>
          <w:sz w:val="24"/>
          <w:highlight w:val="none"/>
        </w:rPr>
      </w:pPr>
      <w:r>
        <w:rPr>
          <w:rFonts w:hint="eastAsia" w:ascii="宋体" w:hAnsi="宋体" w:cs="宋体"/>
          <w:bCs/>
          <w:sz w:val="24"/>
          <w:highlight w:val="none"/>
        </w:rPr>
        <w:t>当出现巨额赎回时，管理人可以根据资产组合状况决定采取全额赎回或拒绝超出部分的赎回申请。</w:t>
      </w:r>
      <w:r>
        <w:rPr>
          <w:rFonts w:hint="eastAsia" w:ascii="宋体" w:hAnsi="宋体" w:cs="宋体"/>
          <w:bCs/>
          <w:sz w:val="24"/>
          <w:highlight w:val="none"/>
          <w:lang w:val="en-US" w:eastAsia="zh-CN"/>
        </w:rPr>
        <w:t>如连续2日（含）以上开放日发生巨额赎回，对于已经接受的赎回申请，管理人可以延缓支付赎回款项，但延缓期限不得超过20个工作日。</w:t>
      </w:r>
    </w:p>
    <w:p>
      <w:pPr>
        <w:numPr>
          <w:ilvl w:val="0"/>
          <w:numId w:val="4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全部赎回</w:t>
      </w:r>
    </w:p>
    <w:p>
      <w:p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当管理人认为全额兑付投资者的赎回申请将不会对本理财计划净值造成较大波动或给本理财计划造成重大损失时，按正常赎回程序执行。</w:t>
      </w:r>
    </w:p>
    <w:p>
      <w:pPr>
        <w:numPr>
          <w:ilvl w:val="0"/>
          <w:numId w:val="4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拒绝超出部分的赎回申请</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当管理人认为全部满足投资者的赎回申请可能会对本理财计划造成重大损失或可能会对理财计划净值造成较大波动时，在当日接受赎回比例不低于理财计划上一确认日日终总份额的〖</w:t>
      </w:r>
      <w:r>
        <w:rPr>
          <w:rFonts w:hint="eastAsia" w:ascii="宋体" w:hAnsi="宋体" w:cs="宋体"/>
          <w:bCs/>
          <w:color w:val="000000"/>
          <w:sz w:val="24"/>
          <w:highlight w:val="none"/>
        </w:rPr>
        <w:t>10%</w:t>
      </w:r>
      <w:r>
        <w:rPr>
          <w:rFonts w:hint="eastAsia" w:ascii="宋体" w:hAnsi="宋体" w:cs="宋体"/>
          <w:bCs/>
          <w:sz w:val="24"/>
          <w:highlight w:val="none"/>
        </w:rPr>
        <w:t>〗的前提下，对其余赎回申请予以拒绝，但投资者可于下一赎回开放期重新进行赎回申请。</w:t>
      </w:r>
    </w:p>
    <w:p>
      <w:pPr>
        <w:numPr>
          <w:ilvl w:val="0"/>
          <w:numId w:val="4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在</w:t>
      </w:r>
      <w:r>
        <w:rPr>
          <w:rFonts w:hint="eastAsia" w:ascii="宋体" w:hAnsi="宋体" w:cs="宋体"/>
          <w:bCs/>
          <w:sz w:val="24"/>
          <w:highlight w:val="none"/>
        </w:rPr>
        <w:t>理财计划存续期内，管理人有权根据市场情况调整巨额赎回金额比例，并及时进行对外公告。</w:t>
      </w:r>
    </w:p>
    <w:p>
      <w:pPr>
        <w:numPr>
          <w:ilvl w:val="0"/>
          <w:numId w:val="41"/>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暂停申购、赎回及延期支付赎回的情形</w:t>
      </w:r>
    </w:p>
    <w:p>
      <w:pPr>
        <w:spacing w:line="360" w:lineRule="auto"/>
        <w:ind w:firstLine="480" w:firstLineChars="200"/>
        <w:jc w:val="left"/>
        <w:rPr>
          <w:rFonts w:hint="eastAsia" w:ascii="宋体" w:hAnsi="宋体" w:cs="宋体"/>
          <w:bCs/>
          <w:sz w:val="24"/>
          <w:highlight w:val="none"/>
          <w:lang w:val="en-US" w:eastAsia="zh-CN"/>
        </w:rPr>
      </w:pPr>
      <w:r>
        <w:rPr>
          <w:rFonts w:hint="eastAsia" w:ascii="宋体" w:hAnsi="宋体" w:cs="宋体"/>
          <w:bCs/>
          <w:sz w:val="24"/>
          <w:highlight w:val="none"/>
          <w:lang w:val="en-US" w:eastAsia="zh-CN"/>
        </w:rPr>
        <w:t>发生以下情形，管理人可暂停接受全部或部分投资者的申购申请：</w:t>
      </w:r>
    </w:p>
    <w:p>
      <w:pPr>
        <w:numPr>
          <w:ilvl w:val="0"/>
          <w:numId w:val="44"/>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理财计划</w:t>
      </w:r>
      <w:r>
        <w:rPr>
          <w:rFonts w:hint="eastAsia" w:ascii="宋体" w:hAnsi="宋体" w:cs="宋体"/>
          <w:bCs/>
          <w:sz w:val="24"/>
          <w:highlight w:val="none"/>
          <w:lang w:val="en-US" w:eastAsia="zh-CN"/>
        </w:rPr>
        <w:t>资产规模过大，继续接受申购可能对理财计划业绩产生负面影响，从而损害现有份额持有人利益的情形时</w:t>
      </w:r>
      <w:r>
        <w:rPr>
          <w:rFonts w:hint="eastAsia" w:ascii="宋体" w:hAnsi="宋体" w:cs="宋体"/>
          <w:bCs/>
          <w:sz w:val="24"/>
          <w:highlight w:val="none"/>
        </w:rPr>
        <w:t>。</w:t>
      </w:r>
    </w:p>
    <w:p>
      <w:pPr>
        <w:numPr>
          <w:ilvl w:val="0"/>
          <w:numId w:val="44"/>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当</w:t>
      </w:r>
      <w:r>
        <w:rPr>
          <w:rFonts w:hint="eastAsia" w:ascii="宋体" w:hAnsi="宋体" w:cs="宋体"/>
          <w:bCs/>
          <w:sz w:val="24"/>
          <w:highlight w:val="none"/>
          <w:lang w:val="en-US" w:eastAsia="zh-CN"/>
        </w:rPr>
        <w:t>管理人认为某笔申购申请会有损于其他份额持有人利益的情形时。</w:t>
      </w:r>
    </w:p>
    <w:p>
      <w:pPr>
        <w:numPr>
          <w:ilvl w:val="0"/>
          <w:numId w:val="44"/>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发生产品说明书约定的暂停估值的情形时。</w:t>
      </w:r>
    </w:p>
    <w:p>
      <w:pPr>
        <w:numPr>
          <w:ilvl w:val="0"/>
          <w:numId w:val="44"/>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法律</w:t>
      </w:r>
      <w:r>
        <w:rPr>
          <w:rFonts w:hint="eastAsia" w:ascii="宋体" w:hAnsi="宋体" w:cs="宋体"/>
          <w:bCs/>
          <w:sz w:val="24"/>
          <w:highlight w:val="none"/>
          <w:lang w:val="en-US" w:eastAsia="zh-CN"/>
        </w:rPr>
        <w:t>法规规定或监管机构认定的其他情形。</w:t>
      </w:r>
    </w:p>
    <w:p>
      <w:pPr>
        <w:spacing w:line="360" w:lineRule="auto"/>
        <w:ind w:firstLine="480" w:firstLineChars="200"/>
        <w:jc w:val="left"/>
        <w:rPr>
          <w:rFonts w:hint="eastAsia" w:ascii="宋体" w:hAnsi="宋体" w:cs="宋体"/>
          <w:bCs/>
          <w:sz w:val="24"/>
          <w:highlight w:val="none"/>
          <w:lang w:val="en-US" w:eastAsia="zh-CN"/>
        </w:rPr>
      </w:pPr>
      <w:r>
        <w:rPr>
          <w:rFonts w:hint="eastAsia" w:ascii="宋体" w:hAnsi="宋体" w:cs="宋体"/>
          <w:bCs/>
          <w:sz w:val="24"/>
          <w:highlight w:val="none"/>
          <w:lang w:val="en-US" w:eastAsia="zh-CN"/>
        </w:rPr>
        <w:t>发生以下情形，对超出前一日终理财产品总份额10%的赎回申请，管理人可暂停接受全部或部分、延期办理投资者的赎回申请：</w:t>
      </w:r>
    </w:p>
    <w:p>
      <w:pPr>
        <w:numPr>
          <w:ilvl w:val="0"/>
          <w:numId w:val="4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理财计划发生巨额赎回情形时。</w:t>
      </w:r>
    </w:p>
    <w:p>
      <w:pPr>
        <w:numPr>
          <w:ilvl w:val="0"/>
          <w:numId w:val="4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当继续</w:t>
      </w:r>
      <w:r>
        <w:rPr>
          <w:rFonts w:hint="default" w:ascii="宋体" w:hAnsi="宋体" w:cs="宋体"/>
          <w:bCs/>
          <w:sz w:val="24"/>
          <w:highlight w:val="none"/>
          <w:lang w:val="en-US" w:eastAsia="zh-CN"/>
        </w:rPr>
        <w:t>接受赎回申请将损害存量投资者利益的情形</w:t>
      </w:r>
      <w:r>
        <w:rPr>
          <w:rFonts w:hint="eastAsia" w:ascii="宋体" w:hAnsi="宋体" w:cs="宋体"/>
          <w:bCs/>
          <w:sz w:val="24"/>
          <w:highlight w:val="none"/>
          <w:lang w:val="en-US" w:eastAsia="zh-CN"/>
        </w:rPr>
        <w:t>时。</w:t>
      </w:r>
    </w:p>
    <w:p>
      <w:pPr>
        <w:numPr>
          <w:ilvl w:val="0"/>
          <w:numId w:val="4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当</w:t>
      </w:r>
      <w:r>
        <w:rPr>
          <w:rFonts w:hint="default" w:ascii="宋体" w:hAnsi="宋体" w:cs="宋体"/>
          <w:bCs/>
          <w:sz w:val="24"/>
          <w:highlight w:val="none"/>
          <w:lang w:val="en-US" w:eastAsia="zh-CN"/>
        </w:rPr>
        <w:t>前一估值日</w:t>
      </w:r>
      <w:r>
        <w:rPr>
          <w:rFonts w:hint="eastAsia" w:ascii="宋体" w:hAnsi="宋体" w:cs="宋体"/>
          <w:bCs/>
          <w:sz w:val="24"/>
          <w:highlight w:val="none"/>
          <w:lang w:val="en-US" w:eastAsia="zh-CN"/>
        </w:rPr>
        <w:t>理财计划</w:t>
      </w:r>
      <w:r>
        <w:rPr>
          <w:rFonts w:hint="default" w:ascii="宋体" w:hAnsi="宋体" w:cs="宋体"/>
          <w:bCs/>
          <w:sz w:val="24"/>
          <w:highlight w:val="none"/>
          <w:lang w:val="en-US" w:eastAsia="zh-CN"/>
        </w:rPr>
        <w:t>资产净值50%以上的资产不具备活跃交易市场或者在活跃市场中无报价，且不能采用估值技术可靠计量公允价值</w:t>
      </w:r>
      <w:r>
        <w:rPr>
          <w:rFonts w:hint="eastAsia" w:ascii="宋体" w:hAnsi="宋体" w:cs="宋体"/>
          <w:bCs/>
          <w:sz w:val="24"/>
          <w:highlight w:val="none"/>
          <w:lang w:val="en-US" w:eastAsia="zh-CN"/>
        </w:rPr>
        <w:t>的情形</w:t>
      </w:r>
      <w:r>
        <w:rPr>
          <w:rFonts w:hint="default" w:ascii="宋体" w:hAnsi="宋体" w:cs="宋体"/>
          <w:bCs/>
          <w:sz w:val="24"/>
          <w:highlight w:val="none"/>
          <w:lang w:val="en-US" w:eastAsia="zh-CN"/>
        </w:rPr>
        <w:t>时</w:t>
      </w:r>
      <w:r>
        <w:rPr>
          <w:rFonts w:hint="eastAsia" w:ascii="宋体" w:hAnsi="宋体" w:cs="宋体"/>
          <w:bCs/>
          <w:sz w:val="24"/>
          <w:highlight w:val="none"/>
          <w:lang w:val="en-US" w:eastAsia="zh-CN"/>
        </w:rPr>
        <w:t>。</w:t>
      </w:r>
    </w:p>
    <w:p>
      <w:pPr>
        <w:numPr>
          <w:ilvl w:val="0"/>
          <w:numId w:val="4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发生</w:t>
      </w:r>
      <w:r>
        <w:rPr>
          <w:rFonts w:hint="eastAsia" w:ascii="宋体" w:hAnsi="宋体" w:cs="宋体"/>
          <w:bCs/>
          <w:sz w:val="24"/>
          <w:highlight w:val="none"/>
          <w:lang w:eastAsia="zh-CN"/>
        </w:rPr>
        <w:t>产品说明书约定的暂停估值的情形时。</w:t>
      </w:r>
    </w:p>
    <w:p>
      <w:pPr>
        <w:numPr>
          <w:ilvl w:val="0"/>
          <w:numId w:val="4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法律</w:t>
      </w:r>
      <w:r>
        <w:rPr>
          <w:rFonts w:hint="eastAsia" w:ascii="宋体" w:hAnsi="宋体" w:cs="宋体"/>
          <w:bCs/>
          <w:sz w:val="24"/>
          <w:highlight w:val="none"/>
          <w:lang w:val="en-US" w:eastAsia="zh-CN"/>
        </w:rPr>
        <w:t>法规规定或监管机构认定的其他情形。</w:t>
      </w:r>
    </w:p>
    <w:p>
      <w:pPr>
        <w:spacing w:line="360" w:lineRule="auto"/>
        <w:ind w:firstLine="480" w:firstLineChars="200"/>
        <w:jc w:val="left"/>
        <w:rPr>
          <w:rFonts w:hint="eastAsia" w:ascii="宋体" w:hAnsi="宋体" w:cs="宋体"/>
          <w:bCs/>
          <w:sz w:val="24"/>
          <w:highlight w:val="none"/>
          <w:lang w:val="en-US" w:eastAsia="zh-CN"/>
        </w:rPr>
      </w:pPr>
      <w:r>
        <w:rPr>
          <w:rFonts w:hint="eastAsia" w:ascii="宋体" w:hAnsi="宋体" w:cs="宋体"/>
          <w:bCs/>
          <w:sz w:val="24"/>
          <w:highlight w:val="none"/>
          <w:lang w:val="en-US" w:eastAsia="zh-CN"/>
        </w:rPr>
        <w:t>发生以下情形，管理人对已接受的赎回申请，可延期支付赎回款项：</w:t>
      </w:r>
    </w:p>
    <w:p>
      <w:pPr>
        <w:numPr>
          <w:ilvl w:val="0"/>
          <w:numId w:val="46"/>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因</w:t>
      </w:r>
      <w:r>
        <w:rPr>
          <w:rFonts w:hint="eastAsia" w:ascii="宋体" w:hAnsi="宋体" w:cs="宋体"/>
          <w:bCs/>
          <w:sz w:val="24"/>
          <w:highlight w:val="none"/>
          <w:lang w:val="en-US" w:eastAsia="zh-CN"/>
        </w:rPr>
        <w:t>不可抗力等原因，导致管理人接受赎回申请后无法及时兑付的情形时。</w:t>
      </w:r>
    </w:p>
    <w:p>
      <w:pPr>
        <w:numPr>
          <w:ilvl w:val="0"/>
          <w:numId w:val="46"/>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连续</w:t>
      </w:r>
      <w:r>
        <w:rPr>
          <w:rFonts w:hint="default" w:ascii="宋体" w:hAnsi="宋体" w:cs="宋体"/>
          <w:bCs/>
          <w:sz w:val="24"/>
          <w:highlight w:val="none"/>
          <w:lang w:val="en-US" w:eastAsia="zh-CN"/>
        </w:rPr>
        <w:t>2</w:t>
      </w:r>
      <w:r>
        <w:rPr>
          <w:rFonts w:hint="eastAsia" w:ascii="宋体" w:hAnsi="宋体" w:cs="宋体"/>
          <w:bCs/>
          <w:sz w:val="24"/>
          <w:highlight w:val="none"/>
          <w:lang w:val="en-US" w:eastAsia="zh-CN"/>
        </w:rPr>
        <w:t>日</w:t>
      </w:r>
      <w:r>
        <w:rPr>
          <w:rFonts w:hint="default" w:ascii="宋体" w:hAnsi="宋体" w:cs="宋体"/>
          <w:bCs/>
          <w:sz w:val="24"/>
          <w:highlight w:val="none"/>
          <w:lang w:val="en-US" w:eastAsia="zh-CN"/>
        </w:rPr>
        <w:t>（含）以上开放日发生巨额赎回的</w:t>
      </w:r>
      <w:r>
        <w:rPr>
          <w:rFonts w:hint="eastAsia" w:ascii="宋体" w:hAnsi="宋体" w:cs="宋体"/>
          <w:bCs/>
          <w:sz w:val="24"/>
          <w:highlight w:val="none"/>
          <w:lang w:val="en-US" w:eastAsia="zh-CN"/>
        </w:rPr>
        <w:t>情形时。</w:t>
      </w:r>
    </w:p>
    <w:p>
      <w:pPr>
        <w:numPr>
          <w:ilvl w:val="0"/>
          <w:numId w:val="46"/>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当前</w:t>
      </w:r>
      <w:r>
        <w:rPr>
          <w:rFonts w:hint="default" w:ascii="宋体" w:hAnsi="宋体" w:cs="宋体"/>
          <w:bCs/>
          <w:sz w:val="24"/>
          <w:highlight w:val="none"/>
          <w:lang w:val="en-US" w:eastAsia="zh-CN"/>
        </w:rPr>
        <w:t>一估值日</w:t>
      </w:r>
      <w:r>
        <w:rPr>
          <w:rFonts w:hint="eastAsia" w:ascii="宋体" w:hAnsi="宋体" w:cs="宋体"/>
          <w:bCs/>
          <w:sz w:val="24"/>
          <w:highlight w:val="none"/>
          <w:lang w:val="en-US" w:eastAsia="zh-CN"/>
        </w:rPr>
        <w:t>理财计划</w:t>
      </w:r>
      <w:r>
        <w:rPr>
          <w:rFonts w:hint="default" w:ascii="宋体" w:hAnsi="宋体" w:cs="宋体"/>
          <w:bCs/>
          <w:sz w:val="24"/>
          <w:highlight w:val="none"/>
          <w:lang w:val="en-US" w:eastAsia="zh-CN"/>
        </w:rPr>
        <w:t>资产净值50%以上的资产不具备活跃交易市场或者在活跃市场中无报价，且不能采用估值技术可靠计量公允价值</w:t>
      </w:r>
      <w:r>
        <w:rPr>
          <w:rFonts w:hint="eastAsia" w:ascii="宋体" w:hAnsi="宋体" w:cs="宋体"/>
          <w:bCs/>
          <w:sz w:val="24"/>
          <w:highlight w:val="none"/>
          <w:lang w:val="en-US" w:eastAsia="zh-CN"/>
        </w:rPr>
        <w:t>的情形</w:t>
      </w:r>
      <w:r>
        <w:rPr>
          <w:rFonts w:hint="default" w:ascii="宋体" w:hAnsi="宋体" w:cs="宋体"/>
          <w:bCs/>
          <w:sz w:val="24"/>
          <w:highlight w:val="none"/>
          <w:lang w:val="en-US" w:eastAsia="zh-CN"/>
        </w:rPr>
        <w:t>时</w:t>
      </w:r>
      <w:r>
        <w:rPr>
          <w:rFonts w:hint="eastAsia" w:ascii="宋体" w:hAnsi="宋体" w:cs="宋体"/>
          <w:bCs/>
          <w:sz w:val="24"/>
          <w:highlight w:val="none"/>
          <w:lang w:val="en-US" w:eastAsia="zh-CN"/>
        </w:rPr>
        <w:t>。</w:t>
      </w:r>
    </w:p>
    <w:p>
      <w:pPr>
        <w:numPr>
          <w:ilvl w:val="0"/>
          <w:numId w:val="46"/>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法律法规规定或监管机构认定的其他情形。</w:t>
      </w:r>
    </w:p>
    <w:p>
      <w:pPr>
        <w:numPr>
          <w:ilvl w:val="0"/>
          <w:numId w:val="3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到期清算</w:t>
      </w:r>
    </w:p>
    <w:p>
      <w:p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正常到期清算：本理财计划终止后，管理人将按照清算后的资产净值按持有份额比例对投资者进行分配，并通过销售机构最快〖</w:t>
      </w:r>
      <w:r>
        <w:rPr>
          <w:rFonts w:hint="eastAsia" w:ascii="宋体" w:hAnsi="宋体" w:eastAsia="宋体" w:cs="宋体"/>
          <w:bCs/>
          <w:kern w:val="2"/>
          <w:sz w:val="24"/>
          <w:szCs w:val="24"/>
          <w:highlight w:val="none"/>
          <w:lang w:val="en-US" w:eastAsia="zh-CN" w:bidi="ar-SA"/>
        </w:rPr>
        <w:t>1</w:t>
      </w:r>
      <w:r>
        <w:rPr>
          <w:rFonts w:hint="eastAsia" w:ascii="宋体" w:hAnsi="宋体" w:cs="宋体"/>
          <w:bCs/>
          <w:sz w:val="24"/>
          <w:highlight w:val="none"/>
        </w:rPr>
        <w:t>〗个〖</w:t>
      </w:r>
      <w:r>
        <w:rPr>
          <w:rFonts w:hint="eastAsia" w:ascii="宋体" w:hAnsi="宋体" w:eastAsia="宋体" w:cs="宋体"/>
          <w:bCs/>
          <w:kern w:val="2"/>
          <w:sz w:val="24"/>
          <w:szCs w:val="24"/>
          <w:highlight w:val="none"/>
          <w:lang w:val="en-US" w:eastAsia="zh-CN" w:bidi="ar-SA"/>
        </w:rPr>
        <w:t>工作日</w:t>
      </w:r>
      <w:r>
        <w:rPr>
          <w:rFonts w:hint="eastAsia" w:ascii="宋体" w:hAnsi="宋体" w:cs="宋体"/>
          <w:bCs/>
          <w:sz w:val="24"/>
          <w:highlight w:val="none"/>
        </w:rPr>
        <w:t>〗、最晚〖</w:t>
      </w:r>
      <w:r>
        <w:rPr>
          <w:rFonts w:hint="eastAsia" w:ascii="宋体" w:hAnsi="宋体" w:eastAsia="宋体" w:cs="宋体"/>
          <w:bCs/>
          <w:kern w:val="2"/>
          <w:sz w:val="24"/>
          <w:szCs w:val="24"/>
          <w:highlight w:val="none"/>
          <w:lang w:val="en-US" w:eastAsia="zh-CN" w:bidi="ar-SA"/>
        </w:rPr>
        <w:t>3</w:t>
      </w:r>
      <w:r>
        <w:rPr>
          <w:rFonts w:hint="eastAsia" w:ascii="宋体" w:hAnsi="宋体" w:cs="宋体"/>
          <w:bCs/>
          <w:sz w:val="24"/>
          <w:highlight w:val="none"/>
        </w:rPr>
        <w:t>〗个〖</w:t>
      </w:r>
      <w:r>
        <w:rPr>
          <w:rFonts w:hint="eastAsia" w:ascii="宋体" w:hAnsi="宋体" w:eastAsia="宋体" w:cs="宋体"/>
          <w:bCs/>
          <w:kern w:val="2"/>
          <w:sz w:val="24"/>
          <w:szCs w:val="24"/>
          <w:highlight w:val="none"/>
          <w:lang w:val="en-US" w:eastAsia="zh-CN" w:bidi="ar-SA"/>
        </w:rPr>
        <w:t>工作日</w:t>
      </w:r>
      <w:r>
        <w:rPr>
          <w:rFonts w:hint="eastAsia" w:ascii="宋体" w:hAnsi="宋体" w:cs="宋体"/>
          <w:bCs/>
          <w:sz w:val="24"/>
          <w:highlight w:val="none"/>
        </w:rPr>
        <w:t>〗内（遇节假日顺延）将资金按规定的要求划入投资者授权指定的理财账户。</w:t>
      </w:r>
      <w:r>
        <w:rPr>
          <w:rFonts w:hint="eastAsia" w:ascii="宋体" w:hAnsi="宋体" w:cs="宋体"/>
          <w:color w:val="000000"/>
          <w:kern w:val="0"/>
          <w:sz w:val="24"/>
          <w:szCs w:val="24"/>
          <w:highlight w:val="none"/>
        </w:rPr>
        <w:t>（具体以销售机构规定为准）</w:t>
      </w:r>
    </w:p>
    <w:p>
      <w:pPr>
        <w:numPr>
          <w:ilvl w:val="0"/>
          <w:numId w:val="3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提前终止</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在理财计划期限内，管理人根据投资情况有提前终止权，于本理财计划提前终止日前</w:t>
      </w:r>
      <w:r>
        <w:rPr>
          <w:rFonts w:hint="eastAsia" w:ascii="宋体" w:hAnsi="宋体" w:cs="宋体"/>
          <w:sz w:val="24"/>
          <w:szCs w:val="24"/>
          <w:highlight w:val="none"/>
        </w:rPr>
        <w:t>〖</w:t>
      </w:r>
      <w:r>
        <w:rPr>
          <w:rFonts w:hint="eastAsia" w:ascii="宋体" w:hAnsi="宋体" w:cs="宋体"/>
          <w:kern w:val="2"/>
          <w:sz w:val="24"/>
          <w:szCs w:val="24"/>
          <w:highlight w:val="none"/>
          <w:lang w:val="en-US" w:eastAsia="zh" w:bidi="ar-SA"/>
        </w:rPr>
        <w:t>1</w:t>
      </w:r>
      <w:r>
        <w:rPr>
          <w:rFonts w:hint="eastAsia" w:ascii="宋体" w:hAnsi="宋体" w:cs="宋体"/>
          <w:bCs/>
          <w:color w:val="000000"/>
          <w:sz w:val="24"/>
          <w:highlight w:val="none"/>
        </w:rPr>
        <w:t>〗</w:t>
      </w:r>
      <w:r>
        <w:rPr>
          <w:rFonts w:hint="eastAsia" w:ascii="宋体" w:hAnsi="宋体" w:cs="宋体"/>
          <w:bCs/>
          <w:sz w:val="24"/>
          <w:highlight w:val="none"/>
        </w:rPr>
        <w:t>个〖</w:t>
      </w:r>
      <w:r>
        <w:rPr>
          <w:rFonts w:hint="eastAsia" w:ascii="宋体" w:hAnsi="宋体" w:eastAsia="宋体" w:cs="宋体"/>
          <w:bCs/>
          <w:kern w:val="2"/>
          <w:sz w:val="24"/>
          <w:szCs w:val="24"/>
          <w:highlight w:val="none"/>
          <w:lang w:val="en-US" w:eastAsia="zh-CN" w:bidi="ar-SA"/>
        </w:rPr>
        <w:t>工作日</w:t>
      </w:r>
      <w:r>
        <w:rPr>
          <w:rFonts w:hint="eastAsia" w:ascii="宋体" w:hAnsi="宋体" w:cs="宋体"/>
          <w:bCs/>
          <w:sz w:val="24"/>
          <w:highlight w:val="none"/>
        </w:rPr>
        <w:t>〗通过管理人或销售机构发布提前终止公告，并于终止日后</w:t>
      </w:r>
      <w:r>
        <w:rPr>
          <w:rFonts w:hint="eastAsia" w:ascii="宋体" w:hAnsi="宋体" w:cs="宋体"/>
          <w:sz w:val="24"/>
          <w:szCs w:val="24"/>
          <w:highlight w:val="none"/>
        </w:rPr>
        <w:t>〖</w:t>
      </w:r>
      <w:r>
        <w:rPr>
          <w:rFonts w:hint="eastAsia" w:ascii="宋体" w:hAnsi="宋体" w:cs="宋体"/>
          <w:kern w:val="2"/>
          <w:sz w:val="24"/>
          <w:szCs w:val="24"/>
          <w:highlight w:val="none"/>
          <w:lang w:val="en-US" w:eastAsia="zh" w:bidi="ar-SA"/>
        </w:rPr>
        <w:t>3</w:t>
      </w:r>
      <w:r>
        <w:rPr>
          <w:rFonts w:hint="eastAsia" w:ascii="宋体" w:hAnsi="宋体" w:cs="宋体"/>
          <w:bCs/>
          <w:color w:val="000000"/>
          <w:sz w:val="24"/>
          <w:highlight w:val="none"/>
        </w:rPr>
        <w:t>〗</w:t>
      </w:r>
      <w:r>
        <w:rPr>
          <w:rFonts w:hint="eastAsia" w:ascii="宋体" w:hAnsi="宋体" w:cs="宋体"/>
          <w:bCs/>
          <w:sz w:val="24"/>
          <w:highlight w:val="none"/>
        </w:rPr>
        <w:t>个〖</w:t>
      </w:r>
      <w:r>
        <w:rPr>
          <w:rFonts w:hint="eastAsia" w:ascii="宋体" w:hAnsi="宋体" w:eastAsia="宋体" w:cs="宋体"/>
          <w:bCs/>
          <w:kern w:val="2"/>
          <w:sz w:val="24"/>
          <w:szCs w:val="24"/>
          <w:highlight w:val="none"/>
          <w:lang w:val="en-US" w:eastAsia="zh-CN" w:bidi="ar-SA"/>
        </w:rPr>
        <w:t>工作日</w:t>
      </w:r>
      <w:r>
        <w:rPr>
          <w:rFonts w:hint="eastAsia" w:ascii="宋体" w:hAnsi="宋体" w:cs="宋体"/>
          <w:bCs/>
          <w:sz w:val="24"/>
          <w:highlight w:val="none"/>
        </w:rPr>
        <w:t>〗内将可兑付款项按规定的要求划入投资者授权指定的理财账户。终止日至资金实际到账日之间，投资者资金不计息。</w:t>
      </w:r>
    </w:p>
    <w:p>
      <w:p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如发生以下事项时，管理人可对本理财计划行使全部</w:t>
      </w:r>
      <w:r>
        <w:rPr>
          <w:rFonts w:hint="eastAsia" w:ascii="宋体" w:hAnsi="宋体" w:cs="宋体"/>
          <w:b/>
          <w:sz w:val="24"/>
          <w:highlight w:val="none"/>
          <w:lang w:eastAsia="zh-CN"/>
        </w:rPr>
        <w:t>或部分</w:t>
      </w:r>
      <w:r>
        <w:rPr>
          <w:rFonts w:hint="eastAsia" w:ascii="宋体" w:hAnsi="宋体" w:cs="宋体"/>
          <w:b/>
          <w:sz w:val="24"/>
          <w:highlight w:val="none"/>
        </w:rPr>
        <w:t>提前终止权：</w:t>
      </w:r>
    </w:p>
    <w:p>
      <w:pPr>
        <w:numPr>
          <w:ilvl w:val="0"/>
          <w:numId w:val="47"/>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如因本理财计划资产运作模式等与法律法规、规章的规定或者监管部门的要求等存在冲突导致理财计划必须提前终止的。</w:t>
      </w:r>
    </w:p>
    <w:p>
      <w:pPr>
        <w:numPr>
          <w:ilvl w:val="0"/>
          <w:numId w:val="47"/>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国家有关法律、法规、规章、政策的改变、紧急措施的出台、理财市场环境发生重大变化等导致理财计划必须提前终止的。</w:t>
      </w:r>
    </w:p>
    <w:p>
      <w:pPr>
        <w:numPr>
          <w:ilvl w:val="0"/>
          <w:numId w:val="47"/>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因不可抗力因素导致本理财计划必须提前终止的。</w:t>
      </w:r>
    </w:p>
    <w:p>
      <w:pPr>
        <w:numPr>
          <w:ilvl w:val="0"/>
          <w:numId w:val="47"/>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理财计划的投资策略已不适合当前的市场环境的。</w:t>
      </w:r>
    </w:p>
    <w:p>
      <w:pPr>
        <w:numPr>
          <w:ilvl w:val="0"/>
          <w:numId w:val="47"/>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lang w:eastAsia="zh-CN"/>
        </w:rPr>
        <w:t>融资人行使提前到期或还款权利的。</w:t>
      </w:r>
    </w:p>
    <w:p>
      <w:pPr>
        <w:numPr>
          <w:ilvl w:val="0"/>
          <w:numId w:val="47"/>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管理人认为应该提前终止的其他情形。</w:t>
      </w:r>
    </w:p>
    <w:p>
      <w:pPr>
        <w:numPr>
          <w:ilvl w:val="0"/>
          <w:numId w:val="3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延期</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由于可能存在如下情况，导致本理财计划无法将资产及时、足额变现，管理人将本着投资者利益最大化的原则，根据实际情况选择分次清算、兑付或延期兑付；如发生前述情况，管理人将公布相关兑付方案，提请投资者注意，具体情况包括但不限于：</w:t>
      </w:r>
    </w:p>
    <w:p>
      <w:pPr>
        <w:numPr>
          <w:ilvl w:val="0"/>
          <w:numId w:val="48"/>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预计在理财计划预计到期日，理财计划资产因市场风险、信用风险等原因无法全部变现。</w:t>
      </w:r>
    </w:p>
    <w:p>
      <w:pPr>
        <w:numPr>
          <w:ilvl w:val="0"/>
          <w:numId w:val="48"/>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预计理财计划所投资的信托计划、资管计划、私募基金的受托人或管理人不能按时向管理人划付理财计划的本金和收益。</w:t>
      </w:r>
    </w:p>
    <w:p>
      <w:pPr>
        <w:numPr>
          <w:ilvl w:val="0"/>
          <w:numId w:val="48"/>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理财计划财产涉及诉讼或仲裁，且预计诉讼或仲裁执行程序于理财计划到期日尚未终结。</w:t>
      </w:r>
    </w:p>
    <w:p>
      <w:pPr>
        <w:numPr>
          <w:ilvl w:val="0"/>
          <w:numId w:val="48"/>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管理人与托管人、销售机构协商一致决定延期。</w:t>
      </w:r>
    </w:p>
    <w:p>
      <w:pPr>
        <w:numPr>
          <w:ilvl w:val="0"/>
          <w:numId w:val="48"/>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法律法规规定的或管理人认为有必要延期的其他情形。</w:t>
      </w:r>
    </w:p>
    <w:p>
      <w:pPr>
        <w:spacing w:line="360" w:lineRule="auto"/>
        <w:jc w:val="left"/>
        <w:rPr>
          <w:rFonts w:ascii="宋体" w:hAnsi="宋体" w:cs="宋体"/>
          <w:b/>
          <w:sz w:val="24"/>
          <w:highlight w:val="none"/>
        </w:rPr>
      </w:pPr>
    </w:p>
    <w:p>
      <w:pPr>
        <w:numPr>
          <w:ilvl w:val="0"/>
          <w:numId w:val="21"/>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信息披露</w:t>
      </w:r>
    </w:p>
    <w:p>
      <w:pPr>
        <w:numPr>
          <w:ilvl w:val="0"/>
          <w:numId w:val="49"/>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披露内容及时间</w:t>
      </w:r>
    </w:p>
    <w:p>
      <w:pPr>
        <w:numPr>
          <w:ilvl w:val="0"/>
          <w:numId w:val="50"/>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认购信息披露</w:t>
      </w:r>
    </w:p>
    <w:p>
      <w:pPr>
        <w:numPr>
          <w:ilvl w:val="0"/>
          <w:numId w:val="51"/>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理财计划合同：管理人应在正式办理理财计划份额认购前披露，包括但不限于</w:t>
      </w:r>
      <w:r>
        <w:rPr>
          <w:rFonts w:hint="eastAsia" w:ascii="宋体" w:hAnsi="宋体" w:cs="宋体"/>
          <w:bCs/>
          <w:color w:val="000000"/>
          <w:sz w:val="24"/>
          <w:highlight w:val="none"/>
          <w:lang w:eastAsia="zh-CN"/>
        </w:rPr>
        <w:t>理财计划</w:t>
      </w:r>
      <w:r>
        <w:rPr>
          <w:rFonts w:hint="eastAsia" w:ascii="宋体" w:hAnsi="宋体" w:cs="宋体"/>
          <w:bCs/>
          <w:color w:val="000000"/>
          <w:sz w:val="24"/>
          <w:highlight w:val="none"/>
        </w:rPr>
        <w:t>风险揭示书、</w:t>
      </w:r>
      <w:r>
        <w:rPr>
          <w:rFonts w:hint="eastAsia" w:ascii="宋体" w:hAnsi="宋体" w:cs="宋体"/>
          <w:bCs/>
          <w:color w:val="000000"/>
          <w:sz w:val="24"/>
          <w:highlight w:val="none"/>
          <w:lang w:eastAsia="zh-CN"/>
        </w:rPr>
        <w:t>理财计划</w:t>
      </w:r>
      <w:r>
        <w:rPr>
          <w:rFonts w:hint="eastAsia" w:ascii="宋体" w:hAnsi="宋体" w:cs="宋体"/>
          <w:bCs/>
          <w:color w:val="000000"/>
          <w:sz w:val="24"/>
          <w:highlight w:val="none"/>
        </w:rPr>
        <w:t>产品说明书、投资者权益须知</w:t>
      </w:r>
      <w:r>
        <w:rPr>
          <w:rFonts w:hint="eastAsia" w:ascii="宋体" w:hAnsi="宋体" w:cs="宋体"/>
          <w:bCs/>
          <w:color w:val="000000"/>
          <w:sz w:val="24"/>
          <w:highlight w:val="none"/>
          <w:lang w:eastAsia="zh-CN"/>
        </w:rPr>
        <w:t>、</w:t>
      </w:r>
      <w:r>
        <w:rPr>
          <w:rFonts w:hint="eastAsia" w:ascii="宋体" w:hAnsi="宋体" w:cs="宋体"/>
          <w:bCs/>
          <w:color w:val="000000"/>
          <w:sz w:val="24"/>
          <w:highlight w:val="none"/>
        </w:rPr>
        <w:t>理财计划投资协议书</w:t>
      </w:r>
      <w:r>
        <w:rPr>
          <w:rFonts w:hint="eastAsia" w:ascii="宋体" w:hAnsi="宋体" w:cs="宋体"/>
          <w:bCs/>
          <w:color w:val="000000"/>
          <w:sz w:val="24"/>
          <w:highlight w:val="none"/>
          <w:lang w:eastAsia="zh-CN"/>
        </w:rPr>
        <w:t>以及理财计划销售协议书</w:t>
      </w:r>
      <w:r>
        <w:rPr>
          <w:rFonts w:hint="eastAsia" w:ascii="宋体" w:hAnsi="宋体" w:cs="宋体"/>
          <w:bCs/>
          <w:color w:val="000000"/>
          <w:sz w:val="24"/>
          <w:highlight w:val="none"/>
        </w:rPr>
        <w:t>。</w:t>
      </w:r>
    </w:p>
    <w:p>
      <w:pPr>
        <w:numPr>
          <w:ilvl w:val="0"/>
          <w:numId w:val="51"/>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rPr>
        <w:t>发行公告：管理人应在理财计划成立日后</w:t>
      </w:r>
      <w:r>
        <w:rPr>
          <w:rFonts w:hint="eastAsia" w:ascii="宋体" w:hAnsi="宋体" w:cs="宋体"/>
          <w:bCs/>
          <w:color w:val="000000"/>
          <w:sz w:val="24"/>
          <w:highlight w:val="none"/>
          <w:lang w:val="en-US" w:eastAsia="zh-CN"/>
        </w:rPr>
        <w:t>5</w:t>
      </w:r>
      <w:r>
        <w:rPr>
          <w:rFonts w:hint="eastAsia" w:ascii="宋体" w:hAnsi="宋体" w:cs="宋体"/>
          <w:bCs/>
          <w:color w:val="000000"/>
          <w:sz w:val="24"/>
          <w:highlight w:val="none"/>
        </w:rPr>
        <w:t>个工作日内披露，包括成立日期、募集规模等信息。</w:t>
      </w:r>
    </w:p>
    <w:p>
      <w:pPr>
        <w:numPr>
          <w:ilvl w:val="0"/>
          <w:numId w:val="50"/>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运作信息披露</w:t>
      </w:r>
    </w:p>
    <w:p>
      <w:pPr>
        <w:numPr>
          <w:ilvl w:val="0"/>
          <w:numId w:val="52"/>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理财计划净值：管理人应在理财计划成立后，每个开放确认日后</w:t>
      </w:r>
      <w:r>
        <w:rPr>
          <w:rFonts w:hint="eastAsia" w:ascii="宋体" w:hAnsi="宋体" w:cs="宋体"/>
          <w:bCs/>
          <w:color w:val="000000"/>
          <w:sz w:val="24"/>
          <w:highlight w:val="none"/>
          <w:lang w:val="en-US" w:eastAsia="zh-CN"/>
        </w:rPr>
        <w:t>2</w:t>
      </w:r>
      <w:r>
        <w:rPr>
          <w:rFonts w:hint="eastAsia" w:ascii="宋体" w:hAnsi="宋体" w:cs="宋体"/>
          <w:bCs/>
          <w:color w:val="000000"/>
          <w:sz w:val="24"/>
          <w:highlight w:val="none"/>
        </w:rPr>
        <w:t>个工作日内披露本理财计划净值。</w:t>
      </w:r>
      <w:r>
        <w:rPr>
          <w:rFonts w:hint="eastAsia" w:ascii="宋体" w:hAnsi="宋体" w:cs="宋体"/>
          <w:bCs/>
          <w:color w:val="000000"/>
          <w:sz w:val="24"/>
          <w:highlight w:val="none"/>
          <w:lang w:eastAsia="zh"/>
        </w:rPr>
        <w:t>公募开放式产品至少每周披露净值。</w:t>
      </w:r>
    </w:p>
    <w:p>
      <w:pPr>
        <w:numPr>
          <w:ilvl w:val="0"/>
          <w:numId w:val="52"/>
        </w:num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定期报告：管理人应当在每季度结束之日起15个工作日、上半年结束之日起60个工作日内、每年结束之日起90个工作日内编制完成理财计划的季度、半年和年度报告等运行报告，披露投资状况、投资表现、风险状况等信息，包括但不限于本理财计划投资的资产种类、投资比例、投资组合的流动性风险分析。</w:t>
      </w:r>
      <w:r>
        <w:rPr>
          <w:rFonts w:hint="eastAsia" w:ascii="宋体" w:hAnsi="宋体" w:cs="宋体"/>
          <w:bCs/>
          <w:color w:val="000000"/>
          <w:sz w:val="24"/>
          <w:highlight w:val="none"/>
          <w:lang w:eastAsia="zh-CN"/>
        </w:rPr>
        <w:t>如本理财计划成立不足</w:t>
      </w:r>
      <w:r>
        <w:rPr>
          <w:rFonts w:hint="eastAsia" w:ascii="宋体" w:hAnsi="宋体" w:cs="宋体"/>
          <w:bCs/>
          <w:color w:val="000000"/>
          <w:sz w:val="24"/>
          <w:highlight w:val="none"/>
          <w:lang w:val="en-US" w:eastAsia="zh-CN"/>
        </w:rPr>
        <w:t>90个工作日或剩余存续期不超过90个工作日的，管理人可不编制当期的季度、半年和年度报告等运行报告。</w:t>
      </w:r>
    </w:p>
    <w:p>
      <w:pPr>
        <w:numPr>
          <w:ilvl w:val="0"/>
          <w:numId w:val="52"/>
        </w:num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到期报告：管理人应在理财计划到期后5个工作日内披露，包括存续期限、到期兑付净值、收益分配情况等信息。</w:t>
      </w:r>
    </w:p>
    <w:p>
      <w:pPr>
        <w:numPr>
          <w:ilvl w:val="0"/>
          <w:numId w:val="50"/>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临时信息披露</w:t>
      </w:r>
    </w:p>
    <w:p>
      <w:pPr>
        <w:numPr>
          <w:ilvl w:val="0"/>
          <w:numId w:val="53"/>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重大事项公告：</w:t>
      </w:r>
      <w:r>
        <w:rPr>
          <w:rFonts w:hint="eastAsia" w:ascii="宋体" w:hAnsi="宋体" w:cs="宋体"/>
          <w:bCs/>
          <w:color w:val="000000"/>
          <w:sz w:val="24"/>
          <w:highlight w:val="none"/>
          <w:lang w:eastAsia="zh-CN"/>
        </w:rPr>
        <w:t>管理人应在运用</w:t>
      </w:r>
      <w:r>
        <w:rPr>
          <w:rFonts w:hint="eastAsia" w:ascii="宋体" w:hAnsi="宋体" w:cs="宋体"/>
          <w:bCs/>
          <w:color w:val="000000"/>
          <w:sz w:val="24"/>
          <w:highlight w:val="none"/>
        </w:rPr>
        <w:t>收取短期赎回费、摆动定价等措施后，3个交易日内</w:t>
      </w:r>
      <w:r>
        <w:rPr>
          <w:rFonts w:hint="eastAsia" w:ascii="宋体" w:hAnsi="宋体" w:cs="宋体"/>
          <w:bCs/>
          <w:color w:val="000000"/>
          <w:sz w:val="24"/>
          <w:highlight w:val="none"/>
          <w:lang w:eastAsia="zh-CN"/>
        </w:rPr>
        <w:t>发布相关事项公告；应在</w:t>
      </w:r>
      <w:r>
        <w:rPr>
          <w:rFonts w:hint="eastAsia" w:ascii="宋体" w:hAnsi="宋体" w:cs="宋体"/>
          <w:bCs/>
          <w:color w:val="000000"/>
          <w:sz w:val="24"/>
          <w:highlight w:val="none"/>
          <w:lang w:val="en-US" w:eastAsia="zh-CN"/>
        </w:rPr>
        <w:t>运用暂停认购、延期办理巨额赎回申请、暂停接受赎回申请、延缓支付赎回款项、暂停理财产品估值等措施后，</w:t>
      </w:r>
      <w:r>
        <w:rPr>
          <w:rFonts w:hint="eastAsia" w:ascii="宋体" w:hAnsi="宋体" w:cs="宋体"/>
          <w:bCs/>
          <w:color w:val="000000"/>
          <w:sz w:val="24"/>
          <w:highlight w:val="none"/>
        </w:rPr>
        <w:t>3个交易日内</w:t>
      </w:r>
      <w:r>
        <w:rPr>
          <w:rFonts w:hint="eastAsia" w:ascii="宋体" w:hAnsi="宋体" w:cs="宋体"/>
          <w:bCs/>
          <w:color w:val="000000"/>
          <w:sz w:val="24"/>
          <w:highlight w:val="none"/>
          <w:lang w:eastAsia="zh-CN"/>
        </w:rPr>
        <w:t>发布相关事项公告，</w:t>
      </w:r>
      <w:r>
        <w:rPr>
          <w:rFonts w:hint="eastAsia" w:ascii="宋体" w:hAnsi="宋体" w:cs="宋体"/>
          <w:bCs/>
          <w:color w:val="000000"/>
          <w:sz w:val="24"/>
          <w:highlight w:val="none"/>
          <w:lang w:val="en-US" w:eastAsia="zh-CN"/>
        </w:rPr>
        <w:t>说明运用相关措施的原因、拟采取的应对安排等；</w:t>
      </w:r>
      <w:r>
        <w:rPr>
          <w:rFonts w:hint="eastAsia" w:ascii="宋体" w:hAnsi="宋体" w:cs="宋体"/>
          <w:bCs/>
          <w:color w:val="000000"/>
          <w:sz w:val="24"/>
          <w:highlight w:val="none"/>
          <w:lang w:eastAsia="zh-CN"/>
        </w:rPr>
        <w:t>应在发生可能对理财计划投资者或者理财计划收益产</w:t>
      </w:r>
      <w:r>
        <w:rPr>
          <w:rFonts w:hint="eastAsia" w:ascii="宋体" w:hAnsi="宋体" w:cs="宋体"/>
          <w:bCs/>
          <w:color w:val="000000"/>
          <w:sz w:val="24"/>
          <w:highlight w:val="none"/>
        </w:rPr>
        <w:t>生重大事项的事件后2个工作日内发布重大事项公告。</w:t>
      </w:r>
    </w:p>
    <w:p>
      <w:pPr>
        <w:numPr>
          <w:ilvl w:val="0"/>
          <w:numId w:val="53"/>
        </w:num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临时公告：管理人应当及时披露除重大事项以外的其他信息，包括但不限于理财计划终止、更</w:t>
      </w:r>
      <w:r>
        <w:rPr>
          <w:rFonts w:hint="eastAsia" w:ascii="宋体" w:hAnsi="宋体" w:cs="宋体"/>
          <w:bCs/>
          <w:color w:val="000000"/>
          <w:sz w:val="24"/>
          <w:highlight w:val="none"/>
          <w:lang w:eastAsia="zh-CN"/>
        </w:rPr>
        <w:t>换</w:t>
      </w:r>
      <w:r>
        <w:rPr>
          <w:rFonts w:hint="eastAsia" w:ascii="宋体" w:hAnsi="宋体" w:cs="宋体"/>
          <w:bCs/>
          <w:color w:val="000000"/>
          <w:sz w:val="24"/>
          <w:highlight w:val="none"/>
        </w:rPr>
        <w:t>理财计划管理人和托管人、涉及理财计划管理业务的重大诉讼、涉及费率相关事项的变动、理财计划延期兑付等。</w:t>
      </w:r>
    </w:p>
    <w:p>
      <w:pPr>
        <w:numPr>
          <w:ilvl w:val="0"/>
          <w:numId w:val="49"/>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披露方式</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信息将通过管理人或销售机构官方网站进行披露，请投资者及时关注。如在本理财计划在运作管理过程中，发生可能对理财计划份额持有人权益产生重大影响的事项时，管理人可视情况选择以下一种或多种途径告知投资者：管理人或销售机构官方网站、营业网点、邮件、电话、手机短信等。投资者同意管理人通过前述任意一种或多种途径进行信息披露。如因投资者未及时查询理财计划信息或非管理人、销售机构原因导致的系统故障及其他不可抗力因素影响导致投资者未及时了解理财计划信息，因此而产生的风险（包括但不限于因未及时获知信息而错过资金使用及再投资的机会等）由投资者承担，请审慎决定。</w:t>
      </w:r>
    </w:p>
    <w:p>
      <w:pPr>
        <w:spacing w:line="360" w:lineRule="auto"/>
        <w:ind w:left="420"/>
        <w:jc w:val="left"/>
        <w:rPr>
          <w:rFonts w:hint="eastAsia" w:ascii="宋体" w:hAnsi="宋体" w:cs="宋体"/>
          <w:b/>
          <w:sz w:val="24"/>
          <w:highlight w:val="none"/>
        </w:rPr>
      </w:pPr>
    </w:p>
    <w:p>
      <w:pPr>
        <w:numPr>
          <w:ilvl w:val="0"/>
          <w:numId w:val="21"/>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其他</w:t>
      </w:r>
    </w:p>
    <w:p>
      <w:pPr>
        <w:numPr>
          <w:ilvl w:val="0"/>
          <w:numId w:val="5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追索条款</w:t>
      </w:r>
    </w:p>
    <w:p>
      <w:p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若本理财计划所投资的金融资产到期不能全部偿付导致资产减值甚至本金大幅损失，则本公司将以管理人名义，代表投资者利益行使诉讼权利或者实施其他法律行为。</w:t>
      </w:r>
    </w:p>
    <w:p>
      <w:pPr>
        <w:numPr>
          <w:ilvl w:val="0"/>
          <w:numId w:val="5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信息安全</w:t>
      </w:r>
    </w:p>
    <w:p>
      <w:p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管理人应就理财计划销售过程中获知的投资者信息承担保密义务。非经投资者事先许可，不得向第三方披露，但法律法规或监管规定另有要求的除外。</w:t>
      </w:r>
      <w:r>
        <w:rPr>
          <w:rFonts w:hint="eastAsia" w:ascii="宋体" w:hAnsi="宋体" w:cs="宋体"/>
          <w:b/>
          <w:bCs w:val="0"/>
          <w:color w:val="000000"/>
          <w:sz w:val="24"/>
          <w:highlight w:val="none"/>
        </w:rPr>
        <w:t>投资者在此同意并授权，管理人可根据监管要求，为理财计划登记等需要，向登记部门或监管机构提供投资者相关信息</w:t>
      </w:r>
      <w:r>
        <w:rPr>
          <w:rFonts w:hint="eastAsia" w:ascii="宋体" w:hAnsi="宋体" w:cs="宋体"/>
          <w:b/>
          <w:bCs w:val="0"/>
          <w:color w:val="000000"/>
          <w:sz w:val="24"/>
          <w:highlight w:val="none"/>
          <w:lang w:eastAsia="zh-CN"/>
        </w:rPr>
        <w:t>，</w:t>
      </w:r>
      <w:r>
        <w:rPr>
          <w:rFonts w:hint="eastAsia" w:ascii="宋体" w:hAnsi="宋体" w:cs="宋体"/>
          <w:b/>
          <w:bCs w:val="0"/>
          <w:color w:val="000000"/>
          <w:sz w:val="24"/>
          <w:highlight w:val="none"/>
          <w:lang w:val="en-US" w:eastAsia="zh-CN"/>
        </w:rPr>
        <w:t>授权使用时限与履行相关法律法规和监管要求的必要时限一致</w:t>
      </w:r>
      <w:r>
        <w:rPr>
          <w:rFonts w:hint="eastAsia" w:ascii="宋体" w:hAnsi="宋体" w:cs="宋体"/>
          <w:b/>
          <w:bCs w:val="0"/>
          <w:color w:val="000000"/>
          <w:sz w:val="24"/>
          <w:highlight w:val="none"/>
        </w:rPr>
        <w:t>。</w:t>
      </w:r>
    </w:p>
    <w:p>
      <w:pPr>
        <w:numPr>
          <w:ilvl w:val="0"/>
          <w:numId w:val="5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争议解决</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合同的订立、生效、履行、解释、修改和终止等事项均适用中华人民共和国（仅为明确本合同适用法律规则，不含香港特别行政区、澳门特别行政区及中国台湾地区）法律。因本合同引起的或与本合同有关的任何争议，应当首先通过双方之间的友好协商解决；协商不成的，双方均有权提交</w:t>
      </w:r>
      <w:r>
        <w:rPr>
          <w:rFonts w:hint="eastAsia" w:ascii="宋体" w:hAnsi="宋体" w:cs="宋体"/>
          <w:bCs/>
          <w:color w:val="000000"/>
          <w:sz w:val="24"/>
          <w:highlight w:val="none"/>
          <w:lang w:val="en-US" w:eastAsia="zh-CN"/>
        </w:rPr>
        <w:t>被告人</w:t>
      </w:r>
      <w:r>
        <w:rPr>
          <w:rFonts w:hint="eastAsia" w:ascii="宋体" w:hAnsi="宋体" w:cs="宋体"/>
          <w:bCs/>
          <w:color w:val="000000"/>
          <w:sz w:val="24"/>
          <w:highlight w:val="none"/>
        </w:rPr>
        <w:t>所在地有管辖权的人民法院诉讼解决。</w:t>
      </w:r>
    </w:p>
    <w:p>
      <w:pPr>
        <w:numPr>
          <w:ilvl w:val="0"/>
          <w:numId w:val="5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特别提示</w:t>
      </w:r>
    </w:p>
    <w:p>
      <w:pPr>
        <w:spacing w:line="360" w:lineRule="auto"/>
        <w:ind w:firstLine="482" w:firstLineChars="200"/>
        <w:rPr>
          <w:rFonts w:hint="eastAsia" w:ascii="宋体" w:hAnsi="宋体" w:cs="宋体"/>
          <w:b/>
          <w:color w:val="000000"/>
          <w:sz w:val="24"/>
          <w:highlight w:val="none"/>
        </w:rPr>
      </w:pPr>
      <w:r>
        <w:rPr>
          <w:rFonts w:hint="eastAsia" w:ascii="宋体" w:hAnsi="宋体" w:cs="宋体"/>
          <w:b/>
          <w:color w:val="000000"/>
          <w:sz w:val="24"/>
          <w:highlight w:val="none"/>
        </w:rPr>
        <w:t>本理财计划为非保本净值型理财产品，业绩比较基准不代表本理财计划单位份额收益必定达到该标准，管理人不对本理财计划承诺保本或保证收益。投资者本金可能会因市场变动及上述风险因素而蒙受损失。投资者应充分认识投资风险，谨慎投资。</w:t>
      </w:r>
    </w:p>
    <w:p>
      <w:p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rPr>
        <w:t>管理人将恪守勤勉尽责的原则，合理配置财产组合，为投资者提供专业化的理财服务。投资者应密切关注管理人与本理财计划有关的信息披露，以免造成不必要的损失。投资者因自身原因或不可抗</w:t>
      </w:r>
      <w:bookmarkStart w:id="0" w:name="_GoBack"/>
      <w:bookmarkEnd w:id="0"/>
      <w:r>
        <w:rPr>
          <w:rFonts w:hint="eastAsia" w:ascii="宋体" w:hAnsi="宋体" w:cs="宋体"/>
          <w:bCs/>
          <w:color w:val="000000"/>
          <w:sz w:val="24"/>
          <w:highlight w:val="none"/>
        </w:rPr>
        <w:t>力导致未及时获知本理财计划的运作或收益分配情况，管理人不承担任何责任。</w:t>
      </w:r>
    </w:p>
    <w:sectPr>
      <w:headerReference r:id="rId3" w:type="default"/>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13</w:t>
                          </w:r>
                          <w:r>
                            <w:rPr>
                              <w:rFonts w:hint="eastAsia"/>
                              <w:sz w:val="1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">
              <v:fill on="f" focussize="0,0"/>
              <v:stroke on="f"/>
              <v:imagedata o:title=""/>
              <o:lock v:ext="edit" aspectratio="f"/>
              <v:textbox inset="0mm,0mm,0mm,0mm" style="mso-fit-shape-to-text:t;">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13</w:t>
                    </w:r>
                    <w:r>
                      <w:rPr>
                        <w:rFonts w:hint="eastAsia"/>
                        <w:sz w:val="1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single" w:color="auto" w:sz="4" w:space="1"/>
      </w:pBdr>
    </w:pPr>
    <w:r>
      <w:rPr>
        <w:rFonts w:hint="eastAsia"/>
        <w:b/>
        <w:bCs/>
      </w:rPr>
      <w:t>理财非存款 产品有风险 投资须谨慎</w:t>
    </w:r>
    <w:r>
      <w:rPr>
        <w:b/>
        <w:bCs/>
      </w:rPr>
      <w:drawing>
        <wp:anchor distT="0" distB="0" distL="114300" distR="114300" simplePos="0" relativeHeight="251660288" behindDoc="1" locked="0" layoutInCell="1" allowOverlap="1">
          <wp:simplePos x="0" y="0"/>
          <wp:positionH relativeFrom="column">
            <wp:posOffset>5120640</wp:posOffset>
          </wp:positionH>
          <wp:positionV relativeFrom="paragraph">
            <wp:posOffset>-553085</wp:posOffset>
          </wp:positionV>
          <wp:extent cx="1296670" cy="916940"/>
          <wp:effectExtent l="0" t="0" r="0" b="0"/>
          <wp:wrapThrough wrapText="bothSides">
            <wp:wrapPolygon>
              <wp:start x="21591" y="-2"/>
              <wp:lineTo x="0" y="0"/>
              <wp:lineTo x="0" y="21600"/>
              <wp:lineTo x="21591" y="21602"/>
              <wp:lineTo x="8" y="21602"/>
              <wp:lineTo x="21599" y="21600"/>
              <wp:lineTo x="21599" y="0"/>
              <wp:lineTo x="8" y="-2"/>
              <wp:lineTo x="21591" y="-2"/>
            </wp:wrapPolygon>
          </wp:wrapThrough>
          <wp:docPr id="2" name="图片 2"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片1"/>
                  <pic:cNvPicPr>
                    <a:picLocks noChangeAspect="1"/>
                  </pic:cNvPicPr>
                </pic:nvPicPr>
                <pic:blipFill>
                  <a:blip r:embed="rId1"/>
                  <a:stretch>
                    <a:fillRect/>
                  </a:stretch>
                </pic:blipFill>
                <pic:spPr>
                  <a:xfrm>
                    <a:off x="0" y="0"/>
                    <a:ext cx="1296670" cy="916940"/>
                  </a:xfrm>
                  <a:prstGeom prst="rect">
                    <a:avLst/>
                  </a:prstGeom>
                  <a:noFill/>
                  <a:ln>
                    <a:noFill/>
                  </a:ln>
                </pic:spPr>
              </pic:pic>
            </a:graphicData>
          </a:graphic>
        </wp:anchor>
      </w:drawing>
    </w:r>
    <w:r>
      <w:rPr>
        <w:rFonts w:hint="eastAsia"/>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1879860"/>
    <w:multiLevelType w:val="singleLevel"/>
    <w:tmpl w:val="81879860"/>
    <w:lvl w:ilvl="0" w:tentative="0">
      <w:start w:val="8"/>
      <w:numFmt w:val="decimal"/>
      <w:suff w:val="nothing"/>
      <w:lvlText w:val="%1．"/>
      <w:lvlJc w:val="left"/>
      <w:pPr>
        <w:ind w:left="0" w:firstLine="403"/>
      </w:pPr>
      <w:rPr>
        <w:rFonts w:hint="default"/>
      </w:rPr>
    </w:lvl>
  </w:abstractNum>
  <w:abstractNum w:abstractNumId="1">
    <w:nsid w:val="85460E80"/>
    <w:multiLevelType w:val="singleLevel"/>
    <w:tmpl w:val="85460E80"/>
    <w:lvl w:ilvl="0" w:tentative="0">
      <w:start w:val="1"/>
      <w:numFmt w:val="decimal"/>
      <w:suff w:val="nothing"/>
      <w:lvlText w:val="（%1）"/>
      <w:lvlJc w:val="left"/>
      <w:rPr>
        <w:rFonts w:hint="default"/>
        <w:b w:val="0"/>
        <w:bCs w:val="0"/>
      </w:rPr>
    </w:lvl>
  </w:abstractNum>
  <w:abstractNum w:abstractNumId="2">
    <w:nsid w:val="8723FD40"/>
    <w:multiLevelType w:val="singleLevel"/>
    <w:tmpl w:val="8723FD40"/>
    <w:lvl w:ilvl="0" w:tentative="0">
      <w:start w:val="1"/>
      <w:numFmt w:val="decimal"/>
      <w:suff w:val="nothing"/>
      <w:lvlText w:val="%1．"/>
      <w:lvlJc w:val="left"/>
      <w:pPr>
        <w:ind w:left="0" w:firstLine="400"/>
      </w:pPr>
      <w:rPr>
        <w:rFonts w:hint="default" w:ascii="宋体" w:hAnsi="宋体" w:eastAsia="宋体" w:cs="宋体"/>
        <w:b w:val="0"/>
        <w:bCs w:val="0"/>
      </w:rPr>
    </w:lvl>
  </w:abstractNum>
  <w:abstractNum w:abstractNumId="3">
    <w:nsid w:val="8906C252"/>
    <w:multiLevelType w:val="singleLevel"/>
    <w:tmpl w:val="8906C252"/>
    <w:lvl w:ilvl="0" w:tentative="0">
      <w:start w:val="1"/>
      <w:numFmt w:val="decimal"/>
      <w:suff w:val="nothing"/>
      <w:lvlText w:val="（%1）"/>
      <w:lvlJc w:val="left"/>
      <w:rPr>
        <w:rFonts w:hint="default"/>
        <w:b w:val="0"/>
        <w:bCs w:val="0"/>
      </w:rPr>
    </w:lvl>
  </w:abstractNum>
  <w:abstractNum w:abstractNumId="4">
    <w:nsid w:val="8A1865EC"/>
    <w:multiLevelType w:val="singleLevel"/>
    <w:tmpl w:val="8A1865EC"/>
    <w:lvl w:ilvl="0" w:tentative="0">
      <w:start w:val="1"/>
      <w:numFmt w:val="decimal"/>
      <w:suff w:val="nothing"/>
      <w:lvlText w:val="%1．"/>
      <w:lvlJc w:val="left"/>
      <w:pPr>
        <w:ind w:left="0" w:firstLine="400"/>
      </w:pPr>
      <w:rPr>
        <w:rFonts w:hint="default" w:ascii="宋体" w:hAnsi="宋体" w:eastAsia="宋体" w:cs="宋体"/>
      </w:rPr>
    </w:lvl>
  </w:abstractNum>
  <w:abstractNum w:abstractNumId="5">
    <w:nsid w:val="8D0ECC14"/>
    <w:multiLevelType w:val="singleLevel"/>
    <w:tmpl w:val="8D0ECC14"/>
    <w:lvl w:ilvl="0" w:tentative="0">
      <w:start w:val="2"/>
      <w:numFmt w:val="chineseCounting"/>
      <w:suff w:val="nothing"/>
      <w:lvlText w:val="（%1）"/>
      <w:lvlJc w:val="left"/>
      <w:pPr>
        <w:ind w:left="0" w:firstLine="420"/>
      </w:pPr>
      <w:rPr>
        <w:rFonts w:hint="eastAsia"/>
      </w:rPr>
    </w:lvl>
  </w:abstractNum>
  <w:abstractNum w:abstractNumId="6">
    <w:nsid w:val="8D2AB5FD"/>
    <w:multiLevelType w:val="singleLevel"/>
    <w:tmpl w:val="8D2AB5FD"/>
    <w:lvl w:ilvl="0" w:tentative="0">
      <w:start w:val="1"/>
      <w:numFmt w:val="chineseCounting"/>
      <w:suff w:val="nothing"/>
      <w:lvlText w:val="（%1）"/>
      <w:lvlJc w:val="left"/>
      <w:pPr>
        <w:ind w:left="0" w:firstLine="420"/>
      </w:pPr>
      <w:rPr>
        <w:rFonts w:hint="eastAsia"/>
        <w:highlight w:val="none"/>
      </w:rPr>
    </w:lvl>
  </w:abstractNum>
  <w:abstractNum w:abstractNumId="7">
    <w:nsid w:val="8FC09253"/>
    <w:multiLevelType w:val="singleLevel"/>
    <w:tmpl w:val="8FC09253"/>
    <w:lvl w:ilvl="0" w:tentative="0">
      <w:start w:val="3"/>
      <w:numFmt w:val="chineseCounting"/>
      <w:suff w:val="nothing"/>
      <w:lvlText w:val="%1、"/>
      <w:lvlJc w:val="left"/>
      <w:pPr>
        <w:ind w:left="-420" w:firstLine="420"/>
      </w:pPr>
      <w:rPr>
        <w:rFonts w:hint="eastAsia"/>
      </w:rPr>
    </w:lvl>
  </w:abstractNum>
  <w:abstractNum w:abstractNumId="8">
    <w:nsid w:val="93980280"/>
    <w:multiLevelType w:val="singleLevel"/>
    <w:tmpl w:val="93980280"/>
    <w:lvl w:ilvl="0" w:tentative="0">
      <w:start w:val="5"/>
      <w:numFmt w:val="chineseCounting"/>
      <w:suff w:val="nothing"/>
      <w:lvlText w:val="%1、"/>
      <w:lvlJc w:val="left"/>
      <w:pPr>
        <w:ind w:left="-420" w:firstLine="420"/>
      </w:pPr>
      <w:rPr>
        <w:rFonts w:hint="eastAsia"/>
      </w:rPr>
    </w:lvl>
  </w:abstractNum>
  <w:abstractNum w:abstractNumId="9">
    <w:nsid w:val="9E10E19D"/>
    <w:multiLevelType w:val="singleLevel"/>
    <w:tmpl w:val="9E10E19D"/>
    <w:lvl w:ilvl="0" w:tentative="0">
      <w:start w:val="1"/>
      <w:numFmt w:val="chineseCounting"/>
      <w:suff w:val="nothing"/>
      <w:lvlText w:val="（%1）"/>
      <w:lvlJc w:val="left"/>
      <w:pPr>
        <w:ind w:left="0" w:firstLine="420"/>
      </w:pPr>
      <w:rPr>
        <w:rFonts w:hint="eastAsia"/>
      </w:rPr>
    </w:lvl>
  </w:abstractNum>
  <w:abstractNum w:abstractNumId="10">
    <w:nsid w:val="9E4A8FE0"/>
    <w:multiLevelType w:val="singleLevel"/>
    <w:tmpl w:val="9E4A8FE0"/>
    <w:lvl w:ilvl="0" w:tentative="0">
      <w:start w:val="1"/>
      <w:numFmt w:val="decimal"/>
      <w:suff w:val="nothing"/>
      <w:lvlText w:val="%1．"/>
      <w:lvlJc w:val="left"/>
      <w:pPr>
        <w:ind w:left="0" w:firstLine="400"/>
      </w:pPr>
      <w:rPr>
        <w:rFonts w:hint="default"/>
        <w:b/>
        <w:bCs/>
      </w:rPr>
    </w:lvl>
  </w:abstractNum>
  <w:abstractNum w:abstractNumId="11">
    <w:nsid w:val="9F173FD6"/>
    <w:multiLevelType w:val="singleLevel"/>
    <w:tmpl w:val="9F173FD6"/>
    <w:lvl w:ilvl="0" w:tentative="0">
      <w:start w:val="1"/>
      <w:numFmt w:val="decimal"/>
      <w:suff w:val="nothing"/>
      <w:lvlText w:val="%1．"/>
      <w:lvlJc w:val="left"/>
      <w:pPr>
        <w:ind w:left="0" w:firstLine="400"/>
      </w:pPr>
      <w:rPr>
        <w:rFonts w:hint="default"/>
      </w:rPr>
    </w:lvl>
  </w:abstractNum>
  <w:abstractNum w:abstractNumId="12">
    <w:nsid w:val="AAB48CF5"/>
    <w:multiLevelType w:val="singleLevel"/>
    <w:tmpl w:val="AAB48CF5"/>
    <w:lvl w:ilvl="0" w:tentative="0">
      <w:start w:val="1"/>
      <w:numFmt w:val="decimal"/>
      <w:suff w:val="nothing"/>
      <w:lvlText w:val="%1．"/>
      <w:lvlJc w:val="left"/>
      <w:pPr>
        <w:ind w:left="0" w:firstLine="400"/>
      </w:pPr>
      <w:rPr>
        <w:rFonts w:hint="default"/>
      </w:rPr>
    </w:lvl>
  </w:abstractNum>
  <w:abstractNum w:abstractNumId="13">
    <w:nsid w:val="BB4AE6C3"/>
    <w:multiLevelType w:val="singleLevel"/>
    <w:tmpl w:val="BB4AE6C3"/>
    <w:lvl w:ilvl="0" w:tentative="0">
      <w:start w:val="2"/>
      <w:numFmt w:val="decimal"/>
      <w:suff w:val="nothing"/>
      <w:lvlText w:val="%1．"/>
      <w:lvlJc w:val="left"/>
      <w:pPr>
        <w:ind w:left="0" w:firstLine="403"/>
      </w:pPr>
      <w:rPr>
        <w:rFonts w:hint="default"/>
      </w:rPr>
    </w:lvl>
  </w:abstractNum>
  <w:abstractNum w:abstractNumId="14">
    <w:nsid w:val="BBE916E8"/>
    <w:multiLevelType w:val="singleLevel"/>
    <w:tmpl w:val="BBE916E8"/>
    <w:lvl w:ilvl="0" w:tentative="0">
      <w:start w:val="1"/>
      <w:numFmt w:val="decimal"/>
      <w:suff w:val="nothing"/>
      <w:lvlText w:val="%1．"/>
      <w:lvlJc w:val="left"/>
      <w:pPr>
        <w:ind w:left="0" w:firstLine="400"/>
      </w:pPr>
      <w:rPr>
        <w:rFonts w:hint="default"/>
        <w:b w:val="0"/>
        <w:bCs w:val="0"/>
      </w:rPr>
    </w:lvl>
  </w:abstractNum>
  <w:abstractNum w:abstractNumId="15">
    <w:nsid w:val="C7BD8C7E"/>
    <w:multiLevelType w:val="singleLevel"/>
    <w:tmpl w:val="C7BD8C7E"/>
    <w:lvl w:ilvl="0" w:tentative="0">
      <w:start w:val="1"/>
      <w:numFmt w:val="decimal"/>
      <w:suff w:val="nothing"/>
      <w:lvlText w:val="%1．"/>
      <w:lvlJc w:val="left"/>
      <w:pPr>
        <w:ind w:left="0" w:firstLine="400"/>
      </w:pPr>
      <w:rPr>
        <w:rFonts w:hint="default" w:ascii="宋体" w:hAnsi="宋体" w:eastAsia="宋体" w:cs="宋体"/>
      </w:rPr>
    </w:lvl>
  </w:abstractNum>
  <w:abstractNum w:abstractNumId="16">
    <w:nsid w:val="D51C2339"/>
    <w:multiLevelType w:val="singleLevel"/>
    <w:tmpl w:val="D51C2339"/>
    <w:lvl w:ilvl="0" w:tentative="0">
      <w:start w:val="1"/>
      <w:numFmt w:val="decimal"/>
      <w:suff w:val="nothing"/>
      <w:lvlText w:val="%1．"/>
      <w:lvlJc w:val="left"/>
      <w:pPr>
        <w:ind w:left="0" w:firstLine="400"/>
      </w:pPr>
      <w:rPr>
        <w:rFonts w:hint="default" w:ascii="宋体" w:hAnsi="宋体" w:eastAsia="宋体" w:cs="宋体"/>
        <w:b/>
        <w:bCs/>
      </w:rPr>
    </w:lvl>
  </w:abstractNum>
  <w:abstractNum w:abstractNumId="17">
    <w:nsid w:val="D86C2766"/>
    <w:multiLevelType w:val="singleLevel"/>
    <w:tmpl w:val="D86C2766"/>
    <w:lvl w:ilvl="0" w:tentative="0">
      <w:start w:val="5"/>
      <w:numFmt w:val="decimal"/>
      <w:suff w:val="nothing"/>
      <w:lvlText w:val="%1．"/>
      <w:lvlJc w:val="left"/>
      <w:pPr>
        <w:ind w:left="0" w:firstLine="403"/>
      </w:pPr>
      <w:rPr>
        <w:rFonts w:hint="default"/>
      </w:rPr>
    </w:lvl>
  </w:abstractNum>
  <w:abstractNum w:abstractNumId="18">
    <w:nsid w:val="D87B2C43"/>
    <w:multiLevelType w:val="singleLevel"/>
    <w:tmpl w:val="D87B2C43"/>
    <w:lvl w:ilvl="0" w:tentative="0">
      <w:start w:val="1"/>
      <w:numFmt w:val="chineseCounting"/>
      <w:suff w:val="nothing"/>
      <w:lvlText w:val="（%1）"/>
      <w:lvlJc w:val="left"/>
      <w:pPr>
        <w:ind w:left="0" w:firstLine="420"/>
      </w:pPr>
      <w:rPr>
        <w:rFonts w:hint="eastAsia"/>
      </w:rPr>
    </w:lvl>
  </w:abstractNum>
  <w:abstractNum w:abstractNumId="19">
    <w:nsid w:val="D8D75090"/>
    <w:multiLevelType w:val="singleLevel"/>
    <w:tmpl w:val="D8D75090"/>
    <w:lvl w:ilvl="0" w:tentative="0">
      <w:start w:val="1"/>
      <w:numFmt w:val="decimal"/>
      <w:suff w:val="nothing"/>
      <w:lvlText w:val="（%1）"/>
      <w:lvlJc w:val="left"/>
      <w:rPr>
        <w:rFonts w:hint="default"/>
        <w:b w:val="0"/>
        <w:bCs w:val="0"/>
      </w:rPr>
    </w:lvl>
  </w:abstractNum>
  <w:abstractNum w:abstractNumId="20">
    <w:nsid w:val="DD2251DF"/>
    <w:multiLevelType w:val="singleLevel"/>
    <w:tmpl w:val="DD2251DF"/>
    <w:lvl w:ilvl="0" w:tentative="0">
      <w:start w:val="1"/>
      <w:numFmt w:val="decimal"/>
      <w:suff w:val="nothing"/>
      <w:lvlText w:val="（%1）"/>
      <w:lvlJc w:val="left"/>
      <w:rPr>
        <w:rFonts w:hint="default"/>
        <w:b w:val="0"/>
        <w:bCs w:val="0"/>
      </w:rPr>
    </w:lvl>
  </w:abstractNum>
  <w:abstractNum w:abstractNumId="21">
    <w:nsid w:val="E20DF07A"/>
    <w:multiLevelType w:val="singleLevel"/>
    <w:tmpl w:val="E20DF07A"/>
    <w:lvl w:ilvl="0" w:tentative="0">
      <w:start w:val="1"/>
      <w:numFmt w:val="chineseCounting"/>
      <w:suff w:val="nothing"/>
      <w:lvlText w:val="（%1）"/>
      <w:lvlJc w:val="left"/>
      <w:pPr>
        <w:ind w:left="0" w:firstLine="420"/>
      </w:pPr>
      <w:rPr>
        <w:rFonts w:hint="eastAsia"/>
        <w:b/>
        <w:bCs/>
      </w:rPr>
    </w:lvl>
  </w:abstractNum>
  <w:abstractNum w:abstractNumId="22">
    <w:nsid w:val="E70DF796"/>
    <w:multiLevelType w:val="singleLevel"/>
    <w:tmpl w:val="E70DF796"/>
    <w:lvl w:ilvl="0" w:tentative="0">
      <w:start w:val="1"/>
      <w:numFmt w:val="decimal"/>
      <w:suff w:val="nothing"/>
      <w:lvlText w:val="（%1）"/>
      <w:lvlJc w:val="left"/>
    </w:lvl>
  </w:abstractNum>
  <w:abstractNum w:abstractNumId="23">
    <w:nsid w:val="EED9DB58"/>
    <w:multiLevelType w:val="multilevel"/>
    <w:tmpl w:val="EED9DB58"/>
    <w:lvl w:ilvl="0" w:tentative="0">
      <w:start w:val="1"/>
      <w:numFmt w:val="decimal"/>
      <w:suff w:val="nothing"/>
      <w:lvlText w:val="%1．"/>
      <w:lvlJc w:val="left"/>
      <w:pPr>
        <w:ind w:left="0" w:firstLine="400"/>
      </w:pPr>
      <w:rPr>
        <w:rFonts w:hint="default" w:ascii="Times New Roman" w:hAnsi="Times New Roman" w:cs="Times New Roman"/>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abstractNum w:abstractNumId="24">
    <w:nsid w:val="EFF37F09"/>
    <w:multiLevelType w:val="singleLevel"/>
    <w:tmpl w:val="EFF37F09"/>
    <w:lvl w:ilvl="0" w:tentative="0">
      <w:start w:val="1"/>
      <w:numFmt w:val="decimal"/>
      <w:suff w:val="nothing"/>
      <w:lvlText w:val="（%1）"/>
      <w:lvlJc w:val="left"/>
      <w:rPr>
        <w:rFonts w:hint="default"/>
        <w:b w:val="0"/>
        <w:bCs w:val="0"/>
      </w:rPr>
    </w:lvl>
  </w:abstractNum>
  <w:abstractNum w:abstractNumId="25">
    <w:nsid w:val="F2B939FD"/>
    <w:multiLevelType w:val="singleLevel"/>
    <w:tmpl w:val="F2B939FD"/>
    <w:lvl w:ilvl="0" w:tentative="0">
      <w:start w:val="1"/>
      <w:numFmt w:val="decimal"/>
      <w:suff w:val="nothing"/>
      <w:lvlText w:val="%1．"/>
      <w:lvlJc w:val="left"/>
      <w:pPr>
        <w:ind w:left="0" w:firstLine="400"/>
      </w:pPr>
      <w:rPr>
        <w:rFonts w:hint="default" w:ascii="宋体" w:hAnsi="宋体" w:eastAsia="宋体" w:cs="宋体"/>
      </w:rPr>
    </w:lvl>
  </w:abstractNum>
  <w:abstractNum w:abstractNumId="26">
    <w:nsid w:val="F3AF4DAD"/>
    <w:multiLevelType w:val="singleLevel"/>
    <w:tmpl w:val="F3AF4DAD"/>
    <w:lvl w:ilvl="0" w:tentative="0">
      <w:start w:val="1"/>
      <w:numFmt w:val="chineseCounting"/>
      <w:suff w:val="nothing"/>
      <w:lvlText w:val="（%1）"/>
      <w:lvlJc w:val="left"/>
      <w:pPr>
        <w:ind w:left="0" w:firstLine="420"/>
      </w:pPr>
      <w:rPr>
        <w:rFonts w:hint="eastAsia"/>
      </w:rPr>
    </w:lvl>
  </w:abstractNum>
  <w:abstractNum w:abstractNumId="27">
    <w:nsid w:val="F44DF26E"/>
    <w:multiLevelType w:val="singleLevel"/>
    <w:tmpl w:val="F44DF26E"/>
    <w:lvl w:ilvl="0" w:tentative="0">
      <w:start w:val="1"/>
      <w:numFmt w:val="decimal"/>
      <w:suff w:val="nothing"/>
      <w:lvlText w:val="%1．"/>
      <w:lvlJc w:val="left"/>
      <w:pPr>
        <w:ind w:left="0" w:firstLine="400"/>
      </w:pPr>
      <w:rPr>
        <w:rFonts w:hint="default"/>
      </w:rPr>
    </w:lvl>
  </w:abstractNum>
  <w:abstractNum w:abstractNumId="28">
    <w:nsid w:val="F574F5B6"/>
    <w:multiLevelType w:val="singleLevel"/>
    <w:tmpl w:val="F574F5B6"/>
    <w:lvl w:ilvl="0" w:tentative="0">
      <w:start w:val="1"/>
      <w:numFmt w:val="decimal"/>
      <w:suff w:val="nothing"/>
      <w:lvlText w:val="（%1）"/>
      <w:lvlJc w:val="left"/>
    </w:lvl>
  </w:abstractNum>
  <w:abstractNum w:abstractNumId="29">
    <w:nsid w:val="FAA9B37B"/>
    <w:multiLevelType w:val="singleLevel"/>
    <w:tmpl w:val="FAA9B37B"/>
    <w:lvl w:ilvl="0" w:tentative="0">
      <w:start w:val="2"/>
      <w:numFmt w:val="chineseCounting"/>
      <w:suff w:val="nothing"/>
      <w:lvlText w:val="%1、"/>
      <w:lvlJc w:val="left"/>
      <w:pPr>
        <w:ind w:left="-420" w:firstLine="420"/>
      </w:pPr>
      <w:rPr>
        <w:rFonts w:hint="eastAsia"/>
      </w:rPr>
    </w:lvl>
  </w:abstractNum>
  <w:abstractNum w:abstractNumId="30">
    <w:nsid w:val="FBBA18C3"/>
    <w:multiLevelType w:val="singleLevel"/>
    <w:tmpl w:val="FBBA18C3"/>
    <w:lvl w:ilvl="0" w:tentative="0">
      <w:start w:val="1"/>
      <w:numFmt w:val="decimal"/>
      <w:lvlText w:val="%1."/>
      <w:lvlJc w:val="left"/>
      <w:pPr>
        <w:tabs>
          <w:tab w:val="left" w:pos="312"/>
        </w:tabs>
      </w:pPr>
      <w:rPr>
        <w:rFonts w:hint="default"/>
        <w:b w:val="0"/>
        <w:bCs w:val="0"/>
        <w:highlight w:val="none"/>
      </w:rPr>
    </w:lvl>
  </w:abstractNum>
  <w:abstractNum w:abstractNumId="31">
    <w:nsid w:val="06A8803C"/>
    <w:multiLevelType w:val="singleLevel"/>
    <w:tmpl w:val="06A8803C"/>
    <w:lvl w:ilvl="0" w:tentative="0">
      <w:start w:val="1"/>
      <w:numFmt w:val="decimal"/>
      <w:suff w:val="nothing"/>
      <w:lvlText w:val="%1．"/>
      <w:lvlJc w:val="left"/>
      <w:pPr>
        <w:ind w:left="0" w:firstLine="400"/>
      </w:pPr>
      <w:rPr>
        <w:rFonts w:hint="default"/>
      </w:rPr>
    </w:lvl>
  </w:abstractNum>
  <w:abstractNum w:abstractNumId="32">
    <w:nsid w:val="084A6179"/>
    <w:multiLevelType w:val="singleLevel"/>
    <w:tmpl w:val="084A6179"/>
    <w:lvl w:ilvl="0" w:tentative="0">
      <w:start w:val="1"/>
      <w:numFmt w:val="decimal"/>
      <w:suff w:val="nothing"/>
      <w:lvlText w:val="（%1）"/>
      <w:lvlJc w:val="left"/>
      <w:rPr>
        <w:rFonts w:hint="default"/>
        <w:highlight w:val="none"/>
      </w:rPr>
    </w:lvl>
  </w:abstractNum>
  <w:abstractNum w:abstractNumId="33">
    <w:nsid w:val="139CA754"/>
    <w:multiLevelType w:val="singleLevel"/>
    <w:tmpl w:val="139CA754"/>
    <w:lvl w:ilvl="0" w:tentative="0">
      <w:start w:val="1"/>
      <w:numFmt w:val="decimal"/>
      <w:suff w:val="nothing"/>
      <w:lvlText w:val="%1．"/>
      <w:lvlJc w:val="left"/>
      <w:pPr>
        <w:ind w:left="0" w:firstLine="400"/>
      </w:pPr>
      <w:rPr>
        <w:rFonts w:hint="default" w:ascii="宋体" w:hAnsi="宋体" w:eastAsia="宋体" w:cs="宋体"/>
      </w:rPr>
    </w:lvl>
  </w:abstractNum>
  <w:abstractNum w:abstractNumId="34">
    <w:nsid w:val="14B04552"/>
    <w:multiLevelType w:val="singleLevel"/>
    <w:tmpl w:val="14B04552"/>
    <w:lvl w:ilvl="0" w:tentative="0">
      <w:start w:val="1"/>
      <w:numFmt w:val="decimal"/>
      <w:suff w:val="nothing"/>
      <w:lvlText w:val="%1．"/>
      <w:lvlJc w:val="left"/>
      <w:pPr>
        <w:ind w:left="0" w:firstLine="400"/>
      </w:pPr>
      <w:rPr>
        <w:rFonts w:hint="default"/>
      </w:rPr>
    </w:lvl>
  </w:abstractNum>
  <w:abstractNum w:abstractNumId="35">
    <w:nsid w:val="167B0BB4"/>
    <w:multiLevelType w:val="singleLevel"/>
    <w:tmpl w:val="167B0BB4"/>
    <w:lvl w:ilvl="0" w:tentative="0">
      <w:start w:val="1"/>
      <w:numFmt w:val="decimal"/>
      <w:suff w:val="nothing"/>
      <w:lvlText w:val="（%1）"/>
      <w:lvlJc w:val="left"/>
    </w:lvl>
  </w:abstractNum>
  <w:abstractNum w:abstractNumId="36">
    <w:nsid w:val="19207562"/>
    <w:multiLevelType w:val="singleLevel"/>
    <w:tmpl w:val="19207562"/>
    <w:lvl w:ilvl="0" w:tentative="0">
      <w:start w:val="1"/>
      <w:numFmt w:val="decimal"/>
      <w:suff w:val="nothing"/>
      <w:lvlText w:val="%1．"/>
      <w:lvlJc w:val="left"/>
      <w:pPr>
        <w:ind w:left="0" w:firstLine="400"/>
      </w:pPr>
      <w:rPr>
        <w:rFonts w:hint="default" w:ascii="宋体" w:hAnsi="宋体" w:eastAsia="宋体" w:cs="宋体"/>
        <w:b w:val="0"/>
        <w:bCs w:val="0"/>
        <w:highlight w:val="none"/>
      </w:rPr>
    </w:lvl>
  </w:abstractNum>
  <w:abstractNum w:abstractNumId="37">
    <w:nsid w:val="1DE2936E"/>
    <w:multiLevelType w:val="singleLevel"/>
    <w:tmpl w:val="1DE2936E"/>
    <w:lvl w:ilvl="0" w:tentative="0">
      <w:start w:val="6"/>
      <w:numFmt w:val="chineseCounting"/>
      <w:suff w:val="nothing"/>
      <w:lvlText w:val="%1、"/>
      <w:lvlJc w:val="left"/>
      <w:pPr>
        <w:ind w:left="-420" w:firstLine="420"/>
      </w:pPr>
      <w:rPr>
        <w:rFonts w:hint="eastAsia"/>
      </w:rPr>
    </w:lvl>
  </w:abstractNum>
  <w:abstractNum w:abstractNumId="38">
    <w:nsid w:val="2A987C4E"/>
    <w:multiLevelType w:val="singleLevel"/>
    <w:tmpl w:val="2A987C4E"/>
    <w:lvl w:ilvl="0" w:tentative="0">
      <w:start w:val="5"/>
      <w:numFmt w:val="decimal"/>
      <w:suff w:val="nothing"/>
      <w:lvlText w:val="%1．"/>
      <w:lvlJc w:val="left"/>
      <w:pPr>
        <w:ind w:left="0" w:firstLine="403"/>
      </w:pPr>
      <w:rPr>
        <w:rFonts w:hint="default"/>
      </w:rPr>
    </w:lvl>
  </w:abstractNum>
  <w:abstractNum w:abstractNumId="39">
    <w:nsid w:val="2CB63BE6"/>
    <w:multiLevelType w:val="singleLevel"/>
    <w:tmpl w:val="2CB63BE6"/>
    <w:lvl w:ilvl="0" w:tentative="0">
      <w:start w:val="1"/>
      <w:numFmt w:val="decimal"/>
      <w:suff w:val="nothing"/>
      <w:lvlText w:val="（%1）"/>
      <w:lvlJc w:val="left"/>
      <w:rPr>
        <w:rFonts w:hint="default"/>
        <w:b w:val="0"/>
        <w:bCs w:val="0"/>
      </w:rPr>
    </w:lvl>
  </w:abstractNum>
  <w:abstractNum w:abstractNumId="40">
    <w:nsid w:val="3775F290"/>
    <w:multiLevelType w:val="singleLevel"/>
    <w:tmpl w:val="3775F290"/>
    <w:lvl w:ilvl="0" w:tentative="0">
      <w:start w:val="7"/>
      <w:numFmt w:val="decimal"/>
      <w:suff w:val="nothing"/>
      <w:lvlText w:val="%1．"/>
      <w:lvlJc w:val="left"/>
      <w:pPr>
        <w:ind w:left="0" w:firstLine="403"/>
      </w:pPr>
      <w:rPr>
        <w:rFonts w:hint="default"/>
      </w:rPr>
    </w:lvl>
  </w:abstractNum>
  <w:abstractNum w:abstractNumId="41">
    <w:nsid w:val="3D02F9B6"/>
    <w:multiLevelType w:val="singleLevel"/>
    <w:tmpl w:val="3D02F9B6"/>
    <w:lvl w:ilvl="0" w:tentative="0">
      <w:start w:val="1"/>
      <w:numFmt w:val="chineseCounting"/>
      <w:suff w:val="nothing"/>
      <w:lvlText w:val="（%1）"/>
      <w:lvlJc w:val="left"/>
      <w:pPr>
        <w:ind w:left="0" w:firstLine="420"/>
      </w:pPr>
      <w:rPr>
        <w:rFonts w:hint="eastAsia"/>
      </w:rPr>
    </w:lvl>
  </w:abstractNum>
  <w:abstractNum w:abstractNumId="42">
    <w:nsid w:val="3E8BF7CA"/>
    <w:multiLevelType w:val="singleLevel"/>
    <w:tmpl w:val="3E8BF7CA"/>
    <w:lvl w:ilvl="0" w:tentative="0">
      <w:start w:val="3"/>
      <w:numFmt w:val="chineseCounting"/>
      <w:suff w:val="nothing"/>
      <w:lvlText w:val="（%1）"/>
      <w:lvlJc w:val="left"/>
      <w:pPr>
        <w:ind w:left="0" w:firstLine="420"/>
      </w:pPr>
      <w:rPr>
        <w:rFonts w:hint="eastAsia"/>
      </w:rPr>
    </w:lvl>
  </w:abstractNum>
  <w:abstractNum w:abstractNumId="43">
    <w:nsid w:val="40C56BF5"/>
    <w:multiLevelType w:val="singleLevel"/>
    <w:tmpl w:val="40C56BF5"/>
    <w:lvl w:ilvl="0" w:tentative="0">
      <w:start w:val="1"/>
      <w:numFmt w:val="decimal"/>
      <w:suff w:val="nothing"/>
      <w:lvlText w:val="%1．"/>
      <w:lvlJc w:val="left"/>
      <w:pPr>
        <w:ind w:left="0" w:firstLine="400"/>
      </w:pPr>
      <w:rPr>
        <w:rFonts w:hint="default" w:ascii="宋体" w:hAnsi="宋体" w:eastAsia="宋体" w:cs="宋体"/>
      </w:rPr>
    </w:lvl>
  </w:abstractNum>
  <w:abstractNum w:abstractNumId="44">
    <w:nsid w:val="440A0178"/>
    <w:multiLevelType w:val="singleLevel"/>
    <w:tmpl w:val="440A0178"/>
    <w:lvl w:ilvl="0" w:tentative="0">
      <w:start w:val="1"/>
      <w:numFmt w:val="chineseCounting"/>
      <w:suff w:val="nothing"/>
      <w:lvlText w:val="（%1）"/>
      <w:lvlJc w:val="left"/>
      <w:pPr>
        <w:ind w:left="0" w:firstLine="420"/>
      </w:pPr>
      <w:rPr>
        <w:rFonts w:hint="eastAsia"/>
      </w:rPr>
    </w:lvl>
  </w:abstractNum>
  <w:abstractNum w:abstractNumId="45">
    <w:nsid w:val="4A032168"/>
    <w:multiLevelType w:val="singleLevel"/>
    <w:tmpl w:val="4A032168"/>
    <w:lvl w:ilvl="0" w:tentative="0">
      <w:start w:val="4"/>
      <w:numFmt w:val="decimal"/>
      <w:suff w:val="nothing"/>
      <w:lvlText w:val="%1．"/>
      <w:lvlJc w:val="left"/>
      <w:pPr>
        <w:ind w:left="0" w:firstLine="403"/>
      </w:pPr>
      <w:rPr>
        <w:rFonts w:hint="default"/>
        <w:highlight w:val="none"/>
      </w:rPr>
    </w:lvl>
  </w:abstractNum>
  <w:abstractNum w:abstractNumId="46">
    <w:nsid w:val="4C142BB3"/>
    <w:multiLevelType w:val="singleLevel"/>
    <w:tmpl w:val="4C142BB3"/>
    <w:lvl w:ilvl="0" w:tentative="0">
      <w:start w:val="1"/>
      <w:numFmt w:val="chineseCounting"/>
      <w:suff w:val="nothing"/>
      <w:lvlText w:val="（%1）"/>
      <w:lvlJc w:val="left"/>
      <w:pPr>
        <w:ind w:left="0" w:firstLine="420"/>
      </w:pPr>
      <w:rPr>
        <w:rFonts w:hint="eastAsia"/>
      </w:rPr>
    </w:lvl>
  </w:abstractNum>
  <w:abstractNum w:abstractNumId="47">
    <w:nsid w:val="4E635A5B"/>
    <w:multiLevelType w:val="singleLevel"/>
    <w:tmpl w:val="4E635A5B"/>
    <w:lvl w:ilvl="0" w:tentative="0">
      <w:start w:val="1"/>
      <w:numFmt w:val="chineseCounting"/>
      <w:suff w:val="nothing"/>
      <w:lvlText w:val="（%1）"/>
      <w:lvlJc w:val="left"/>
      <w:pPr>
        <w:ind w:left="0" w:firstLine="420"/>
      </w:pPr>
      <w:rPr>
        <w:rFonts w:hint="eastAsia"/>
        <w:b/>
        <w:bCs/>
      </w:rPr>
    </w:lvl>
  </w:abstractNum>
  <w:abstractNum w:abstractNumId="48">
    <w:nsid w:val="4EA92D1A"/>
    <w:multiLevelType w:val="singleLevel"/>
    <w:tmpl w:val="4EA92D1A"/>
    <w:lvl w:ilvl="0" w:tentative="0">
      <w:start w:val="1"/>
      <w:numFmt w:val="chineseCounting"/>
      <w:suff w:val="nothing"/>
      <w:lvlText w:val="%1、"/>
      <w:lvlJc w:val="left"/>
      <w:pPr>
        <w:ind w:left="-420" w:firstLine="420"/>
      </w:pPr>
      <w:rPr>
        <w:rFonts w:hint="eastAsia"/>
      </w:rPr>
    </w:lvl>
  </w:abstractNum>
  <w:abstractNum w:abstractNumId="49">
    <w:nsid w:val="57EB2BED"/>
    <w:multiLevelType w:val="singleLevel"/>
    <w:tmpl w:val="57EB2BED"/>
    <w:lvl w:ilvl="0" w:tentative="0">
      <w:start w:val="1"/>
      <w:numFmt w:val="decimal"/>
      <w:suff w:val="nothing"/>
      <w:lvlText w:val="%1．"/>
      <w:lvlJc w:val="left"/>
      <w:pPr>
        <w:ind w:left="0" w:firstLine="400"/>
      </w:pPr>
      <w:rPr>
        <w:rFonts w:hint="default"/>
      </w:rPr>
    </w:lvl>
  </w:abstractNum>
  <w:abstractNum w:abstractNumId="50">
    <w:nsid w:val="5BA91325"/>
    <w:multiLevelType w:val="singleLevel"/>
    <w:tmpl w:val="5BA91325"/>
    <w:lvl w:ilvl="0" w:tentative="0">
      <w:start w:val="1"/>
      <w:numFmt w:val="decimal"/>
      <w:suff w:val="nothing"/>
      <w:lvlText w:val="（%1）"/>
      <w:lvlJc w:val="left"/>
    </w:lvl>
  </w:abstractNum>
  <w:abstractNum w:abstractNumId="51">
    <w:nsid w:val="61F30F62"/>
    <w:multiLevelType w:val="singleLevel"/>
    <w:tmpl w:val="61F30F62"/>
    <w:lvl w:ilvl="0" w:tentative="0">
      <w:start w:val="1"/>
      <w:numFmt w:val="decimal"/>
      <w:suff w:val="nothing"/>
      <w:lvlText w:val="（%1）"/>
      <w:lvlJc w:val="left"/>
      <w:rPr>
        <w:rFonts w:hint="default"/>
        <w:b w:val="0"/>
        <w:bCs w:val="0"/>
      </w:rPr>
    </w:lvl>
  </w:abstractNum>
  <w:abstractNum w:abstractNumId="52">
    <w:nsid w:val="69C07A9C"/>
    <w:multiLevelType w:val="singleLevel"/>
    <w:tmpl w:val="69C07A9C"/>
    <w:lvl w:ilvl="0" w:tentative="0">
      <w:start w:val="1"/>
      <w:numFmt w:val="lowerLetter"/>
      <w:suff w:val="space"/>
      <w:lvlText w:val="%1."/>
      <w:lvlJc w:val="left"/>
    </w:lvl>
  </w:abstractNum>
  <w:abstractNum w:abstractNumId="53">
    <w:nsid w:val="6BA7AFBC"/>
    <w:multiLevelType w:val="singleLevel"/>
    <w:tmpl w:val="6BA7AFBC"/>
    <w:lvl w:ilvl="0" w:tentative="0">
      <w:start w:val="1"/>
      <w:numFmt w:val="chineseCounting"/>
      <w:suff w:val="nothing"/>
      <w:lvlText w:val="（%1）"/>
      <w:lvlJc w:val="left"/>
      <w:pPr>
        <w:ind w:left="0" w:firstLine="420"/>
      </w:pPr>
      <w:rPr>
        <w:rFonts w:hint="eastAsia"/>
      </w:rPr>
    </w:lvl>
  </w:abstractNum>
  <w:num w:numId="1">
    <w:abstractNumId w:val="48"/>
  </w:num>
  <w:num w:numId="2">
    <w:abstractNumId w:val="44"/>
  </w:num>
  <w:num w:numId="3">
    <w:abstractNumId w:val="29"/>
  </w:num>
  <w:num w:numId="4">
    <w:abstractNumId w:val="26"/>
  </w:num>
  <w:num w:numId="5">
    <w:abstractNumId w:val="33"/>
  </w:num>
  <w:num w:numId="6">
    <w:abstractNumId w:val="25"/>
  </w:num>
  <w:num w:numId="7">
    <w:abstractNumId w:val="16"/>
  </w:num>
  <w:num w:numId="8">
    <w:abstractNumId w:val="10"/>
  </w:num>
  <w:num w:numId="9">
    <w:abstractNumId w:val="13"/>
  </w:num>
  <w:num w:numId="10">
    <w:abstractNumId w:val="7"/>
  </w:num>
  <w:num w:numId="11">
    <w:abstractNumId w:val="8"/>
  </w:num>
  <w:num w:numId="12">
    <w:abstractNumId w:val="6"/>
  </w:num>
  <w:num w:numId="13">
    <w:abstractNumId w:val="30"/>
  </w:num>
  <w:num w:numId="14">
    <w:abstractNumId w:val="43"/>
  </w:num>
  <w:num w:numId="15">
    <w:abstractNumId w:val="28"/>
  </w:num>
  <w:num w:numId="16">
    <w:abstractNumId w:val="45"/>
  </w:num>
  <w:num w:numId="17">
    <w:abstractNumId w:val="50"/>
  </w:num>
  <w:num w:numId="18">
    <w:abstractNumId w:val="52"/>
  </w:num>
  <w:num w:numId="19">
    <w:abstractNumId w:val="38"/>
  </w:num>
  <w:num w:numId="20">
    <w:abstractNumId w:val="15"/>
  </w:num>
  <w:num w:numId="21">
    <w:abstractNumId w:val="37"/>
  </w:num>
  <w:num w:numId="22">
    <w:abstractNumId w:val="18"/>
  </w:num>
  <w:num w:numId="23">
    <w:abstractNumId w:val="5"/>
  </w:num>
  <w:num w:numId="24">
    <w:abstractNumId w:val="47"/>
  </w:num>
  <w:num w:numId="25">
    <w:abstractNumId w:val="4"/>
  </w:num>
  <w:num w:numId="26">
    <w:abstractNumId w:val="32"/>
  </w:num>
  <w:num w:numId="27">
    <w:abstractNumId w:val="36"/>
  </w:num>
  <w:num w:numId="28">
    <w:abstractNumId w:val="53"/>
  </w:num>
  <w:num w:numId="29">
    <w:abstractNumId w:val="31"/>
  </w:num>
  <w:num w:numId="30">
    <w:abstractNumId w:val="17"/>
  </w:num>
  <w:num w:numId="31">
    <w:abstractNumId w:val="40"/>
  </w:num>
  <w:num w:numId="32">
    <w:abstractNumId w:val="0"/>
  </w:num>
  <w:num w:numId="33">
    <w:abstractNumId w:val="20"/>
  </w:num>
  <w:num w:numId="34">
    <w:abstractNumId w:val="42"/>
  </w:num>
  <w:num w:numId="35">
    <w:abstractNumId w:val="2"/>
  </w:num>
  <w:num w:numId="36">
    <w:abstractNumId w:val="21"/>
  </w:num>
  <w:num w:numId="37">
    <w:abstractNumId w:val="23"/>
  </w:num>
  <w:num w:numId="38">
    <w:abstractNumId w:val="46"/>
  </w:num>
  <w:num w:numId="39">
    <w:abstractNumId w:val="34"/>
  </w:num>
  <w:num w:numId="40">
    <w:abstractNumId w:val="14"/>
  </w:num>
  <w:num w:numId="41">
    <w:abstractNumId w:val="27"/>
  </w:num>
  <w:num w:numId="42">
    <w:abstractNumId w:val="22"/>
  </w:num>
  <w:num w:numId="43">
    <w:abstractNumId w:val="24"/>
  </w:num>
  <w:num w:numId="44">
    <w:abstractNumId w:val="51"/>
  </w:num>
  <w:num w:numId="45">
    <w:abstractNumId w:val="39"/>
  </w:num>
  <w:num w:numId="46">
    <w:abstractNumId w:val="1"/>
  </w:num>
  <w:num w:numId="47">
    <w:abstractNumId w:val="49"/>
  </w:num>
  <w:num w:numId="48">
    <w:abstractNumId w:val="11"/>
  </w:num>
  <w:num w:numId="49">
    <w:abstractNumId w:val="9"/>
  </w:num>
  <w:num w:numId="50">
    <w:abstractNumId w:val="12"/>
  </w:num>
  <w:num w:numId="51">
    <w:abstractNumId w:val="35"/>
  </w:num>
  <w:num w:numId="52">
    <w:abstractNumId w:val="19"/>
  </w:num>
  <w:num w:numId="53">
    <w:abstractNumId w:val="3"/>
  </w:num>
  <w:num w:numId="54">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420"/>
  <w:hyphenationZone w:val="360"/>
  <w:drawingGridHorizontalSpacing w:val="0"/>
  <w:drawingGridVerticalSpacing w:val="156"/>
  <w:displayHorizontalDrawingGridEvery w:val="0"/>
  <w:displayVerticalDrawingGridEvery w:val="2"/>
  <w:characterSpacingControl w:val="compressPunctuation"/>
  <w:doNotValidateAgainstSchema/>
  <w:doNotDemarcateInvalidXml/>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M5ZjUwYzE3NDdkZDY1ZTUwZTQwZTM5ODM0MmI1ZGMifQ=="/>
    <w:docVar w:name="KSO_WPS_MARK_KEY" w:val="7d0c4fc6-43cc-4bf7-81fa-344b25226340"/>
  </w:docVars>
  <w:rsids>
    <w:rsidRoot w:val="00172A27"/>
    <w:rsid w:val="005E72A2"/>
    <w:rsid w:val="00EE55AC"/>
    <w:rsid w:val="0226402A"/>
    <w:rsid w:val="02266A4E"/>
    <w:rsid w:val="0233240B"/>
    <w:rsid w:val="03AE1ACD"/>
    <w:rsid w:val="05305490"/>
    <w:rsid w:val="05801B5D"/>
    <w:rsid w:val="05D650B2"/>
    <w:rsid w:val="05DE6E8D"/>
    <w:rsid w:val="05E42C31"/>
    <w:rsid w:val="07506656"/>
    <w:rsid w:val="089F06F0"/>
    <w:rsid w:val="08EC59C1"/>
    <w:rsid w:val="09012D55"/>
    <w:rsid w:val="093A6D15"/>
    <w:rsid w:val="09C724A3"/>
    <w:rsid w:val="09C80899"/>
    <w:rsid w:val="0A057859"/>
    <w:rsid w:val="0CB54915"/>
    <w:rsid w:val="0CE01EEC"/>
    <w:rsid w:val="0D2F3D4F"/>
    <w:rsid w:val="0D5B65FA"/>
    <w:rsid w:val="0D7A6610"/>
    <w:rsid w:val="0E0C54BC"/>
    <w:rsid w:val="0E4F5341"/>
    <w:rsid w:val="0EB77D15"/>
    <w:rsid w:val="0F6D2F4F"/>
    <w:rsid w:val="0FFB8BAD"/>
    <w:rsid w:val="10E7747B"/>
    <w:rsid w:val="10F25E29"/>
    <w:rsid w:val="11FA0C01"/>
    <w:rsid w:val="128B25FE"/>
    <w:rsid w:val="12DA17D8"/>
    <w:rsid w:val="15862C7E"/>
    <w:rsid w:val="164976A9"/>
    <w:rsid w:val="178D1D7E"/>
    <w:rsid w:val="17CFB46B"/>
    <w:rsid w:val="17EA7887"/>
    <w:rsid w:val="18321B09"/>
    <w:rsid w:val="18616AA2"/>
    <w:rsid w:val="191F0F43"/>
    <w:rsid w:val="19E235E1"/>
    <w:rsid w:val="1A7E4CCF"/>
    <w:rsid w:val="1BCD72C9"/>
    <w:rsid w:val="1BDEE92B"/>
    <w:rsid w:val="1BFB7C22"/>
    <w:rsid w:val="1C09008C"/>
    <w:rsid w:val="1D0817CE"/>
    <w:rsid w:val="1E635082"/>
    <w:rsid w:val="1F0F7AA5"/>
    <w:rsid w:val="1F962D64"/>
    <w:rsid w:val="213B4CFA"/>
    <w:rsid w:val="21527232"/>
    <w:rsid w:val="21575C30"/>
    <w:rsid w:val="219372AE"/>
    <w:rsid w:val="21B70797"/>
    <w:rsid w:val="21F67436"/>
    <w:rsid w:val="220D70EF"/>
    <w:rsid w:val="235C3996"/>
    <w:rsid w:val="24885625"/>
    <w:rsid w:val="24A063EA"/>
    <w:rsid w:val="24C8157C"/>
    <w:rsid w:val="255170B3"/>
    <w:rsid w:val="25BD3406"/>
    <w:rsid w:val="260415D7"/>
    <w:rsid w:val="26896537"/>
    <w:rsid w:val="27DB5649"/>
    <w:rsid w:val="284E53B8"/>
    <w:rsid w:val="28F73A05"/>
    <w:rsid w:val="29E223F6"/>
    <w:rsid w:val="2A7A79DE"/>
    <w:rsid w:val="2B5C1F0C"/>
    <w:rsid w:val="2BD054E2"/>
    <w:rsid w:val="2D3FA85E"/>
    <w:rsid w:val="2E16D822"/>
    <w:rsid w:val="2EAD6691"/>
    <w:rsid w:val="2F0D25D9"/>
    <w:rsid w:val="2FA97CB8"/>
    <w:rsid w:val="2FFF877F"/>
    <w:rsid w:val="3086176D"/>
    <w:rsid w:val="31124CF4"/>
    <w:rsid w:val="31A3269E"/>
    <w:rsid w:val="322D08A3"/>
    <w:rsid w:val="32626F15"/>
    <w:rsid w:val="329E36D6"/>
    <w:rsid w:val="34105616"/>
    <w:rsid w:val="3486580A"/>
    <w:rsid w:val="34A35A92"/>
    <w:rsid w:val="34A453A9"/>
    <w:rsid w:val="34EC3C25"/>
    <w:rsid w:val="351A5D92"/>
    <w:rsid w:val="35AA025C"/>
    <w:rsid w:val="35CA7D73"/>
    <w:rsid w:val="377307FA"/>
    <w:rsid w:val="37F449A0"/>
    <w:rsid w:val="3B1C12F3"/>
    <w:rsid w:val="3BD53B5C"/>
    <w:rsid w:val="3BFFCC6D"/>
    <w:rsid w:val="3CC57F13"/>
    <w:rsid w:val="3D4C282D"/>
    <w:rsid w:val="3D970F4E"/>
    <w:rsid w:val="3DE106C6"/>
    <w:rsid w:val="3E540971"/>
    <w:rsid w:val="3E786275"/>
    <w:rsid w:val="3E931F0D"/>
    <w:rsid w:val="3F7E2660"/>
    <w:rsid w:val="3FA31FDD"/>
    <w:rsid w:val="3FFA261A"/>
    <w:rsid w:val="40A430BB"/>
    <w:rsid w:val="40E135DA"/>
    <w:rsid w:val="40FB25F3"/>
    <w:rsid w:val="41F528C8"/>
    <w:rsid w:val="427C1487"/>
    <w:rsid w:val="42FA026B"/>
    <w:rsid w:val="43C800C0"/>
    <w:rsid w:val="441A5EB8"/>
    <w:rsid w:val="444440BE"/>
    <w:rsid w:val="44AC49CD"/>
    <w:rsid w:val="44B91F56"/>
    <w:rsid w:val="46184F00"/>
    <w:rsid w:val="466F6F60"/>
    <w:rsid w:val="46A726DE"/>
    <w:rsid w:val="4745701D"/>
    <w:rsid w:val="47AC6180"/>
    <w:rsid w:val="48BF1281"/>
    <w:rsid w:val="4B2F6DF6"/>
    <w:rsid w:val="4BF988C8"/>
    <w:rsid w:val="4CC51C60"/>
    <w:rsid w:val="4D3204EA"/>
    <w:rsid w:val="4D697EB1"/>
    <w:rsid w:val="4DFF95C2"/>
    <w:rsid w:val="4E08799D"/>
    <w:rsid w:val="4E2B414A"/>
    <w:rsid w:val="4F5679CC"/>
    <w:rsid w:val="501840BA"/>
    <w:rsid w:val="52B042C0"/>
    <w:rsid w:val="53827B5D"/>
    <w:rsid w:val="53E86B53"/>
    <w:rsid w:val="54D66C67"/>
    <w:rsid w:val="568633C7"/>
    <w:rsid w:val="57061882"/>
    <w:rsid w:val="57280BF2"/>
    <w:rsid w:val="582C3B01"/>
    <w:rsid w:val="582D059F"/>
    <w:rsid w:val="582D396D"/>
    <w:rsid w:val="59083CAE"/>
    <w:rsid w:val="592570E8"/>
    <w:rsid w:val="59435FE6"/>
    <w:rsid w:val="59480030"/>
    <w:rsid w:val="59A3360E"/>
    <w:rsid w:val="5ADE2855"/>
    <w:rsid w:val="5B056CAE"/>
    <w:rsid w:val="5C664A4B"/>
    <w:rsid w:val="5CE67D31"/>
    <w:rsid w:val="5E5F4050"/>
    <w:rsid w:val="5F04726A"/>
    <w:rsid w:val="5F6D37D2"/>
    <w:rsid w:val="5F9C081D"/>
    <w:rsid w:val="606677EA"/>
    <w:rsid w:val="60F34C3C"/>
    <w:rsid w:val="617668BD"/>
    <w:rsid w:val="61D01645"/>
    <w:rsid w:val="62E81183"/>
    <w:rsid w:val="63723353"/>
    <w:rsid w:val="64164D78"/>
    <w:rsid w:val="64993141"/>
    <w:rsid w:val="659F27EB"/>
    <w:rsid w:val="659F600E"/>
    <w:rsid w:val="66AF3243"/>
    <w:rsid w:val="66D37A2C"/>
    <w:rsid w:val="67CE6661"/>
    <w:rsid w:val="680A5A06"/>
    <w:rsid w:val="68B9403E"/>
    <w:rsid w:val="68D511B9"/>
    <w:rsid w:val="68FA6041"/>
    <w:rsid w:val="69827CEE"/>
    <w:rsid w:val="699E5049"/>
    <w:rsid w:val="6BDE71F2"/>
    <w:rsid w:val="6C9577EB"/>
    <w:rsid w:val="6CBA3A99"/>
    <w:rsid w:val="6D3A1203"/>
    <w:rsid w:val="6D7F6733"/>
    <w:rsid w:val="6E9C369D"/>
    <w:rsid w:val="6EF41B11"/>
    <w:rsid w:val="6FB17196"/>
    <w:rsid w:val="6FF5AEDC"/>
    <w:rsid w:val="702573F3"/>
    <w:rsid w:val="706E8E93"/>
    <w:rsid w:val="70B57531"/>
    <w:rsid w:val="70FA499F"/>
    <w:rsid w:val="713B571A"/>
    <w:rsid w:val="730C182D"/>
    <w:rsid w:val="737FFDFA"/>
    <w:rsid w:val="73FC9A3F"/>
    <w:rsid w:val="751974A1"/>
    <w:rsid w:val="758B30E4"/>
    <w:rsid w:val="75F42331"/>
    <w:rsid w:val="761F7C3C"/>
    <w:rsid w:val="76683D2A"/>
    <w:rsid w:val="76C62D9E"/>
    <w:rsid w:val="779F8057"/>
    <w:rsid w:val="78244617"/>
    <w:rsid w:val="7A923507"/>
    <w:rsid w:val="7ACB640D"/>
    <w:rsid w:val="7BFF1A29"/>
    <w:rsid w:val="7C044D89"/>
    <w:rsid w:val="7C63442B"/>
    <w:rsid w:val="7C7C3745"/>
    <w:rsid w:val="7D3AA22F"/>
    <w:rsid w:val="7D546952"/>
    <w:rsid w:val="7D56646C"/>
    <w:rsid w:val="7DE35ECA"/>
    <w:rsid w:val="7DEFCC9B"/>
    <w:rsid w:val="7E1A0C5A"/>
    <w:rsid w:val="7E3212D3"/>
    <w:rsid w:val="7F365A97"/>
    <w:rsid w:val="7F5E9C1F"/>
    <w:rsid w:val="7F5F887D"/>
    <w:rsid w:val="7FCC7D05"/>
    <w:rsid w:val="7FEF42B8"/>
    <w:rsid w:val="7FF7EB2D"/>
    <w:rsid w:val="7FFF0B3B"/>
    <w:rsid w:val="9FD01BC3"/>
    <w:rsid w:val="AF77296E"/>
    <w:rsid w:val="B3FE25BF"/>
    <w:rsid w:val="B73EB5C4"/>
    <w:rsid w:val="BE6E0F8F"/>
    <w:rsid w:val="C38B20D8"/>
    <w:rsid w:val="C679D4D5"/>
    <w:rsid w:val="CA7F3105"/>
    <w:rsid w:val="CB7FADDA"/>
    <w:rsid w:val="D3FFF2E3"/>
    <w:rsid w:val="D4B948F0"/>
    <w:rsid w:val="D4F43AA8"/>
    <w:rsid w:val="D7BE90C3"/>
    <w:rsid w:val="D8BF47B9"/>
    <w:rsid w:val="DAD376E4"/>
    <w:rsid w:val="DB7AB19E"/>
    <w:rsid w:val="DDFE51CF"/>
    <w:rsid w:val="E97E32AA"/>
    <w:rsid w:val="F3C7F184"/>
    <w:rsid w:val="F3F331A4"/>
    <w:rsid w:val="F3FE7E0E"/>
    <w:rsid w:val="F3FF81F7"/>
    <w:rsid w:val="F7FE62B6"/>
    <w:rsid w:val="FA543BA3"/>
    <w:rsid w:val="FAFAB10D"/>
    <w:rsid w:val="FAFDECFA"/>
    <w:rsid w:val="FB3B5DB3"/>
    <w:rsid w:val="FBFDB4E3"/>
    <w:rsid w:val="FBFF3395"/>
    <w:rsid w:val="FD7F9463"/>
    <w:rsid w:val="FDFC361F"/>
    <w:rsid w:val="FDFD5128"/>
    <w:rsid w:val="FE7F1378"/>
    <w:rsid w:val="FE8FD80F"/>
    <w:rsid w:val="FEAED78B"/>
    <w:rsid w:val="FEFEE1B7"/>
    <w:rsid w:val="FF4BD653"/>
    <w:rsid w:val="FF6C6882"/>
    <w:rsid w:val="FF9B23B1"/>
    <w:rsid w:val="FFFEC613"/>
  </w:rsids>
  <m:mathPr>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4"/>
      <w:lang w:val="en-US" w:eastAsia="zh-CN" w:bidi="ar-SA"/>
    </w:rPr>
  </w:style>
  <w:style w:type="paragraph" w:styleId="2">
    <w:name w:val="heading 1"/>
    <w:basedOn w:val="1"/>
    <w:next w:val="1"/>
    <w:link w:val="27"/>
    <w:qFormat/>
    <w:uiPriority w:val="0"/>
    <w:pPr>
      <w:keepNext/>
      <w:keepLines/>
      <w:spacing w:before="100" w:beforeLines="0" w:beforeAutospacing="0" w:after="90" w:afterLines="0" w:afterAutospacing="0" w:line="240" w:lineRule="auto"/>
      <w:jc w:val="center"/>
      <w:outlineLvl w:val="0"/>
    </w:pPr>
    <w:rPr>
      <w:rFonts w:eastAsia="宋体"/>
      <w:b/>
      <w:kern w:val="44"/>
      <w:sz w:val="44"/>
    </w:rPr>
  </w:style>
  <w:style w:type="paragraph" w:styleId="3">
    <w:name w:val="heading 2"/>
    <w:basedOn w:val="1"/>
    <w:next w:val="1"/>
    <w:link w:val="25"/>
    <w:semiHidden/>
    <w:unhideWhenUsed/>
    <w:qFormat/>
    <w:uiPriority w:val="0"/>
    <w:pPr>
      <w:keepNext/>
      <w:keepLines/>
      <w:spacing w:before="20" w:beforeLines="0" w:beforeAutospacing="0" w:after="20" w:afterLines="0" w:afterAutospacing="0" w:line="240" w:lineRule="auto"/>
      <w:outlineLvl w:val="1"/>
    </w:pPr>
    <w:rPr>
      <w:rFonts w:ascii="Arial" w:hAnsi="Arial" w:eastAsia="宋体"/>
      <w:b/>
      <w:sz w:val="24"/>
    </w:rPr>
  </w:style>
  <w:style w:type="paragraph" w:styleId="4">
    <w:name w:val="heading 3"/>
    <w:basedOn w:val="1"/>
    <w:next w:val="1"/>
    <w:link w:val="26"/>
    <w:semiHidden/>
    <w:unhideWhenUsed/>
    <w:qFormat/>
    <w:uiPriority w:val="0"/>
    <w:pPr>
      <w:keepNext/>
      <w:keepLines/>
      <w:spacing w:before="20" w:beforeLines="0" w:beforeAutospacing="0" w:after="20" w:afterLines="0" w:afterAutospacing="0" w:line="360" w:lineRule="auto"/>
      <w:outlineLvl w:val="2"/>
    </w:pPr>
    <w:rPr>
      <w:rFonts w:hAnsi="Calibri" w:eastAsia="宋体"/>
      <w:b/>
      <w:sz w:val="24"/>
    </w:rPr>
  </w:style>
  <w:style w:type="character" w:default="1" w:styleId="13">
    <w:name w:val="Default Paragraph Font"/>
    <w:semiHidden/>
    <w:qFormat/>
    <w:uiPriority w:val="0"/>
  </w:style>
  <w:style w:type="table" w:default="1" w:styleId="11">
    <w:name w:val="Normal Table"/>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Layout w:type="fixed"/>
      <w:tblCellMar>
        <w:top w:w="0" w:type="dxa"/>
        <w:left w:w="108" w:type="dxa"/>
        <w:bottom w:w="0" w:type="dxa"/>
        <w:right w:w="108" w:type="dxa"/>
      </w:tblCellMar>
    </w:tblPr>
  </w:style>
  <w:style w:type="paragraph" w:styleId="5">
    <w:name w:val="annotation text"/>
    <w:basedOn w:val="1"/>
    <w:link w:val="21"/>
    <w:qFormat/>
    <w:uiPriority w:val="0"/>
    <w:pPr>
      <w:jc w:val="left"/>
    </w:pPr>
  </w:style>
  <w:style w:type="paragraph" w:styleId="6">
    <w:name w:val="Balloon Text"/>
    <w:basedOn w:val="1"/>
    <w:link w:val="23"/>
    <w:qFormat/>
    <w:uiPriority w:val="0"/>
    <w:rPr>
      <w:sz w:val="18"/>
      <w:szCs w:val="18"/>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Normal (Web)"/>
    <w:basedOn w:val="1"/>
    <w:qFormat/>
    <w:uiPriority w:val="0"/>
    <w:rPr>
      <w:sz w:val="24"/>
    </w:rPr>
  </w:style>
  <w:style w:type="paragraph" w:styleId="10">
    <w:name w:val="annotation subject"/>
    <w:basedOn w:val="5"/>
    <w:next w:val="5"/>
    <w:link w:val="22"/>
    <w:qFormat/>
    <w:uiPriority w:val="0"/>
    <w:rPr>
      <w:b/>
      <w:bCs/>
    </w:rPr>
  </w:style>
  <w:style w:type="table" w:styleId="12">
    <w:name w:val="Table Grid"/>
    <w:basedOn w:val="11"/>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4">
    <w:name w:val="Hyperlink"/>
    <w:qFormat/>
    <w:uiPriority w:val="0"/>
    <w:rPr>
      <w:color w:val="0000FF"/>
      <w:u w:val="single"/>
    </w:rPr>
  </w:style>
  <w:style w:type="character" w:styleId="15">
    <w:name w:val="annotation reference"/>
    <w:qFormat/>
    <w:uiPriority w:val="0"/>
    <w:rPr>
      <w:sz w:val="21"/>
      <w:szCs w:val="21"/>
    </w:rPr>
  </w:style>
  <w:style w:type="character" w:customStyle="1" w:styleId="16">
    <w:name w:val="批注文字 字符"/>
    <w:link w:val="5"/>
    <w:qFormat/>
    <w:uiPriority w:val="0"/>
    <w:rPr>
      <w:rFonts w:ascii="Calibri" w:hAnsi="Calibri" w:cs="黑体"/>
      <w:kern w:val="2"/>
      <w:sz w:val="21"/>
      <w:szCs w:val="24"/>
    </w:rPr>
  </w:style>
  <w:style w:type="character" w:customStyle="1" w:styleId="17">
    <w:name w:val="批注框文本 字符"/>
    <w:link w:val="6"/>
    <w:qFormat/>
    <w:uiPriority w:val="0"/>
    <w:rPr>
      <w:rFonts w:ascii="Calibri" w:hAnsi="Calibri" w:cs="黑体"/>
      <w:kern w:val="2"/>
      <w:sz w:val="18"/>
      <w:szCs w:val="18"/>
    </w:rPr>
  </w:style>
  <w:style w:type="character" w:customStyle="1" w:styleId="18">
    <w:name w:val="批注主题 字符"/>
    <w:link w:val="10"/>
    <w:qFormat/>
    <w:uiPriority w:val="0"/>
    <w:rPr>
      <w:rFonts w:ascii="Calibri" w:hAnsi="Calibri" w:cs="黑体"/>
      <w:b/>
      <w:bCs/>
      <w:kern w:val="2"/>
      <w:sz w:val="21"/>
      <w:szCs w:val="24"/>
    </w:rPr>
  </w:style>
  <w:style w:type="paragraph" w:customStyle="1" w:styleId="19">
    <w:name w:val="List Paragraph"/>
    <w:basedOn w:val="1"/>
    <w:unhideWhenUsed/>
    <w:uiPriority w:val="99"/>
    <w:pPr>
      <w:ind w:firstLine="420" w:firstLineChars="200"/>
    </w:pPr>
  </w:style>
  <w:style w:type="paragraph" w:customStyle="1" w:styleId="20">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character" w:customStyle="1" w:styleId="21">
    <w:name w:val="批注文字 Char"/>
    <w:link w:val="5"/>
    <w:qFormat/>
    <w:uiPriority w:val="0"/>
    <w:rPr>
      <w:rFonts w:ascii="Calibri" w:hAnsi="Calibri" w:cs="黑体"/>
      <w:kern w:val="2"/>
      <w:sz w:val="21"/>
      <w:szCs w:val="24"/>
    </w:rPr>
  </w:style>
  <w:style w:type="character" w:customStyle="1" w:styleId="22">
    <w:name w:val="批注主题 Char"/>
    <w:link w:val="10"/>
    <w:qFormat/>
    <w:uiPriority w:val="0"/>
    <w:rPr>
      <w:rFonts w:ascii="Calibri" w:hAnsi="Calibri" w:cs="黑体"/>
      <w:b/>
      <w:bCs/>
      <w:kern w:val="2"/>
      <w:sz w:val="21"/>
      <w:szCs w:val="24"/>
    </w:rPr>
  </w:style>
  <w:style w:type="character" w:customStyle="1" w:styleId="23">
    <w:name w:val="批注框文本 Char"/>
    <w:link w:val="6"/>
    <w:qFormat/>
    <w:uiPriority w:val="0"/>
    <w:rPr>
      <w:rFonts w:ascii="Calibri" w:hAnsi="Calibri" w:cs="黑体"/>
      <w:kern w:val="2"/>
      <w:sz w:val="18"/>
      <w:szCs w:val="18"/>
    </w:rPr>
  </w:style>
  <w:style w:type="paragraph" w:customStyle="1" w:styleId="24">
    <w:name w:val="样式1"/>
    <w:basedOn w:val="1"/>
    <w:next w:val="1"/>
    <w:qFormat/>
    <w:uiPriority w:val="0"/>
    <w:pPr>
      <w:keepNext/>
      <w:keepLines/>
      <w:spacing w:before="340" w:beforeLines="0" w:after="330" w:afterLines="0" w:line="576" w:lineRule="auto"/>
      <w:outlineLvl w:val="0"/>
    </w:pPr>
    <w:rPr>
      <w:rFonts w:hint="eastAsia"/>
      <w:b/>
      <w:kern w:val="44"/>
      <w:sz w:val="44"/>
    </w:rPr>
  </w:style>
  <w:style w:type="character" w:customStyle="1" w:styleId="25">
    <w:name w:val="标题 2 Char"/>
    <w:link w:val="3"/>
    <w:qFormat/>
    <w:uiPriority w:val="0"/>
    <w:rPr>
      <w:rFonts w:ascii="Arial" w:hAnsi="Arial" w:eastAsia="宋体"/>
      <w:b/>
      <w:sz w:val="24"/>
    </w:rPr>
  </w:style>
  <w:style w:type="character" w:customStyle="1" w:styleId="26">
    <w:name w:val="标题 3 Char"/>
    <w:link w:val="4"/>
    <w:qFormat/>
    <w:uiPriority w:val="0"/>
    <w:rPr>
      <w:rFonts w:hAnsi="Calibri" w:eastAsia="宋体"/>
      <w:b/>
      <w:sz w:val="24"/>
    </w:rPr>
  </w:style>
  <w:style w:type="character" w:customStyle="1" w:styleId="27">
    <w:name w:val="标题 1 Char"/>
    <w:link w:val="2"/>
    <w:qFormat/>
    <w:uiPriority w:val="0"/>
    <w:rPr>
      <w:rFonts w:eastAsia="宋体"/>
      <w:b/>
      <w:kern w:val="44"/>
      <w:sz w:val="4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10</Pages>
  <Words>33877</Words>
  <Characters>34745</Characters>
  <Lines>1</Lines>
  <Paragraphs>1</Paragraphs>
  <TotalTime>1</TotalTime>
  <ScaleCrop>false</ScaleCrop>
  <LinksUpToDate>false</LinksUpToDate>
  <CharactersWithSpaces>35110</CharactersWithSpaces>
  <Application>WPS Office_11.8.2.8411_F1E327BC-269C-435d-A152-05C5408002CA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2014-11-05T12:08:00Z</dcterms:created>
  <dc:creator>Administrator</dc:creator>
  <cp:lastModifiedBy>hccb</cp:lastModifiedBy>
  <dcterms:modified xsi:type="dcterms:W3CDTF">2026-03-10T06:38:58Z</dcterms:modified>
  <dc:title>杭银理财幸福99XXXX理财计划合同</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2052-11.8.2.8411</vt:lpwstr>
  </property>
  <property fmtid="{D5CDD505-2E9C-101B-9397-08002B2CF9AE}" pid="3" name="ICV">
    <vt:lpwstr>D8CEBF8B6E639D5B466BAE699C1E2E26_43</vt:lpwstr>
  </property>
</Properties>
</file>