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杭银理财幸福99天添益（安享优选）6期理财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Z7002223000297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杭银理财幸福99天添益（安享优选）6期理财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杭银理财幸福99天添益（安享优选）6期理财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天添益6期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TYG1D2306</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Z7002223000297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A份额（销售代码〖TYG1D2306A〗）：普通个人投资者和机构投资者。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B份额（销售代码〖TYG1D2306B〗）：普通机构及个人投资者。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C份额（销售代码〖TYG1D2306C〗）：其他代销机构。</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D份额（销售代码〖TYG1D2306D〗）：其他代销机构。</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E份额（销售代码〖TYG1D2306E〗）：代销机构的普通个人投资者和机构客户。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F份额（销售代码〖TYG1D2306F〗）：个人投资者和机构客户。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G份额（销售代码〖TYG1D2306G〗）：其他代销机构。</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H份额（销售代码〖TYG1D2306H〗）：面向代销机构个人及机构新客。</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I份额（销售代码〖TYG1D2306I〗）：普通个人投资者和机构客户。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K份额（销售代码〖TYG1D2306K〗）：普通个人投资者和机构客户。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Y份额（销售代码〖TYG1D2306Y〗）：面向【其他代销机构】。</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Z份额（销售代码〖TYG1D2306Z〗）：面向其他代销机构发行。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2023</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〖D份额〗起点〖1〗元整，超过认购/申购起点部分，应为〖1〗元的整数倍。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〖E份额〗起点〖1〗元整，超过认购/申购起点部分，应为〖1〗元的整数倍。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〖F份额〗起点〖1〗元整，超过认购/申购起点部分，应为〖1〗元的整数倍。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〖G份额〗起点〖300〗万元整，超过认购/申购起点部分，应为〖1〗元的整数倍。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〖I份额〗起点〖1〗元整，超过认购/申购起点部分，应为〖1〗元的整数倍。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〖K份额〗起点〖1〗元整，超过认购/申购起点部分，应为〖1〗元的整数倍。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〖Y份额〗起点〖1〗元整，超过认购/申购起点部分，应为〖1〗元的整数倍。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〖Z份额〗起点〖50〗万元整，超过认购/申购起点部分，应为〖1〗元的整数倍。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本理财计划的开放期为〖封闭期后的每个交易日〗</w:t>
            </w:r>
            <w:r>
              <w:rPr>
                <w:rFonts w:hint="eastAsia" w:ascii="宋体" w:hAnsi="宋体" w:cs="宋体"/>
                <w:color w:val="000000"/>
                <w:sz w:val="21"/>
                <w:szCs w:val="21"/>
                <w:highlight w:val="none"/>
                <w:lang w:val="en-US" w:eastAsia="zh"/>
              </w:rPr>
              <w:t>，</w:t>
            </w:r>
            <w:r>
              <w:rPr>
                <w:rFonts w:hint="eastAsia" w:ascii="宋体" w:hAnsi="宋体" w:eastAsia="宋体" w:cs="宋体"/>
                <w:color w:val="000000"/>
                <w:kern w:val="2"/>
                <w:sz w:val="21"/>
                <w:szCs w:val="21"/>
                <w:lang w:val="en-US" w:eastAsia="zh-CN" w:bidi="ar"/>
              </w:rPr>
              <w:t>申购确认日为〖开放期的下一个交易日〗</w:t>
            </w:r>
            <w:r>
              <w:rPr>
                <w:rFonts w:hint="eastAsia" w:ascii="宋体" w:hAnsi="宋体" w:cs="宋体"/>
                <w:color w:val="000000"/>
                <w:kern w:val="2"/>
                <w:sz w:val="21"/>
                <w:szCs w:val="21"/>
                <w:lang w:val="en-US" w:eastAsia="zh" w:bidi="ar"/>
              </w:rPr>
              <w:t>。</w:t>
            </w:r>
            <w:r>
              <w:rPr>
                <w:rFonts w:hint="eastAsia" w:ascii="宋体" w:hAnsi="宋体" w:cs="宋体"/>
                <w:color w:val="000000"/>
                <w:sz w:val="21"/>
                <w:szCs w:val="21"/>
                <w:highlight w:val="none"/>
                <w:lang w:val="en-US" w:eastAsia="zh-CN"/>
              </w:rPr>
              <w:t>如遇特殊情况则以管理人公告为准。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交易日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交易日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〖G份额〗单户持有上限为〖5〗亿元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〖I份额〗单户持有上限为〖5〗亿元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〖K份额〗单户持有上限为〖1〗亿元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〖Y份额〗单户持有上限为〖5〗亿元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交易日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交易日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w:t>
            </w:r>
            <w:r>
              <w:rPr>
                <w:rFonts w:hint="eastAsia" w:ascii="宋体" w:hAnsi="宋体" w:cs="宋体"/>
                <w:color w:val="000000"/>
                <w:sz w:val="21"/>
                <w:szCs w:val="21"/>
                <w:highlight w:val="none"/>
                <w:lang w:eastAsia="zh"/>
              </w:rPr>
              <w:t>六</w:t>
            </w:r>
            <w:r>
              <w:rPr>
                <w:rFonts w:hint="eastAsia" w:ascii="宋体" w:hAnsi="宋体" w:cs="宋体"/>
                <w:color w:val="000000"/>
                <w:sz w:val="21"/>
                <w:szCs w:val="21"/>
                <w:highlight w:val="none"/>
              </w:rPr>
              <w:t>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六</w:t>
            </w:r>
            <w:r>
              <w:rPr>
                <w:rFonts w:hint="eastAsia" w:ascii="宋体" w:hAnsi="宋体" w:cs="宋体"/>
                <w:color w:val="000000"/>
                <w:sz w:val="21"/>
                <w:szCs w:val="21"/>
                <w:highlight w:val="none"/>
                <w:lang w:eastAsia="zh-CN"/>
              </w:rPr>
              <w:t>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确认日后〖2〗个〖交易日〗内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〖交易日〗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〖交易日〗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本理财计划〖D份额〗业绩比较基准为〖中国人民银行公布的7天通知存款利率〗（年化）。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本理财计划〖E份额〗业绩比较基准为〖中国人民银行公布的7天通知存款利率〗（年化）。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本理财计划〖F份额〗业绩比较基准为〖中国人民银行公布的7天通知存款利率〗（年化）。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本理财计划〖G份额〗业绩比较基准为〖中国人民银行公布的7天通知存款利率〗（年化）。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本理财计划〖I份额〗业绩比较基准为〖中国人民银行公布的7天通知存款利率〗（年化）。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本理财计划〖K份额〗业绩比较基准为〖中国人民银行公布的7天通知存款利率〗（年化）。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本理财计划〖Y份额〗业绩比较基准为〖中国人民银行公布的7天通知存款利率〗（年化）。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本理财计划〖Z份额〗业绩比较基准为〖中国人民银行公布的7天通知存款利率〗（年化）。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同业存单、信用债等资产，同时根据流动性管理需要和监管要求配置不低于5%的高流动性资产,管理人根据固定收益市场的历史表现，结合当前利率水平、资产配比及市场同类型产品情况，经综合测算得出本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〖A份额〗收取年化〖0.20%〗的销售服务费, 〖B份额〗收取年化〖0.2%〗的销售服务费, 〖C份额〗收取年化〖0.2%〗的销售服务费, 〖D份额〗收取年化〖0.2%〗的销售服务费, 〖E份额〗收取年化〖0.2%〗的销售服务费, 〖F份额〗收取年化〖0.05%〗的销售服务费, 〖G份额〗收取年化〖0.20%〗的销售服务费, 〖H份额〗收取年化〖0.05%〗的销售服务费, 〖I份额〗收取年化〖0.05%〗的销售服务费, 〖K份额〗收取年化〖0.10%〗的销售服务费,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〖C份额〗收取年化〖0.2%〗的固定管理费, 〖D份额〗收取年化〖0.2%〗的固定管理费, 〖E份额〗收取年化〖0.2%〗的固定管理费, 〖F份额〗收取年化〖0.20%〗的固定管理费, 〖G份额〗收取年化〖0.20%〗的固定管理费, 〖H份额〗收取年化〖0.20%〗的固定管理费, 〖I份额〗收取年化〖0.15%〗的固定管理费, 〖K份额〗收取年化〖0.10%〗的固定管理费, 〖Y份额〗收取年化〖0.20%〗的固定管理费,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本理财计划免除</w:t>
            </w:r>
            <w:r>
              <w:rPr>
                <w:rFonts w:hint="eastAsia" w:ascii="宋体" w:hAnsi="宋体" w:cs="宋体"/>
                <w:color w:val="000000"/>
                <w:sz w:val="21"/>
                <w:szCs w:val="21"/>
                <w:highlight w:val="none"/>
                <w:lang w:eastAsia="zh"/>
              </w:rPr>
              <w:t>浮动管理</w:t>
            </w:r>
            <w:r>
              <w:rPr>
                <w:rFonts w:hint="eastAsia" w:ascii="宋体" w:hAnsi="宋体" w:cs="宋体"/>
                <w:color w:val="000000"/>
                <w:sz w:val="21"/>
                <w:szCs w:val="21"/>
                <w:highlight w:val="none"/>
              </w:rPr>
              <w:t>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固定收益类资产：包括但不限于各类债券、存款、货币市场金融工具等高流动性资产、货币市场基金、债券基金、质押式及买断式回购，其他符合监管要求的固定收益类资产及资产管理产品。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权益类资产：包括国内发行上市优先股以及其他符合监管要求的权益类资产（不包括未上市企业股权）。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leftChars="0" w:right="0" w:firstLine="480" w:firstLineChars="200"/>
        <w:jc w:val="left"/>
        <w:rPr>
          <w:rFonts w:hint="eastAsia" w:ascii="宋体" w:hAnsi="宋体" w:cs="宋体"/>
          <w:bCs/>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杠杆策略和信用策略来获取稳定收益。本产品以固定收益投资为主，主要投资于债券、存款、货币基金等高流动性资产并通过开展债券回购等融入或融出资金，以应对流动性需要和提高资金使用效率。</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a、c</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云南红塔银行股份有限公司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云南省玉溪市东风南路2号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0871-65236622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古田县农村信用合作联社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嘉兴银行股份有限公司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浙江省嘉兴市昌盛南路1001号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0573-96528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宁波北仑农村商业银行股份有限公司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宁波镇海农村商业银行股份有限公司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宁波市镇海区骆驼街道镇海大道中段788号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0574-86297777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寿宁县农村信用合作联社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尤溪县农村信用合作联社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惠安县农村信用合作联社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无锡农村商业银行股份有限公司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昆仑银行股份有限公司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明溪县农村信用合作联社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松溪县农村信用合作联社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永春县农村信用合作联社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浙江三门农村商业银行股份有限公司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浙江省三门县海游街道上洋路68号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0576-83302358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浙江上虞农村商业银行股份有限公司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浙江省上虞区百官街道德盛路55号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浙江丽水莲都农村商业银行股份有限公司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浙江义乌农村商业银行股份有限公司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义乌市福田街道城北路677号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0579-85562046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浙江乐清农村商业银行股份有限公司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浙江兰溪农村商业银行股份有限公司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浙江省兰溪市兰江街道丹溪大道18号兰溪农商银行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浙江农村商业联合银行股份有限公司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浙江南浔农村商业银行股份有限公司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浙江台州椒江农村商业银行股份有限公司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浙江嘉善农村商业银行股份有限公司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浙江建德农村商业银行股份有限公司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浙江省建德市新安江街道江滨中路176号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0571-64735233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浙江省永康市九铃东路3259号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浙江温州瓯海农村商业银行股份有限公司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温州市瓯海区瓯海大道989号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浙江缙云农村商业银行股份有限公司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浙江省丽水市缙云县新区仙都路68号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0578-3025102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浙江衢州柯城农村商业银行股份有限公司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浙江金华成泰农村商业银行股份有限公司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浙江省金华市八一南街123号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浙江青田农村商业银行股份有限公司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浦城县农村信用合作联社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福建三明农村商业银行股份有限公司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福建上杭农村商业银行股份有限公司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福建南安农村商业银行股份有限公司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福建宁德农村商业银行股份有限公司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福建安溪农村商业银行股份有限公司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福建平和农村商业银行股份有限公司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福建建瓯农村商业银行股份有限公司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福建晋江农村商业银行股份有限公司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福建沙县农村商业银行股份有限公司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福建石狮农村商业银行股份有限公司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福建莆田农村商业银行股份有限公司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福建连江农村商业银行股份有限公司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福建邵武农村商业银行股份有限公司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福建长乐农村商业银行股份有限公司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福建龙岩农村商业银行股份有限公司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福鼎市农村信用合作联社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罗源县农村信用合作联社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连城县农村信用合作联社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闽侯县农村信用合作联社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闽清县农村信用合作联社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顺昌县农村信用合作联社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龙岩市永定区农村信用合作联社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E为本理财计划前一</w:t>
      </w:r>
      <w:r>
        <w:rPr>
          <w:rFonts w:hint="eastAsia" w:ascii="宋体" w:hAnsi="宋体" w:cs="宋体"/>
          <w:bCs/>
          <w:color w:val="000000"/>
          <w:sz w:val="24"/>
          <w:highlight w:val="none"/>
        </w:rPr>
        <w:t>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固定</w:t>
      </w:r>
      <w:r>
        <w:rPr>
          <w:rFonts w:hint="eastAsia" w:ascii="宋体" w:hAnsi="宋体" w:cs="宋体"/>
          <w:bCs/>
          <w:color w:val="000000"/>
          <w:sz w:val="24"/>
          <w:szCs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E为本理财计划前一日</w:t>
      </w:r>
      <w:r>
        <w:rPr>
          <w:rFonts w:hint="eastAsia" w:ascii="宋体" w:hAnsi="宋体" w:cs="宋体"/>
          <w:bCs/>
          <w:color w:val="000000"/>
          <w:sz w:val="24"/>
          <w:highlight w:val="none"/>
        </w:rPr>
        <w:t>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ascii="宋体" w:hAnsi="宋体" w:cs="宋体"/>
          <w:bCs/>
          <w:color w:val="000000"/>
          <w:sz w:val="24"/>
          <w:highlight w:val="none"/>
          <w:lang w:eastAsia="zh"/>
        </w:rPr>
        <w:t>。</w:t>
      </w:r>
    </w:p>
    <w:p>
      <w:pPr>
        <w:numPr>
          <w:ilvl w:val="0"/>
          <w:numId w:val="29"/>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highlight w:val="none"/>
        </w:rPr>
        <w:t>本理财计划免除</w:t>
      </w:r>
      <w:r>
        <w:rPr>
          <w:rFonts w:hint="eastAsia" w:ascii="宋体" w:hAnsi="宋体" w:cs="宋体"/>
          <w:bCs/>
          <w:color w:val="000000"/>
          <w:sz w:val="24"/>
          <w:highlight w:val="none"/>
          <w:lang w:eastAsia="zh"/>
        </w:rPr>
        <w:t>浮动管理</w:t>
      </w:r>
      <w:r>
        <w:rPr>
          <w:rFonts w:hint="eastAsia" w:ascii="宋体" w:hAnsi="宋体" w:cs="宋体"/>
          <w:bCs/>
          <w:color w:val="000000"/>
          <w:sz w:val="24"/>
          <w:highlight w:val="none"/>
        </w:rPr>
        <w:t>费。</w:t>
      </w:r>
    </w:p>
    <w:p>
      <w:pPr>
        <w:spacing w:line="360" w:lineRule="auto"/>
        <w:ind w:firstLine="480" w:firstLineChars="200"/>
        <w:jc w:val="left"/>
        <w:rPr>
          <w:rFonts w:hint="eastAsia" w:ascii="宋体" w:hAnsi="宋体" w:cs="宋体"/>
          <w:bCs/>
          <w:color w:val="FF0000"/>
          <w:sz w:val="24"/>
          <w:highlight w:val="none"/>
        </w:rPr>
      </w:pP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扣除托管费、固定管理费、销售服务费（如有）后，投资产生盈利。</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364天。赎回时扣除托管费、固定管理费、销售服务费后，如理财计划单位净值为1.042600，期间无分红，此时，(1.042600/1.000000-1)×365/364=4.27%，即投资收益达到〖4.27%〗，投资者最终收益为：100,000.00×(1.042600-1.000000）=4,260.00（元）</w:t>
      </w:r>
    </w:p>
    <w:p>
      <w:pPr>
        <w:keepNext w:val="0"/>
        <w:keepLines w:val="0"/>
        <w:widowControl w:val="0"/>
        <w:numPr>
          <w:ilvl w:val="0"/>
          <w:numId w:val="37"/>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1.000000元，折算份额为100,000.00份，假设投资理财计划364天。赎回时扣除托管费、固定管理费、销售服务费后，如理财计划单位净值为0.997500，期间无分红，投资者最终收益为：100,000.00×（0.997500-1.000000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w:t>
      </w:r>
      <w:r>
        <w:rPr>
          <w:rFonts w:hint="eastAsia" w:ascii="宋体" w:hAnsi="宋体" w:cs="宋体"/>
          <w:b/>
          <w:sz w:val="24"/>
          <w:highlight w:val="none"/>
        </w:rPr>
        <w:t>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确认日后〖2〗个〖交易日〗内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2</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2</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交易日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default"/>
          <w:sz w:val="24"/>
          <w:highlight w:val="none"/>
          <w:lang w:val="en-US" w:eastAsia="zh-CN"/>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w:t>
      </w:r>
      <w:bookmarkStart w:id="0" w:name="_GoBack"/>
      <w:bookmarkEnd w:id="0"/>
      <w:r>
        <w:rPr>
          <w:rFonts w:hint="eastAsia" w:ascii="宋体" w:hAnsi="宋体" w:cs="宋体"/>
          <w:bCs/>
          <w:color w:val="000000"/>
          <w:sz w:val="24"/>
          <w:highlight w:val="none"/>
        </w:rPr>
        <w:t>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FF37F09"/>
    <w:multiLevelType w:val="singleLevel"/>
    <w:tmpl w:val="EFF37F09"/>
    <w:lvl w:ilvl="0" w:tentative="0">
      <w:start w:val="1"/>
      <w:numFmt w:val="decimal"/>
      <w:suff w:val="nothing"/>
      <w:lvlText w:val="（%1）"/>
      <w:lvlJc w:val="left"/>
      <w:rPr>
        <w:rFonts w:hint="default"/>
        <w:b w:val="0"/>
        <w:bCs w:val="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7">
    <w:nsid w:val="F574F5B6"/>
    <w:multiLevelType w:val="singleLevel"/>
    <w:tmpl w:val="F574F5B6"/>
    <w:lvl w:ilvl="0" w:tentative="0">
      <w:start w:val="1"/>
      <w:numFmt w:val="decimal"/>
      <w:suff w:val="nothing"/>
      <w:lvlText w:val="（%1）"/>
      <w:lvlJc w:val="left"/>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0">
    <w:nsid w:val="FE7EBB01"/>
    <w:multiLevelType w:val="multilevel"/>
    <w:tmpl w:val="FE7EBB0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8"/>
  </w:num>
  <w:num w:numId="4">
    <w:abstractNumId w:val="25"/>
  </w:num>
  <w:num w:numId="5">
    <w:abstractNumId w:val="33"/>
  </w:num>
  <w:num w:numId="6">
    <w:abstractNumId w:val="24"/>
  </w:num>
  <w:num w:numId="7">
    <w:abstractNumId w:val="16"/>
  </w:num>
  <w:num w:numId="8">
    <w:abstractNumId w:val="10"/>
  </w:num>
  <w:num w:numId="9">
    <w:abstractNumId w:val="13"/>
  </w:num>
  <w:num w:numId="10">
    <w:abstractNumId w:val="7"/>
  </w:num>
  <w:num w:numId="11">
    <w:abstractNumId w:val="8"/>
  </w:num>
  <w:num w:numId="12">
    <w:abstractNumId w:val="6"/>
  </w:num>
  <w:num w:numId="13">
    <w:abstractNumId w:val="29"/>
  </w:num>
  <w:num w:numId="14">
    <w:abstractNumId w:val="43"/>
  </w:num>
  <w:num w:numId="15">
    <w:abstractNumId w:val="27"/>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30"/>
  </w:num>
  <w:num w:numId="38">
    <w:abstractNumId w:val="46"/>
  </w:num>
  <w:num w:numId="39">
    <w:abstractNumId w:val="34"/>
  </w:num>
  <w:num w:numId="40">
    <w:abstractNumId w:val="14"/>
  </w:num>
  <w:num w:numId="41">
    <w:abstractNumId w:val="26"/>
  </w:num>
  <w:num w:numId="42">
    <w:abstractNumId w:val="22"/>
  </w:num>
  <w:num w:numId="43">
    <w:abstractNumId w:val="23"/>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692B5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91324A9"/>
    <w:rsid w:val="39AB2A00"/>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61082A"/>
    <w:rsid w:val="41F528C8"/>
    <w:rsid w:val="427C1487"/>
    <w:rsid w:val="42FA026B"/>
    <w:rsid w:val="43C800C0"/>
    <w:rsid w:val="444440BE"/>
    <w:rsid w:val="44AC49CD"/>
    <w:rsid w:val="44B91F56"/>
    <w:rsid w:val="46184F00"/>
    <w:rsid w:val="466F6F60"/>
    <w:rsid w:val="46A726DE"/>
    <w:rsid w:val="4745701D"/>
    <w:rsid w:val="47AC6180"/>
    <w:rsid w:val="48BF1281"/>
    <w:rsid w:val="4B1B64F7"/>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DD3778"/>
    <w:rsid w:val="7BFD65FF"/>
    <w:rsid w:val="7BFF1A29"/>
    <w:rsid w:val="7C044D89"/>
    <w:rsid w:val="7C63442B"/>
    <w:rsid w:val="7D3AA22F"/>
    <w:rsid w:val="7DE35ECA"/>
    <w:rsid w:val="7E1A0C5A"/>
    <w:rsid w:val="7E3212D3"/>
    <w:rsid w:val="7F5F887D"/>
    <w:rsid w:val="7FCC7D05"/>
    <w:rsid w:val="7FEB219B"/>
    <w:rsid w:val="7FEF42B8"/>
    <w:rsid w:val="7FFF7284"/>
    <w:rsid w:val="9FD01BC3"/>
    <w:rsid w:val="B3FE25BF"/>
    <w:rsid w:val="BB4D7552"/>
    <w:rsid w:val="BE6E0F8F"/>
    <w:rsid w:val="C679D4D5"/>
    <w:rsid w:val="CFBF7AEB"/>
    <w:rsid w:val="D3FFF2E3"/>
    <w:rsid w:val="D4B948F0"/>
    <w:rsid w:val="D7BE90C3"/>
    <w:rsid w:val="DDB23A0A"/>
    <w:rsid w:val="F3F331A4"/>
    <w:rsid w:val="F3FF81F7"/>
    <w:rsid w:val="F6E7E46D"/>
    <w:rsid w:val="F7FE62B6"/>
    <w:rsid w:val="FA543BA3"/>
    <w:rsid w:val="FD7F9463"/>
    <w:rsid w:val="FEAED78B"/>
    <w:rsid w:val="FFB737C4"/>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40541</Words>
  <Characters>43412</Characters>
  <Lines>1</Lines>
  <Paragraphs>1</Paragraphs>
  <TotalTime>1</TotalTime>
  <ScaleCrop>false</ScaleCrop>
  <LinksUpToDate>false</LinksUpToDate>
  <CharactersWithSpaces>43768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hccb</cp:lastModifiedBy>
  <dcterms:modified xsi:type="dcterms:W3CDTF">2026-03-10T07:20:29Z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A73CDFEC8864DDC755C4AF69E0601A0D_43</vt:lpwstr>
  </property>
</Properties>
</file>