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eastAsia="宋体" w:cs="宋体"/>
          <w:b/>
          <w:bCs/>
          <w:kern w:val="2"/>
          <w:sz w:val="44"/>
          <w:szCs w:val="44"/>
          <w:highlight w:val="none"/>
          <w:lang w:val="en-US" w:eastAsia="zh-CN" w:bidi="ar-SA"/>
        </w:rPr>
        <w:t>杭银理财幸福99季添益1905期理财</w:t>
      </w:r>
      <w:r>
        <w:rPr>
          <w:rFonts w:hint="eastAsia" w:ascii="宋体" w:hAnsi="宋体" w:cs="宋体"/>
          <w:b/>
          <w:bCs/>
          <w:sz w:val="44"/>
          <w:szCs w:val="44"/>
          <w:highlight w:val="none"/>
        </w:rPr>
        <w:t>产品说明书</w:t>
      </w:r>
    </w:p>
    <w:p>
      <w:pPr>
        <w:jc w:val="center"/>
        <w:outlineLvl w:val="1"/>
        <w:rPr>
          <w:rFonts w:hint="eastAsia" w:ascii="宋体" w:hAnsi="宋体" w:cs="宋体"/>
          <w:b/>
          <w:bCs/>
          <w:sz w:val="44"/>
          <w:szCs w:val="44"/>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w:t>
      </w:r>
      <w:r>
        <w:rPr>
          <w:rFonts w:hint="eastAsia" w:ascii="宋体" w:hAnsi="宋体" w:eastAsia="宋体" w:cs="宋体"/>
          <w:bCs/>
          <w:kern w:val="2"/>
          <w:sz w:val="24"/>
          <w:szCs w:val="24"/>
          <w:highlight w:val="none"/>
          <w:lang w:val="en-US" w:eastAsia="zh-CN" w:bidi="ar-SA"/>
        </w:rPr>
        <w:t>Z7002221000276</w:t>
      </w:r>
      <w:r>
        <w:rPr>
          <w:rFonts w:hint="eastAsia" w:ascii="宋体" w:hAnsi="宋体" w:cs="宋体"/>
          <w:bCs/>
          <w:sz w:val="24"/>
          <w:highlight w:val="none"/>
        </w:rPr>
        <w:t>〗</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9"/>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w:t>
      </w:r>
      <w:r>
        <w:rPr>
          <w:rFonts w:hint="eastAsia" w:ascii="宋体" w:hAnsi="宋体" w:cs="宋体"/>
          <w:bCs/>
          <w:sz w:val="24"/>
          <w:highlight w:val="none"/>
          <w:lang w:val="en-US" w:eastAsia="zh-CN"/>
        </w:rPr>
        <w:t>销售文件</w:t>
      </w:r>
      <w:r>
        <w:rPr>
          <w:rFonts w:hint="eastAsia" w:ascii="宋体" w:hAnsi="宋体" w:cs="宋体"/>
          <w:bCs/>
          <w:sz w:val="24"/>
          <w:highlight w:val="none"/>
        </w:rPr>
        <w:t>。</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在本理财计划存续期内，如因监管政策或法律法规发生变化，在不损害投资者利益的前提下，管理人有权对</w:t>
      </w:r>
      <w:r>
        <w:rPr>
          <w:rFonts w:hint="eastAsia" w:ascii="宋体" w:hAnsi="宋体" w:cs="宋体"/>
          <w:bCs/>
          <w:sz w:val="24"/>
          <w:highlight w:val="none"/>
          <w:lang w:val="en-US" w:eastAsia="zh-CN"/>
        </w:rPr>
        <w:t>因上述变化导致的</w:t>
      </w:r>
      <w:r>
        <w:rPr>
          <w:rFonts w:hint="eastAsia" w:ascii="宋体" w:hAnsi="宋体" w:cs="宋体"/>
          <w:bCs/>
          <w:sz w:val="24"/>
          <w:highlight w:val="none"/>
        </w:rPr>
        <w:t>本理财计划说明书条款</w:t>
      </w:r>
      <w:r>
        <w:rPr>
          <w:rFonts w:hint="eastAsia" w:ascii="宋体" w:hAnsi="宋体" w:cs="宋体"/>
          <w:bCs/>
          <w:sz w:val="24"/>
          <w:highlight w:val="none"/>
          <w:lang w:val="en-US" w:eastAsia="zh-CN"/>
        </w:rPr>
        <w:t>变化</w:t>
      </w:r>
      <w:r>
        <w:rPr>
          <w:rFonts w:hint="eastAsia" w:ascii="宋体" w:hAnsi="宋体" w:cs="宋体"/>
          <w:bCs/>
          <w:sz w:val="24"/>
          <w:highlight w:val="none"/>
        </w:rPr>
        <w:t>进行修订。</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9"/>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lang w:eastAsia="zh-CN"/>
        </w:rPr>
        <w:t>，</w:t>
      </w:r>
      <w:r>
        <w:rPr>
          <w:rFonts w:hint="eastAsia" w:ascii="宋体" w:hAnsi="宋体" w:cs="宋体"/>
          <w:bCs/>
          <w:color w:val="auto"/>
          <w:kern w:val="2"/>
          <w:highlight w:val="none"/>
          <w:u w:val="none"/>
          <w:lang w:val="en-US" w:eastAsia="zh-CN"/>
        </w:rPr>
        <w:t>客服电话400-8950-999</w:t>
      </w:r>
      <w:r>
        <w:rPr>
          <w:rFonts w:hint="eastAsia" w:ascii="宋体" w:hAnsi="宋体" w:cs="宋体"/>
          <w:bCs/>
          <w:color w:val="auto"/>
          <w:kern w:val="2"/>
          <w:highlight w:val="none"/>
          <w:u w:val="none"/>
        </w:rPr>
        <w:t>。</w:t>
      </w:r>
    </w:p>
    <w:p>
      <w:pPr>
        <w:pStyle w:val="20"/>
        <w:numPr>
          <w:ilvl w:val="0"/>
          <w:numId w:val="5"/>
        </w:numPr>
        <w:adjustRightInd/>
        <w:spacing w:line="360" w:lineRule="auto"/>
        <w:ind w:firstLine="482" w:firstLineChars="200"/>
        <w:rPr>
          <w:rFonts w:hint="eastAsia" w:ascii="宋体" w:hAnsi="宋体" w:cs="宋体"/>
          <w:b/>
          <w:color w:val="000000"/>
          <w:kern w:val="2"/>
          <w:highlight w:val="none"/>
        </w:rPr>
      </w:pPr>
      <w:r>
        <w:rPr>
          <w:rFonts w:hint="eastAsia" w:ascii="宋体" w:hAnsi="宋体" w:cs="宋体"/>
          <w:b/>
          <w:color w:val="000000"/>
          <w:kern w:val="2"/>
          <w:highlight w:val="none"/>
        </w:rPr>
        <w:t>销售机构：</w:t>
      </w:r>
      <w:r>
        <w:rPr>
          <w:rFonts w:hint="eastAsia" w:ascii="宋体" w:hAnsi="宋体" w:cs="宋体"/>
          <w:bCs/>
          <w:color w:val="000000"/>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000000"/>
          <w:kern w:val="2"/>
          <w:highlight w:val="none"/>
          <w:u w:val="none"/>
        </w:rPr>
        <w:fldChar w:fldCharType="begin"/>
      </w:r>
      <w:r>
        <w:rPr>
          <w:rFonts w:hint="eastAsia" w:ascii="宋体" w:hAnsi="宋体" w:cs="宋体"/>
          <w:bCs/>
          <w:color w:val="000000"/>
          <w:kern w:val="2"/>
          <w:highlight w:val="none"/>
          <w:u w:val="none"/>
        </w:rPr>
        <w:instrText xml:space="preserve"> HYPERLINK "http://www.hzbank.com.cn" </w:instrText>
      </w:r>
      <w:r>
        <w:rPr>
          <w:rFonts w:hint="eastAsia" w:ascii="宋体" w:hAnsi="宋体" w:cs="宋体"/>
          <w:bCs/>
          <w:color w:val="000000"/>
          <w:kern w:val="2"/>
          <w:highlight w:val="none"/>
          <w:u w:val="none"/>
        </w:rPr>
        <w:fldChar w:fldCharType="separate"/>
      </w:r>
      <w:r>
        <w:rPr>
          <w:rFonts w:hint="eastAsia" w:ascii="宋体" w:hAnsi="宋体" w:cs="宋体"/>
          <w:bCs/>
          <w:color w:val="000000"/>
          <w:kern w:val="2"/>
          <w:highlight w:val="none"/>
          <w:u w:val="none"/>
        </w:rPr>
        <w:t>www.hzbank.com.cn</w:t>
      </w:r>
      <w:r>
        <w:rPr>
          <w:rFonts w:hint="eastAsia" w:ascii="宋体" w:hAnsi="宋体" w:cs="宋体"/>
          <w:bCs/>
          <w:color w:val="000000"/>
          <w:kern w:val="2"/>
          <w:highlight w:val="none"/>
          <w:u w:val="none"/>
        </w:rPr>
        <w:fldChar w:fldCharType="end"/>
      </w:r>
      <w:r>
        <w:rPr>
          <w:rFonts w:hint="eastAsia" w:ascii="宋体" w:hAnsi="宋体" w:cs="宋体"/>
          <w:bCs/>
          <w:color w:val="000000"/>
          <w:kern w:val="2"/>
          <w:highlight w:val="none"/>
        </w:rPr>
        <w:t>，客服热线为95398。</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eastAsia="宋体" w:cs="宋体"/>
          <w:color w:val="000000"/>
          <w:sz w:val="24"/>
          <w:szCs w:val="24"/>
          <w:highlight w:val="none"/>
          <w:lang w:val="en-US" w:eastAsia="zh-CN" w:bidi="ar-SA"/>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20"/>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指对管理人（包括本理财计划管理人、所投资的信托计划/资管计划的管理人/受托人、相关投资顾问等）实施监督管理的机构，包括但不限于中国人民银行、</w:t>
      </w:r>
      <w:r>
        <w:rPr>
          <w:rFonts w:hint="eastAsia" w:ascii="宋体" w:hAnsi="宋体" w:cs="宋体"/>
          <w:bCs/>
          <w:color w:val="auto"/>
          <w:kern w:val="2"/>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投资协议书：</w:t>
      </w:r>
      <w:r>
        <w:rPr>
          <w:rFonts w:hint="eastAsia" w:ascii="宋体" w:hAnsi="宋体" w:cs="宋体"/>
          <w:bCs/>
          <w:color w:val="auto"/>
          <w:kern w:val="2"/>
          <w:highlight w:val="none"/>
        </w:rPr>
        <w:t>指作为</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w:t>
      </w:r>
      <w:r>
        <w:rPr>
          <w:rFonts w:hint="eastAsia" w:ascii="宋体" w:hAnsi="宋体" w:cs="宋体"/>
          <w:b/>
          <w:bCs w:val="0"/>
          <w:color w:val="auto"/>
          <w:kern w:val="2"/>
          <w:highlight w:val="none"/>
          <w:lang w:val="en-US" w:eastAsia="zh-CN"/>
        </w:rPr>
        <w:t>计划</w:t>
      </w:r>
      <w:r>
        <w:rPr>
          <w:rFonts w:hint="eastAsia" w:ascii="宋体" w:hAnsi="宋体" w:cs="宋体"/>
          <w:b/>
          <w:bCs w:val="0"/>
          <w:color w:val="auto"/>
          <w:kern w:val="2"/>
          <w:highlight w:val="none"/>
          <w:lang w:eastAsia="zh-CN"/>
        </w:rPr>
        <w:t>销售协议书：</w:t>
      </w:r>
      <w:r>
        <w:rPr>
          <w:rFonts w:hint="eastAsia" w:ascii="宋体" w:hAnsi="宋体" w:cs="宋体"/>
          <w:bCs/>
          <w:color w:val="auto"/>
          <w:kern w:val="2"/>
          <w:highlight w:val="none"/>
          <w:lang w:eastAsia="zh-CN"/>
        </w:rPr>
        <w:t>指作为</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20"/>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w:t>
      </w:r>
      <w:r>
        <w:rPr>
          <w:rFonts w:hint="eastAsia" w:ascii="宋体" w:hAnsi="宋体" w:cs="宋体"/>
          <w:b/>
          <w:color w:val="auto"/>
          <w:kern w:val="2"/>
          <w:highlight w:val="none"/>
          <w:lang w:val="en-US" w:eastAsia="zh-CN"/>
        </w:rPr>
        <w:t>计划</w:t>
      </w:r>
      <w:r>
        <w:rPr>
          <w:rFonts w:hint="eastAsia" w:ascii="宋体" w:hAnsi="宋体" w:cs="宋体"/>
          <w:b/>
          <w:color w:val="auto"/>
          <w:kern w:val="2"/>
          <w:highlight w:val="none"/>
        </w:rPr>
        <w:t>合同/销售文件：</w:t>
      </w:r>
      <w:r>
        <w:rPr>
          <w:rFonts w:hint="eastAsia" w:ascii="宋体" w:hAnsi="宋体" w:cs="宋体"/>
          <w:bCs/>
          <w:color w:val="auto"/>
          <w:kern w:val="2"/>
          <w:highlight w:val="none"/>
        </w:rPr>
        <w:t>指《理财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产品说明书</w:t>
      </w:r>
      <w:r>
        <w:rPr>
          <w:rFonts w:hint="eastAsia" w:ascii="宋体" w:hAnsi="宋体" w:cs="宋体"/>
          <w:bCs/>
          <w:color w:val="auto"/>
          <w:kern w:val="2"/>
          <w:highlight w:val="none"/>
        </w:rPr>
        <w:t>》《投资者权益须知》《理财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rPr>
        <w:t>投资协议书》</w:t>
      </w:r>
      <w:r>
        <w:rPr>
          <w:rFonts w:hint="eastAsia" w:ascii="宋体" w:hAnsi="宋体" w:cs="宋体"/>
          <w:bCs/>
          <w:color w:val="auto"/>
          <w:kern w:val="2"/>
          <w:highlight w:val="none"/>
          <w:lang w:eastAsia="zh-CN"/>
        </w:rPr>
        <w:t>《理财</w:t>
      </w:r>
      <w:r>
        <w:rPr>
          <w:rFonts w:hint="eastAsia" w:ascii="宋体" w:hAnsi="宋体" w:cs="宋体"/>
          <w:bCs/>
          <w:color w:val="auto"/>
          <w:kern w:val="2"/>
          <w:highlight w:val="none"/>
          <w:lang w:val="en-US" w:eastAsia="zh-CN"/>
        </w:rPr>
        <w:t>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w:t>
      </w:r>
      <w:r>
        <w:rPr>
          <w:rFonts w:hint="eastAsia" w:ascii="宋体" w:hAnsi="宋体" w:eastAsia="宋体" w:cs="宋体"/>
          <w:bCs/>
          <w:color w:val="auto"/>
          <w:kern w:val="2"/>
          <w:sz w:val="24"/>
          <w:szCs w:val="24"/>
          <w:highlight w:val="none"/>
          <w:lang w:val="en-US" w:eastAsia="zh-CN" w:bidi="ar-SA"/>
        </w:rPr>
        <w:t>杭银理财幸福99季添益1905期理财</w:t>
      </w:r>
      <w:r>
        <w:rPr>
          <w:rFonts w:hint="eastAsia" w:ascii="宋体" w:hAnsi="宋体" w:cs="宋体"/>
          <w:bCs/>
          <w:highlight w:val="none"/>
        </w:rPr>
        <w:t>。</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20"/>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w:t>
      </w:r>
      <w:r>
        <w:rPr>
          <w:rFonts w:hint="eastAsia" w:ascii="宋体" w:hAnsi="宋体" w:cs="宋体"/>
          <w:szCs w:val="21"/>
          <w:highlight w:val="none"/>
        </w:rPr>
        <w:t>〖</w:t>
      </w:r>
      <w:r>
        <w:rPr>
          <w:rFonts w:hint="eastAsia" w:ascii="宋体" w:hAnsi="宋体" w:cs="宋体"/>
          <w:bCs/>
          <w:color w:val="000000"/>
          <w:highlight w:val="none"/>
        </w:rPr>
        <w:t>上海证券交易所、深圳证券交易所</w:t>
      </w:r>
      <w:r>
        <w:rPr>
          <w:rFonts w:hint="eastAsia" w:ascii="宋体" w:hAnsi="宋体" w:cs="宋体"/>
          <w:szCs w:val="21"/>
          <w:highlight w:val="none"/>
        </w:rPr>
        <w:t>〗</w:t>
      </w:r>
      <w:r>
        <w:rPr>
          <w:rFonts w:hint="eastAsia" w:ascii="宋体" w:hAnsi="宋体" w:cs="宋体"/>
          <w:bCs/>
          <w:highlight w:val="none"/>
        </w:rPr>
        <w:t>的正常交易日。</w:t>
      </w:r>
      <w:r>
        <w:rPr>
          <w:rFonts w:hint="eastAsia" w:ascii="宋体" w:hAnsi="宋体" w:cs="宋体"/>
          <w:bCs/>
          <w:highlight w:val="none"/>
          <w:lang w:val="en-US" w:eastAsia="zh-CN"/>
        </w:rPr>
        <w:t>如涉及到监管条例部分，统一以监管条例表述替代。</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20"/>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20"/>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投资退出期：</w:t>
      </w:r>
      <w:r>
        <w:rPr>
          <w:rFonts w:hint="eastAsia" w:ascii="Times New Roman" w:hAnsi="Times New Roman" w:eastAsia="宋体" w:cs="Times New Roman"/>
          <w:highlight w:val="none"/>
          <w:lang w:val="en-US" w:eastAsia="zh-CN"/>
        </w:rPr>
        <w:t>是指理财计划临近到期前，管理人通过资产变现用以进行资金交割清算的准备期。</w:t>
      </w:r>
    </w:p>
    <w:p>
      <w:pPr>
        <w:pStyle w:val="20"/>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20"/>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20"/>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20"/>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摆动定价机制：</w:t>
      </w:r>
      <w:r>
        <w:rPr>
          <w:rFonts w:hint="eastAsia" w:ascii="宋体" w:hAnsi="宋体" w:cs="宋体"/>
          <w:b w:val="0"/>
          <w:bCs/>
          <w:color w:val="auto"/>
          <w:kern w:val="2"/>
          <w:highlight w:val="none"/>
          <w:lang w:val="en-US" w:eastAsia="zh-CN"/>
        </w:rPr>
        <w:t>指当开放式公募理财计划遭遇大额申购或赎回时，通过调整理财计划份额净值的方式，将理财计划调整投资组合的市场冲击成本分配给实际认购、赎回的投资者，从而减少对存量理财计划份额持有人利益的不利影响。</w:t>
      </w:r>
    </w:p>
    <w:p>
      <w:pPr>
        <w:pStyle w:val="20"/>
        <w:numPr>
          <w:ilvl w:val="0"/>
          <w:numId w:val="9"/>
        </w:numPr>
        <w:adjustRightInd/>
        <w:spacing w:line="360" w:lineRule="auto"/>
        <w:ind w:firstLine="482" w:firstLineChars="200"/>
        <w:rPr>
          <w:rFonts w:hint="eastAsia" w:ascii="宋体" w:hAnsi="宋体" w:cs="宋体"/>
          <w:b/>
          <w:bCs w:val="0"/>
          <w:color w:val="auto"/>
          <w:kern w:val="2"/>
          <w:highlight w:val="none"/>
        </w:rPr>
      </w:pPr>
      <w:r>
        <w:rPr>
          <w:rFonts w:hint="eastAsia" w:ascii="宋体" w:hAnsi="宋体" w:cs="宋体"/>
          <w:b/>
          <w:bCs w:val="0"/>
          <w:color w:val="auto"/>
          <w:kern w:val="2"/>
          <w:highlight w:val="none"/>
          <w:lang w:val="en-US" w:eastAsia="zh-CN"/>
        </w:rPr>
        <w:t>短期赎回费机制：</w:t>
      </w:r>
      <w:r>
        <w:rPr>
          <w:rFonts w:hint="eastAsia" w:ascii="宋体" w:hAnsi="宋体" w:cs="宋体"/>
          <w:b w:val="0"/>
          <w:bCs/>
          <w:color w:val="auto"/>
          <w:kern w:val="2"/>
          <w:highlight w:val="none"/>
          <w:lang w:val="en-US" w:eastAsia="zh-CN"/>
        </w:rPr>
        <w:t>指当理财计划发生巨额赎回或管理人认为可能导致理财计划流动性风险的其他情形下，理财计划管理人可临时性收取短期赎回费以应对流动性风险事件，并将上述产生费用全额计入理财计划财产。</w:t>
      </w:r>
    </w:p>
    <w:p>
      <w:pPr>
        <w:pStyle w:val="20"/>
        <w:numPr>
          <w:ilvl w:val="0"/>
          <w:numId w:val="0"/>
        </w:numPr>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20"/>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kern w:val="2"/>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R2</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中低</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20"/>
              <w:keepNext w:val="0"/>
              <w:keepLines w:val="0"/>
              <w:suppressLineNumbers w:val="0"/>
              <w:adjustRightInd/>
              <w:spacing w:before="0" w:beforeAutospacing="0" w:after="0" w:afterAutospacing="0" w:line="360" w:lineRule="auto"/>
              <w:ind w:left="0" w:right="0"/>
              <w:jc w:val="center"/>
              <w:rPr>
                <w:rFonts w:hint="default"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20"/>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20"/>
        <w:adjustRightInd/>
        <w:spacing w:line="360" w:lineRule="auto"/>
        <w:rPr>
          <w:rFonts w:hint="eastAsia" w:ascii="宋体" w:hAnsi="宋体" w:cs="宋体"/>
          <w:b/>
          <w:color w:val="auto"/>
          <w:kern w:val="2"/>
          <w:highlight w:val="none"/>
        </w:rPr>
      </w:pPr>
    </w:p>
    <w:p>
      <w:pPr>
        <w:pStyle w:val="20"/>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kern w:val="2"/>
                <w:sz w:val="21"/>
                <w:szCs w:val="21"/>
                <w:highlight w:val="none"/>
                <w:lang w:val="en-US" w:eastAsia="zh-CN" w:bidi="ar-SA"/>
              </w:rPr>
              <w:t>杭银理财幸福99季添益1905期理财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sz w:val="21"/>
                <w:szCs w:val="21"/>
                <w:highlight w:val="none"/>
                <w:lang w:val="en-US" w:eastAsia="zh-CN"/>
              </w:rPr>
            </w:pPr>
            <w:r>
              <w:rPr>
                <w:rFonts w:hint="eastAsia" w:ascii="宋体" w:hAnsi="宋体" w:eastAsia="宋体" w:cs="宋体"/>
                <w:kern w:val="2"/>
                <w:sz w:val="21"/>
                <w:szCs w:val="21"/>
                <w:highlight w:val="none"/>
                <w:lang w:val="en-US" w:eastAsia="zh-CN" w:bidi="ar-SA"/>
              </w:rPr>
              <w:t>季添益1905期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TYG3M1905</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本理财计划在全国银行业理财信息登记系统的登记编码是〖</w:t>
            </w:r>
            <w:r>
              <w:rPr>
                <w:rFonts w:hint="eastAsia" w:ascii="宋体" w:hAnsi="宋体" w:eastAsia="宋体" w:cs="宋体"/>
                <w:color w:val="000000"/>
                <w:kern w:val="2"/>
                <w:sz w:val="21"/>
                <w:szCs w:val="21"/>
                <w:highlight w:val="none"/>
                <w:lang w:val="en-US" w:eastAsia="zh-CN" w:bidi="ar-SA"/>
              </w:rPr>
              <w:t>Z7002221000276</w:t>
            </w:r>
            <w:r>
              <w:rPr>
                <w:rFonts w:hint="eastAsia" w:ascii="宋体" w:hAnsi="宋体" w:cs="宋体"/>
                <w:color w:val="000000"/>
                <w:sz w:val="21"/>
                <w:szCs w:val="21"/>
                <w:highlight w:val="none"/>
              </w:rPr>
              <w:t>〗，投资者可依据该编码在“中国理财网（www.chinawealth.com.cn）”查询本理财计划信息。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本理财计划适合</w:t>
            </w:r>
            <w:r>
              <w:rPr>
                <w:rFonts w:hint="eastAsia" w:ascii="宋体" w:hAnsi="宋体" w:eastAsia="宋体" w:cs="宋体"/>
                <w:b/>
                <w:bCs/>
                <w:color w:val="000000"/>
                <w:kern w:val="2"/>
                <w:sz w:val="21"/>
                <w:szCs w:val="21"/>
                <w:highlight w:val="none"/>
                <w:lang w:val="en-US" w:eastAsia="zh-CN" w:bidi="ar-SA"/>
              </w:rPr>
              <w:t>〖机构投资者〗以及〖稳健型、平衡型、成长型、进取型〗的个人投资者</w:t>
            </w:r>
            <w:r>
              <w:rPr>
                <w:rFonts w:hint="eastAsia" w:ascii="宋体" w:hAnsi="宋体" w:cs="宋体"/>
                <w:b/>
                <w:color w:val="000000"/>
                <w:sz w:val="21"/>
                <w:szCs w:val="21"/>
                <w:highlight w:val="none"/>
              </w:rPr>
              <w:t>。</w:t>
            </w:r>
            <w:r>
              <w:rPr>
                <w:rFonts w:hint="eastAsia" w:ascii="宋体" w:hAnsi="宋体" w:cs="宋体"/>
                <w:bCs/>
                <w:color w:val="auto"/>
                <w:kern w:val="2"/>
                <w:sz w:val="21"/>
                <w:szCs w:val="21"/>
                <w:highlight w:val="none"/>
                <w:lang w:eastAsia="zh-CN"/>
              </w:rPr>
              <w:t>投资者风险承受能力评级水平以销售机构评估为准。</w:t>
            </w:r>
          </w:p>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其中：</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A份额（销售代码〖TYG3M1905〗）：普通个人投资者和机构客户。</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B份额（销售代码〖TYG3M1905B〗）：高净值等特邀客户专属。</w:t>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000000"/>
                <w:kern w:val="2"/>
                <w:position w:val="-1"/>
                <w:sz w:val="21"/>
                <w:u w:val="none"/>
                <w:vertAlign w:val="baseline"/>
              </w:rPr>
              <w:t>C份额（销售代码〖TYG3M1905C〗）：特定客群专属。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否</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销售机构的〖营业网点、网上银行、手机银行〗等渠道购买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eastAsia="宋体" w:cs="宋体"/>
                <w:color w:val="000000"/>
                <w:kern w:val="2"/>
                <w:sz w:val="21"/>
                <w:szCs w:val="21"/>
                <w:highlight w:val="none"/>
                <w:lang w:val="en-US" w:eastAsia="zh-CN" w:bidi="ar-SA"/>
              </w:rPr>
              <w:t>〖100〗亿元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6</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无固定期限</w:t>
            </w:r>
            <w:r>
              <w:rPr>
                <w:rFonts w:hint="eastAsia" w:ascii="宋体" w:hAnsi="宋体" w:cs="宋体"/>
                <w:color w:val="000000"/>
                <w:sz w:val="21"/>
                <w:szCs w:val="21"/>
                <w:highlight w:val="none"/>
              </w:rPr>
              <w:t>（实际理财期限受制于管理人提前终止权等条款）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封闭期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sz w:val="21"/>
                <w:szCs w:val="21"/>
                <w:highlight w:val="none"/>
              </w:rPr>
            </w:pPr>
            <w:r>
              <w:rPr>
                <w:rFonts w:hint="eastAsia" w:ascii="宋体" w:hAnsi="宋体" w:eastAsia="宋体" w:cs="宋体"/>
                <w:color w:val="000000"/>
                <w:kern w:val="2"/>
                <w:sz w:val="21"/>
                <w:szCs w:val="21"/>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〖A份额〗起点〖1〗元整，超过认购/申购起点部分，应为〖1〗元的整数倍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〖B份额〗起点〖20〗万元整，超过认购/申购起点部分，应为〖1〗元的整数倍</w:t>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val="0"/>
                <w:i w:val="0"/>
                <w:caps w:val="0"/>
                <w:strike w:val="0"/>
                <w:dstrike w:val="0"/>
                <w:shadow w:val="0"/>
                <w:emboss w:val="0"/>
                <w:imprint w:val="0"/>
                <w:color w:val="auto"/>
                <w:kern w:val="2"/>
                <w:position w:val="-1"/>
                <w:sz w:val="21"/>
                <w:u w:val="none"/>
                <w:vertAlign w:val="baseline"/>
              </w:rPr>
              <w:t>〖C份额〗起点〖1〗元整，超过认购/申购起点部分，应为〖1〗元的整数倍</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投资者全部赎回不再持有本理财计划份额后再次申购，视同首次申购处理。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认购份额=认购金额</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eastAsia="宋体" w:cs="宋体"/>
                <w:color w:val="000000"/>
                <w:kern w:val="2"/>
                <w:sz w:val="21"/>
                <w:szCs w:val="21"/>
                <w:highlight w:val="none"/>
                <w:lang w:val="en-US" w:eastAsia="zh-CN" w:bidi="ar-SA"/>
              </w:rPr>
              <w:t>〖2〗千万元</w:t>
            </w:r>
            <w:r>
              <w:rPr>
                <w:rFonts w:hint="eastAsia" w:ascii="宋体" w:hAnsi="宋体" w:cs="宋体"/>
                <w:color w:val="000000"/>
                <w:sz w:val="21"/>
                <w:szCs w:val="21"/>
                <w:highlight w:val="none"/>
              </w:rPr>
              <w:t>，则管理人可宣布本理财计划不成立并在原定理财计划成立日后</w:t>
            </w:r>
            <w:r>
              <w:rPr>
                <w:rFonts w:hint="eastAsia" w:ascii="宋体" w:hAnsi="宋体" w:cs="宋体"/>
                <w:sz w:val="21"/>
                <w:szCs w:val="21"/>
                <w:highlight w:val="none"/>
              </w:rPr>
              <w:t>〖</w:t>
            </w:r>
            <w:r>
              <w:rPr>
                <w:rFonts w:hint="eastAsia" w:ascii="宋体" w:hAnsi="宋体" w:cs="宋体"/>
                <w:color w:val="000000"/>
                <w:sz w:val="21"/>
                <w:szCs w:val="21"/>
                <w:highlight w:val="none"/>
              </w:rPr>
              <w:t>2</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理财计划</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每季</w:t>
            </w:r>
            <w:r>
              <w:rPr>
                <w:rFonts w:hint="eastAsia" w:ascii="宋体" w:hAnsi="宋体" w:cs="宋体"/>
                <w:sz w:val="21"/>
                <w:szCs w:val="21"/>
                <w:highlight w:val="none"/>
              </w:rPr>
              <w:t>〗</w:t>
            </w:r>
            <w:r>
              <w:rPr>
                <w:rFonts w:hint="eastAsia" w:ascii="宋体" w:hAnsi="宋体" w:cs="宋体"/>
                <w:sz w:val="21"/>
                <w:szCs w:val="21"/>
                <w:highlight w:val="none"/>
                <w:lang w:val="en-US" w:eastAsia="zh-CN"/>
              </w:rPr>
              <w:t>开放一次，</w:t>
            </w:r>
            <w:r>
              <w:rPr>
                <w:rFonts w:hint="eastAsia" w:ascii="宋体" w:hAnsi="宋体" w:cs="宋体"/>
                <w:sz w:val="21"/>
                <w:szCs w:val="21"/>
                <w:highlight w:val="none"/>
              </w:rPr>
              <w:t>具体开放期将以管理人公告为准。</w:t>
            </w:r>
            <w:r>
              <w:rPr>
                <w:rFonts w:hint="eastAsia" w:ascii="宋体" w:hAnsi="宋体" w:cs="宋体"/>
                <w:sz w:val="21"/>
                <w:szCs w:val="21"/>
                <w:highlight w:val="none"/>
                <w:lang w:val="en-US" w:eastAsia="zh-CN"/>
              </w:rPr>
              <w:t>首个开放期为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19</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至</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25</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首个开放确认日为</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2019</w:t>
            </w:r>
            <w:r>
              <w:rPr>
                <w:rFonts w:hint="eastAsia" w:ascii="宋体" w:hAnsi="宋体" w:cs="宋体"/>
                <w:color w:val="000000"/>
                <w:sz w:val="21"/>
                <w:szCs w:val="21"/>
                <w:highlight w:val="none"/>
              </w:rPr>
              <w:t>〗年〖</w:t>
            </w:r>
            <w:r>
              <w:rPr>
                <w:rFonts w:hint="eastAsia" w:ascii="宋体" w:hAnsi="宋体" w:eastAsia="宋体" w:cs="宋体"/>
                <w:color w:val="000000"/>
                <w:kern w:val="2"/>
                <w:sz w:val="21"/>
                <w:szCs w:val="21"/>
                <w:highlight w:val="none"/>
                <w:lang w:val="en-US" w:eastAsia="zh-CN" w:bidi="ar-SA"/>
              </w:rPr>
              <w:t>9</w:t>
            </w:r>
            <w:r>
              <w:rPr>
                <w:rFonts w:hint="eastAsia" w:ascii="宋体" w:hAnsi="宋体" w:cs="宋体"/>
                <w:color w:val="000000"/>
                <w:sz w:val="21"/>
                <w:szCs w:val="21"/>
                <w:highlight w:val="none"/>
              </w:rPr>
              <w:t>〗月〖</w:t>
            </w:r>
            <w:r>
              <w:rPr>
                <w:rFonts w:hint="eastAsia" w:ascii="宋体" w:hAnsi="宋体" w:eastAsia="宋体" w:cs="宋体"/>
                <w:color w:val="000000"/>
                <w:kern w:val="2"/>
                <w:sz w:val="21"/>
                <w:szCs w:val="21"/>
                <w:highlight w:val="none"/>
                <w:lang w:val="en-US" w:eastAsia="zh-CN" w:bidi="ar-SA"/>
              </w:rPr>
              <w:t>26</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eastAsia="zh-CN"/>
              </w:rPr>
              <w:t>。</w:t>
            </w:r>
            <w:r>
              <w:rPr>
                <w:rFonts w:hint="eastAsia" w:ascii="宋体" w:hAnsi="宋体" w:cs="宋体"/>
                <w:color w:val="000000"/>
                <w:sz w:val="21"/>
                <w:szCs w:val="21"/>
                <w:highlight w:val="none"/>
                <w:lang w:val="en-US" w:eastAsia="zh-CN"/>
              </w:rPr>
              <w:t>如遇开放确认日为非工作日，则顺延至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FF0000"/>
                <w:sz w:val="21"/>
                <w:szCs w:val="21"/>
                <w:highlight w:val="none"/>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申请将在确认日，即开放期后的第〖1〗个〖</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r>
              <w:rPr>
                <w:rFonts w:hint="eastAsia" w:ascii="宋体" w:hAnsi="宋体" w:cs="宋体"/>
                <w:bCs/>
                <w:color w:val="000000"/>
                <w:sz w:val="21"/>
                <w:szCs w:val="21"/>
                <w:highlight w:val="none"/>
              </w:rPr>
              <w:t>进行确认。</w:t>
            </w:r>
            <w:r>
              <w:rPr>
                <w:rFonts w:hint="eastAsia" w:ascii="宋体" w:hAnsi="宋体" w:cs="宋体"/>
                <w:color w:val="000000"/>
                <w:sz w:val="21"/>
                <w:szCs w:val="21"/>
                <w:highlight w:val="none"/>
              </w:rPr>
              <w:t>确认日如遇非〖</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〗，则顺延至〖下一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上午〖9:00〗至下午〖17:00〗。确认日如遇非</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w:t>
            </w:r>
            <w:r>
              <w:rPr>
                <w:rFonts w:hint="eastAsia" w:ascii="宋体" w:hAnsi="宋体" w:eastAsia="宋体" w:cs="宋体"/>
                <w:color w:val="000000"/>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default"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3.认购/开放期内提交的交易申请，在理财计划成立日/确认日前一日下午</w:t>
            </w:r>
            <w:r>
              <w:rPr>
                <w:rFonts w:hint="eastAsia" w:ascii="宋体" w:hAnsi="宋体" w:cs="宋体"/>
                <w:color w:val="000000"/>
                <w:sz w:val="21"/>
                <w:szCs w:val="21"/>
                <w:highlight w:val="none"/>
              </w:rPr>
              <w:t>〖17:00〗</w:t>
            </w:r>
            <w:r>
              <w:rPr>
                <w:rFonts w:hint="eastAsia" w:ascii="宋体" w:hAnsi="宋体" w:cs="宋体"/>
                <w:color w:val="000000"/>
                <w:kern w:val="0"/>
                <w:sz w:val="21"/>
                <w:szCs w:val="21"/>
                <w:highlight w:val="none"/>
                <w:lang w:val="en-US" w:eastAsia="zh-CN"/>
              </w:rPr>
              <w:t>之前可以撤单。</w:t>
            </w:r>
            <w:r>
              <w:rPr>
                <w:rFonts w:hint="eastAsia" w:ascii="宋体" w:hAnsi="宋体" w:cs="宋体"/>
                <w:color w:val="000000"/>
                <w:kern w:val="0"/>
                <w:sz w:val="21"/>
                <w:szCs w:val="21"/>
                <w:highlight w:val="none"/>
              </w:rPr>
              <w:t>（具体以销售机构规定为准）</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5.如投资者在一个投资周期开放期内未提出赎回申请，则该投资周期终止后，投资者的理财资金继续进入下一个投资周期进行理财运作。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rPr>
            </w:pPr>
            <w:r>
              <w:rPr>
                <w:rFonts w:hint="eastAsia" w:ascii="宋体" w:hAnsi="宋体" w:cs="宋体"/>
                <w:color w:val="000000"/>
                <w:sz w:val="21"/>
                <w:szCs w:val="21"/>
                <w:highlight w:val="none"/>
                <w:lang w:val="en-US" w:eastAsia="zh-CN"/>
              </w:rPr>
              <w:t>1.单户持有份额</w:t>
            </w:r>
            <w:r>
              <w:rPr>
                <w:rFonts w:hint="eastAsia" w:ascii="宋体" w:hAnsi="宋体" w:cs="宋体"/>
                <w:color w:val="000000"/>
                <w:sz w:val="21"/>
                <w:szCs w:val="21"/>
                <w:highlight w:val="none"/>
              </w:rPr>
              <w:t>〖</w:t>
            </w:r>
            <w:r>
              <w:rPr>
                <w:rFonts w:hint="eastAsia"/>
                <w:color w:val="000000"/>
                <w:lang w:eastAsia="zh"/>
              </w:rPr>
              <w:t>b</w:t>
            </w:r>
            <w:r>
              <w:rPr>
                <w:rFonts w:hint="eastAsia" w:ascii="宋体" w:hAnsi="宋体" w:cs="宋体"/>
                <w:color w:val="000000"/>
                <w:sz w:val="21"/>
                <w:szCs w:val="21"/>
                <w:highlight w:val="none"/>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a.可以超过理财计划总份额的50%，但理财计划不得向个人投资者公开销售。</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color w:val="000000"/>
                <w:sz w:val="21"/>
                <w:szCs w:val="21"/>
                <w:highlight w:val="none"/>
                <w:lang w:val="en-US" w:eastAsia="zh-CN"/>
              </w:rPr>
            </w:pPr>
            <w:r>
              <w:rPr>
                <w:rFonts w:hint="eastAsia" w:ascii="宋体" w:hAnsi="宋体" w:cs="宋体"/>
                <w:bCs/>
                <w:color w:val="000000"/>
                <w:sz w:val="21"/>
                <w:szCs w:val="21"/>
                <w:highlight w:val="none"/>
                <w:lang w:val="en-US" w:eastAsia="zh-CN"/>
              </w:rPr>
              <w:t>b.不得超过理财计划总份额的50%。</w:t>
            </w:r>
          </w:p>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kern w:val="2"/>
                <w:sz w:val="21"/>
                <w:szCs w:val="21"/>
                <w:highlight w:val="none"/>
                <w:lang w:val="en-US" w:eastAsia="zh" w:bidi="ar-SA"/>
              </w:rPr>
            </w:pPr>
            <w:r>
              <w:rPr>
                <w:rFonts w:hint="eastAsia" w:ascii="宋体" w:hAnsi="宋体" w:cs="宋体"/>
                <w:color w:val="000000"/>
                <w:sz w:val="21"/>
                <w:szCs w:val="21"/>
                <w:highlight w:val="none"/>
                <w:lang w:val="en-US" w:eastAsia="zh-CN"/>
              </w:rPr>
              <w:t>2.</w:t>
            </w:r>
            <w:r>
              <w:rPr>
                <w:rFonts w:hint="eastAsia" w:ascii="宋体" w:hAnsi="宋体" w:eastAsia="宋体" w:cs="宋体"/>
                <w:color w:val="000000"/>
                <w:kern w:val="2"/>
                <w:sz w:val="21"/>
                <w:szCs w:val="21"/>
                <w:highlight w:val="none"/>
                <w:lang w:val="en-US" w:eastAsia="zh-CN" w:bidi="ar-SA"/>
              </w:rPr>
              <w:t>〖A份额〗单户持有上限为〖1〗亿元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〖B份额〗单户持有上限为〖1〗亿元</w:t>
            </w:r>
            <w:r>
              <w:rPr>
                <w:rFonts w:hint="eastAsia" w:ascii="宋体" w:hAnsi="宋体" w:eastAsia="宋体" w:cs="宋体"/>
                <w:color w:val="000000"/>
                <w:kern w:val="2"/>
                <w:sz w:val="21"/>
                <w:szCs w:val="21"/>
                <w:highlight w:val="none"/>
                <w:lang w:val="en-US" w:eastAsia="zh-CN" w:bidi="ar-SA"/>
              </w:rPr>
              <w:br w:type="textWrapping"/>
            </w:r>
            <w:r>
              <w:rPr>
                <w:rFonts w:hint="eastAsia" w:ascii="宋体" w:hAnsi="宋体" w:eastAsia="宋体" w:cs="宋体"/>
                <w:color w:val="000000"/>
                <w:kern w:val="2"/>
                <w:sz w:val="21"/>
                <w:szCs w:val="21"/>
                <w:highlight w:val="none"/>
                <w:lang w:val="en-US" w:eastAsia="zh-CN" w:bidi="ar-SA"/>
              </w:rPr>
              <w:t>〖C份额〗单户持有上限为〖1〗亿元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w:t>
            </w:r>
            <w:r>
              <w:rPr>
                <w:rFonts w:hint="eastAsia" w:ascii="宋体" w:hAnsi="宋体" w:cs="宋体"/>
                <w:bCs/>
                <w:color w:val="000000"/>
                <w:sz w:val="21"/>
                <w:szCs w:val="21"/>
                <w:highlight w:val="none"/>
              </w:rPr>
              <w:t>÷</w:t>
            </w:r>
            <w:r>
              <w:rPr>
                <w:rFonts w:hint="eastAsia" w:ascii="宋体" w:hAnsi="宋体" w:cs="宋体"/>
                <w:bCs/>
                <w:sz w:val="21"/>
                <w:szCs w:val="21"/>
                <w:highlight w:val="none"/>
              </w:rPr>
              <w:t>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工作日</w:t>
            </w:r>
            <w:r>
              <w:rPr>
                <w:rFonts w:hint="eastAsia" w:ascii="宋体" w:hAnsi="宋体" w:cs="宋体"/>
                <w:sz w:val="21"/>
                <w:szCs w:val="21"/>
                <w:highlight w:val="none"/>
              </w:rPr>
              <w:t>〗</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eastAsia="宋体" w:cs="宋体"/>
                <w:color w:val="000000"/>
                <w:sz w:val="21"/>
                <w:szCs w:val="21"/>
                <w:highlight w:val="none"/>
                <w:lang w:eastAsia="zh"/>
              </w:rPr>
            </w:pPr>
            <w:r>
              <w:rPr>
                <w:rFonts w:hint="eastAsia" w:ascii="宋体" w:hAnsi="宋体" w:cs="宋体"/>
                <w:color w:val="000000"/>
                <w:sz w:val="21"/>
                <w:szCs w:val="21"/>
                <w:highlight w:val="none"/>
              </w:rPr>
              <w:t>单位净值=理财计划估值日理财计划总净值</w:t>
            </w:r>
            <w:r>
              <w:rPr>
                <w:rFonts w:hint="eastAsia" w:ascii="宋体" w:hAnsi="宋体" w:cs="宋体"/>
                <w:bCs/>
                <w:color w:val="000000"/>
                <w:sz w:val="21"/>
                <w:szCs w:val="21"/>
                <w:highlight w:val="none"/>
              </w:rPr>
              <w:t>÷</w:t>
            </w:r>
            <w:r>
              <w:rPr>
                <w:rFonts w:hint="eastAsia" w:ascii="宋体" w:hAnsi="宋体" w:cs="宋体"/>
                <w:color w:val="000000"/>
                <w:sz w:val="21"/>
                <w:szCs w:val="21"/>
                <w:highlight w:val="none"/>
              </w:rPr>
              <w:t>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保留小数点后四位</w:t>
            </w: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四位后去尾</w:t>
            </w: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
              </w:rPr>
              <w:t>。</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eastAsia="宋体" w:cs="宋体"/>
                <w:color w:val="000000"/>
                <w:kern w:val="2"/>
                <w:sz w:val="21"/>
                <w:szCs w:val="21"/>
                <w:highlight w:val="none"/>
                <w:lang w:val="en-US" w:eastAsia="zh-CN" w:bidi="ar-SA"/>
              </w:rPr>
              <w:t>〖确认日当日〗</w:t>
            </w:r>
            <w:r>
              <w:rPr>
                <w:rFonts w:hint="eastAsia" w:ascii="宋体" w:hAnsi="宋体" w:cs="宋体"/>
                <w:color w:val="000000"/>
                <w:sz w:val="21"/>
                <w:szCs w:val="21"/>
                <w:highlight w:val="none"/>
              </w:rPr>
              <w:t>，最晚</w:t>
            </w:r>
            <w:r>
              <w:rPr>
                <w:rFonts w:hint="eastAsia" w:ascii="宋体" w:hAnsi="宋体" w:eastAsia="宋体" w:cs="宋体"/>
                <w:color w:val="000000"/>
                <w:kern w:val="2"/>
                <w:sz w:val="21"/>
                <w:szCs w:val="21"/>
                <w:highlight w:val="none"/>
                <w:lang w:val="en-US" w:eastAsia="zh-CN" w:bidi="ar-SA"/>
              </w:rPr>
              <w:t>确认日后〖2〗个〖工作日〗内</w:t>
            </w:r>
            <w:r>
              <w:rPr>
                <w:rFonts w:hint="eastAsia" w:ascii="宋体" w:hAnsi="宋体" w:cs="宋体"/>
                <w:color w:val="000000"/>
                <w:sz w:val="21"/>
                <w:szCs w:val="21"/>
                <w:highlight w:val="none"/>
              </w:rPr>
              <w:t>（遇节假日顺延）支付。如遇资金在途或法定工作日调整，实际资金到账日以公告为准。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keepNext w:val="0"/>
              <w:keepLines w:val="0"/>
              <w:widowControl w:val="0"/>
              <w:suppressLineNumbers w:val="0"/>
              <w:spacing w:before="0" w:beforeAutospacing="0" w:after="0" w:afterAutospacing="0" w:line="360" w:lineRule="auto"/>
              <w:ind w:left="0" w:right="0"/>
              <w:contextualSpacing/>
              <w:jc w:val="both"/>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w:t>
            </w:r>
            <w:r>
              <w:rPr>
                <w:rFonts w:hint="eastAsia" w:ascii="宋体" w:hAnsi="宋体" w:cs="宋体"/>
                <w:color w:val="000000"/>
                <w:sz w:val="21"/>
                <w:szCs w:val="21"/>
                <w:highlight w:val="none"/>
                <w:lang w:eastAsia="zh-CN"/>
              </w:rPr>
              <w:t>确认</w:t>
            </w:r>
            <w:r>
              <w:rPr>
                <w:rFonts w:hint="eastAsia" w:ascii="宋体" w:hAnsi="宋体" w:cs="宋体"/>
                <w:color w:val="000000"/>
                <w:sz w:val="21"/>
                <w:szCs w:val="21"/>
                <w:highlight w:val="none"/>
              </w:rPr>
              <w:t>后，最快</w:t>
            </w:r>
            <w:r>
              <w:rPr>
                <w:rFonts w:hint="eastAsia" w:ascii="宋体" w:hAnsi="宋体" w:eastAsia="宋体" w:cs="宋体"/>
                <w:kern w:val="2"/>
                <w:sz w:val="21"/>
                <w:szCs w:val="21"/>
                <w:lang w:val="en-US" w:eastAsia="zh-CN" w:bidi="ar"/>
              </w:rPr>
              <w:t>〖1〗</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，最晚</w:t>
            </w:r>
            <w:r>
              <w:rPr>
                <w:rFonts w:hint="eastAsia" w:ascii="宋体" w:hAnsi="宋体" w:eastAsia="宋体" w:cs="宋体"/>
                <w:kern w:val="2"/>
                <w:sz w:val="21"/>
                <w:szCs w:val="21"/>
                <w:lang w:val="en-US" w:eastAsia="zh-CN" w:bidi="ar"/>
              </w:rPr>
              <w:t>〖3〗</w:t>
            </w:r>
            <w:r>
              <w:rPr>
                <w:rFonts w:hint="eastAsia" w:ascii="宋体" w:hAnsi="宋体" w:eastAsia="宋体" w:cs="宋体"/>
                <w:color w:val="000000"/>
                <w:kern w:val="2"/>
                <w:sz w:val="21"/>
                <w:szCs w:val="21"/>
                <w:lang w:val="en-US" w:eastAsia="zh-CN" w:bidi="ar"/>
              </w:rPr>
              <w:t>个</w:t>
            </w:r>
            <w:r>
              <w:rPr>
                <w:rFonts w:hint="eastAsia" w:ascii="宋体" w:hAnsi="宋体" w:eastAsia="宋体" w:cs="宋体"/>
                <w:kern w:val="2"/>
                <w:sz w:val="21"/>
                <w:szCs w:val="21"/>
                <w:lang w:val="en-US" w:eastAsia="zh-CN" w:bidi="ar"/>
              </w:rPr>
              <w:t>〖工作日〗</w:t>
            </w:r>
            <w:r>
              <w:rPr>
                <w:rFonts w:hint="eastAsia" w:ascii="宋体" w:hAnsi="宋体" w:cs="宋体"/>
                <w:color w:val="000000"/>
                <w:sz w:val="21"/>
                <w:szCs w:val="21"/>
                <w:highlight w:val="none"/>
              </w:rPr>
              <w:t>内（遇节假日顺延）支付。如遇资金在途或法定工作日调整，实际资金到账日以公告为准。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default"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default"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在满足收益分配基准日理财计划份额净值大于1元的情况下，管理人将</w:t>
            </w:r>
            <w:r>
              <w:rPr>
                <w:rFonts w:hint="eastAsia" w:ascii="宋体" w:hAnsi="宋体" w:cs="宋体"/>
                <w:sz w:val="21"/>
                <w:szCs w:val="21"/>
                <w:highlight w:val="none"/>
              </w:rPr>
              <w:t>〖</w:t>
            </w:r>
            <w:r>
              <w:rPr>
                <w:rFonts w:hint="eastAsia" w:ascii="宋体" w:hAnsi="宋体" w:cs="宋体"/>
                <w:color w:val="000000"/>
                <w:sz w:val="21"/>
                <w:szCs w:val="21"/>
                <w:highlight w:val="none"/>
                <w:lang w:eastAsia="zh"/>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keepNext w:val="0"/>
              <w:keepLines w:val="0"/>
              <w:pageBreakBefore w:val="0"/>
              <w:suppressLineNumbers w:val="0"/>
              <w:spacing w:before="0" w:beforeAutospacing="0" w:after="0" w:afterAutospacing="0" w:line="360" w:lineRule="auto"/>
              <w:ind w:left="0" w:right="0" w:hanging="1"/>
              <w:jc w:val="left"/>
              <w:textAlignment w:val="auto"/>
              <w:rPr>
                <w:rFonts w:hint="default"/>
              </w:rPr>
            </w:pP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本理财计划〖A份额〗业绩比较基准为〖中国人民银行公布的1年期定期存款利率〗（年化）。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本理财计划〖B份额〗业绩比较基准为〖中国人民银行公布的1年期定期存款利率〗（年化）。</w:t>
            </w:r>
            <w:r>
              <w:rPr>
                <w:rFonts w:hint="default" w:ascii="宋体" w:hAnsi="宋体" w:eastAsia="宋体" w:cs="宋体"/>
                <w:b/>
                <w:i w:val="0"/>
                <w:caps w:val="0"/>
                <w:strike w:val="0"/>
                <w:dstrike w:val="0"/>
                <w:shadow w:val="0"/>
                <w:emboss w:val="0"/>
                <w:imprint w:val="0"/>
                <w:color w:val="auto"/>
                <w:kern w:val="2"/>
                <w:position w:val="-1"/>
                <w:sz w:val="21"/>
                <w:u w:val="none"/>
                <w:vertAlign w:val="baseline"/>
              </w:rPr>
              <w:br w:type="textWrapping"/>
            </w:r>
            <w:r>
              <w:rPr>
                <w:rFonts w:hint="default" w:ascii="宋体" w:hAnsi="宋体" w:eastAsia="宋体" w:cs="宋体"/>
                <w:b/>
                <w:i w:val="0"/>
                <w:caps w:val="0"/>
                <w:strike w:val="0"/>
                <w:dstrike w:val="0"/>
                <w:shadow w:val="0"/>
                <w:emboss w:val="0"/>
                <w:imprint w:val="0"/>
                <w:color w:val="auto"/>
                <w:kern w:val="2"/>
                <w:position w:val="-1"/>
                <w:sz w:val="21"/>
                <w:u w:val="none"/>
                <w:vertAlign w:val="baseline"/>
              </w:rPr>
              <w:t>本理财计划〖C份额〗业绩比较基准为〖中国人民银行公布的1年期定期存款利率〗（年化）。</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b/>
                <w:bCs/>
                <w:color w:val="FF0000"/>
                <w:sz w:val="21"/>
                <w:szCs w:val="21"/>
                <w:highlight w:val="none"/>
              </w:rPr>
            </w:pPr>
            <w:r>
              <w:rPr>
                <w:rFonts w:hint="eastAsia" w:ascii="宋体" w:hAnsi="宋体" w:cs="宋体"/>
                <w:b/>
                <w:bCs/>
                <w:color w:val="000000"/>
                <w:sz w:val="21"/>
                <w:szCs w:val="21"/>
                <w:highlight w:val="none"/>
              </w:rPr>
              <w:t>业绩基准测算依据：</w:t>
            </w:r>
            <w:r>
              <w:rPr>
                <w:rFonts w:hint="eastAsia" w:ascii="宋体" w:hAnsi="宋体" w:eastAsia="宋体" w:cs="宋体"/>
                <w:b/>
                <w:bCs/>
                <w:kern w:val="2"/>
                <w:sz w:val="21"/>
                <w:szCs w:val="21"/>
                <w:lang w:val="en-US" w:eastAsia="zh-CN" w:bidi="ar"/>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r>
              <w:rPr>
                <w:rFonts w:hint="eastAsia" w:ascii="宋体" w:hAnsi="宋体" w:cs="宋体"/>
                <w:b/>
                <w:bCs/>
                <w:color w:val="000000"/>
                <w:sz w:val="21"/>
                <w:szCs w:val="21"/>
                <w:highlight w:val="none"/>
              </w:rPr>
              <w:t>。</w:t>
            </w:r>
          </w:p>
          <w:p>
            <w:pPr>
              <w:keepNext w:val="0"/>
              <w:keepLines w:val="0"/>
              <w:widowControl/>
              <w:suppressLineNumbers w:val="0"/>
              <w:spacing w:before="0" w:beforeAutospacing="0" w:after="0" w:afterAutospacing="0" w:line="360" w:lineRule="auto"/>
              <w:ind w:left="0" w:right="0"/>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color w:val="000000"/>
                <w:kern w:val="0"/>
                <w:sz w:val="21"/>
                <w:szCs w:val="21"/>
                <w:highlight w:val="none"/>
                <w:lang w:val="en-US" w:eastAsia="zh-CN"/>
              </w:rPr>
              <w:t>2</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本理财计划为净值型理财产品，其业绩表现将随市场波动具有不确定性。本公司提醒投资者关注，业绩比较基准</w:t>
            </w:r>
            <w:r>
              <w:rPr>
                <w:rFonts w:hint="eastAsia" w:ascii="宋体" w:hAnsi="宋体" w:cs="宋体"/>
                <w:b/>
                <w:sz w:val="21"/>
                <w:szCs w:val="21"/>
                <w:highlight w:val="none"/>
                <w:lang w:eastAsia="zh-CN"/>
              </w:rPr>
              <w:t>不是预期收益率，</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eastAsia="宋体" w:cs="宋体"/>
                <w:color w:val="000000"/>
                <w:kern w:val="2"/>
                <w:sz w:val="21"/>
                <w:szCs w:val="21"/>
                <w:highlight w:val="none"/>
                <w:lang w:val="en-US" w:eastAsia="zh-CN" w:bidi="ar-SA"/>
              </w:rPr>
              <w:t>〖A份额〗收取年化〖0.30%〗的销售服务费, 〖B份额〗收取年化〖0.25%〗的销售服务费, 〖C份额〗收取年化〖0.20%〗的销售服务费。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eastAsia="宋体" w:cs="宋体"/>
                <w:kern w:val="2"/>
                <w:sz w:val="21"/>
                <w:szCs w:val="21"/>
                <w:highlight w:val="none"/>
                <w:lang w:val="en-US" w:eastAsia="zh-CN" w:bidi="ar-SA"/>
              </w:rPr>
              <w:t>0.025</w:t>
            </w:r>
            <w:r>
              <w:rPr>
                <w:rFonts w:hint="eastAsia" w:ascii="宋体" w:hAnsi="宋体" w:cs="宋体"/>
                <w:sz w:val="21"/>
                <w:szCs w:val="21"/>
                <w:highlight w:val="none"/>
                <w:lang w:eastAsia="zh"/>
              </w:rPr>
              <w:t>%</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3.固定管理费：</w:t>
            </w:r>
            <w:r>
              <w:rPr>
                <w:rFonts w:hint="eastAsia" w:ascii="宋体" w:hAnsi="宋体" w:eastAsia="宋体" w:cs="宋体"/>
                <w:color w:val="000000"/>
                <w:kern w:val="2"/>
                <w:sz w:val="21"/>
                <w:szCs w:val="21"/>
                <w:highlight w:val="none"/>
                <w:lang w:val="en-US" w:eastAsia="zh-CN" w:bidi="ar-SA"/>
              </w:rPr>
              <w:t>〖A份额〗收取年化〖0.30%〗的固定管理费, 〖B份额〗收取年化〖0.30%〗的固定管理费, 〖C份额〗收取年化〖0.30%〗的固定管理费。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4.认购费：本理财计划免除认购费。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keepNext w:val="0"/>
              <w:keepLines w:val="0"/>
              <w:widowControl/>
              <w:suppressLineNumbers w:val="0"/>
              <w:spacing w:before="0" w:beforeAutospacing="0" w:after="0" w:afterAutospacing="0" w:line="360" w:lineRule="auto"/>
              <w:ind w:left="0" w:right="0"/>
              <w:contextualSpacing/>
              <w:rPr>
                <w:rFonts w:hint="default"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w:t>
            </w:r>
            <w:r>
              <w:rPr>
                <w:rFonts w:hint="eastAsia" w:ascii="宋体" w:hAnsi="宋体" w:cs="宋体"/>
                <w:color w:val="000000"/>
                <w:sz w:val="21"/>
                <w:szCs w:val="21"/>
                <w:highlight w:val="none"/>
                <w:lang w:eastAsia="zh-CN"/>
              </w:rPr>
              <w:t>：</w:t>
            </w:r>
            <w:r>
              <w:rPr>
                <w:rFonts w:hint="eastAsia" w:ascii="宋体" w:hAnsi="宋体" w:eastAsia="宋体" w:cs="宋体"/>
                <w:color w:val="000000"/>
                <w:kern w:val="2"/>
                <w:sz w:val="21"/>
                <w:szCs w:val="21"/>
                <w:highlight w:val="none"/>
                <w:lang w:val="en-US" w:eastAsia="zh-CN" w:bidi="ar-SA"/>
              </w:rPr>
              <w:t>管理人根据理财计划投资情况计算浮动管理费，〖A份额〗投资周期的折合年化收益率超过〖2.25%〗的部分，管理人提取〖50%〗作为浮动管理费；〖B份额〗投资周期的折合年化收益率超过〖2.3%〗的部分，管理人提取〖50%〗作为浮动管理费；〖C份额〗投资周期的折合年化收益率超过〖2.35%〗的部分，管理人提取〖50%〗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keepNext w:val="0"/>
              <w:keepLines w:val="0"/>
              <w:widowControl/>
              <w:suppressLineNumbers w:val="0"/>
              <w:spacing w:before="0" w:beforeAutospacing="0" w:after="0" w:afterAutospacing="0" w:line="360" w:lineRule="auto"/>
              <w:ind w:left="0" w:right="0"/>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keepNext w:val="0"/>
              <w:keepLines w:val="0"/>
              <w:suppressLineNumbers w:val="0"/>
              <w:spacing w:before="0" w:beforeAutospacing="0" w:after="0" w:afterAutospacing="0" w:line="360" w:lineRule="auto"/>
              <w:ind w:left="0" w:right="0"/>
              <w:outlineLvl w:val="9"/>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keepNext w:val="0"/>
              <w:keepLines w:val="0"/>
              <w:widowControl/>
              <w:suppressLineNumbers w:val="0"/>
              <w:spacing w:before="0" w:beforeAutospacing="0" w:after="0" w:afterAutospacing="0" w:line="360" w:lineRule="auto"/>
              <w:ind w:left="0" w:right="0"/>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keepNext w:val="0"/>
              <w:keepLines w:val="0"/>
              <w:suppressLineNumbers w:val="0"/>
              <w:spacing w:before="0" w:beforeAutospacing="0" w:after="0" w:afterAutospacing="0" w:line="360" w:lineRule="auto"/>
              <w:ind w:left="0" w:right="0"/>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spacing w:before="0" w:beforeAutospacing="0" w:after="0" w:afterAutospacing="0" w:line="360" w:lineRule="auto"/>
              <w:ind w:left="0" w:right="0"/>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认购期内按照活期存款利率计息，认购期内的利息不计入认购本金份额。到期日（或理财计划实际终止日）到理财资金返还到账日为清算期，清算期内不计付利息。</w:t>
            </w:r>
            <w:r>
              <w:rPr>
                <w:rFonts w:hint="eastAsia" w:ascii="宋体" w:hAnsi="宋体" w:cs="宋体"/>
                <w:color w:val="000000"/>
                <w:kern w:val="0"/>
                <w:sz w:val="21"/>
                <w:szCs w:val="21"/>
                <w:highlight w:val="none"/>
              </w:rPr>
              <w:t>（具体以销售机构规定为准）</w:t>
            </w:r>
          </w:p>
          <w:p>
            <w:pPr>
              <w:keepNext w:val="0"/>
              <w:keepLines w:val="0"/>
              <w:suppressLineNumbers w:val="0"/>
              <w:spacing w:before="0" w:beforeAutospacing="0" w:after="0" w:afterAutospacing="0" w:line="360" w:lineRule="auto"/>
              <w:ind w:left="0" w:right="0"/>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0"/>
        </w:numPr>
        <w:spacing w:line="360" w:lineRule="auto"/>
        <w:ind w:leftChars="0" w:firstLine="480" w:firstLineChars="200"/>
        <w:outlineLvl w:val="9"/>
        <w:rPr>
          <w:rFonts w:hint="eastAsia" w:ascii="宋体" w:hAnsi="宋体" w:cs="宋体"/>
          <w:b/>
          <w:color w:val="000000"/>
          <w:sz w:val="24"/>
          <w:highlight w:val="none"/>
        </w:rPr>
      </w:pPr>
      <w:r>
        <w:rPr>
          <w:rFonts w:hint="eastAsia" w:ascii="宋体" w:hAnsi="宋体" w:eastAsia="宋体" w:cs="宋体"/>
          <w:bCs/>
          <w:color w:val="auto"/>
          <w:kern w:val="2"/>
          <w:sz w:val="24"/>
          <w:szCs w:val="24"/>
          <w:highlight w:val="none"/>
          <w:lang w:val="en-US" w:eastAsia="zh-CN" w:bidi="ar-SA"/>
        </w:rPr>
        <w:t>本理财计划自成立日起〖1个月〗为建仓期，管理人应当在建仓期结束前使各项投资比例符合约定。</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pageBreakBefore w:val="0"/>
        <w:spacing w:line="360" w:lineRule="auto"/>
        <w:ind w:left="-1" w:right="-1" w:firstLine="480"/>
        <w:jc w:val="left"/>
        <w:textAlignment w:val="auto"/>
      </w:pPr>
      <w:r>
        <w:rPr>
          <w:rFonts w:ascii="宋体" w:hAnsi="宋体" w:eastAsia="宋体" w:cs="宋体"/>
          <w:b w:val="0"/>
          <w:i w:val="0"/>
          <w:caps w:val="0"/>
          <w:strike w:val="0"/>
          <w:dstrike w:val="0"/>
          <w:shadow w:val="0"/>
          <w:emboss w:val="0"/>
          <w:imprint w:val="0"/>
          <w:color w:val="auto"/>
          <w:kern w:val="2"/>
          <w:position w:val="-1"/>
          <w:sz w:val="24"/>
          <w:u w:val="none"/>
          <w:vertAlign w:val="baseline"/>
        </w:rPr>
        <w:t>1. 固定收益类资产：包括但不限于各类债券、存款、货币市场金融工具、债券基金、质押式及买断式回购，其他符合监管要求的固定收益类资产及资产管理产品。</w:t>
      </w:r>
      <w:r>
        <w:rPr>
          <w:rFonts w:ascii="宋体" w:hAnsi="宋体" w:eastAsia="宋体" w:cs="宋体"/>
          <w:b w:val="0"/>
          <w:i w:val="0"/>
          <w:caps w:val="0"/>
          <w:strike w:val="0"/>
          <w:dstrike w:val="0"/>
          <w:shadow w:val="0"/>
          <w:emboss w:val="0"/>
          <w:imprint w:val="0"/>
          <w:color w:val="auto"/>
          <w:kern w:val="2"/>
          <w:position w:val="-1"/>
          <w:sz w:val="24"/>
          <w:u w:val="none"/>
          <w:vertAlign w:val="baseline"/>
        </w:rPr>
        <w:br w:type="textWrapping"/>
      </w:r>
      <w:r>
        <w:rPr>
          <w:rFonts w:ascii="宋体" w:hAnsi="宋体" w:eastAsia="宋体" w:cs="宋体"/>
          <w:b w:val="0"/>
          <w:i w:val="0"/>
          <w:caps w:val="0"/>
          <w:strike w:val="0"/>
          <w:dstrike w:val="0"/>
          <w:shadow w:val="0"/>
          <w:emboss w:val="0"/>
          <w:imprint w:val="0"/>
          <w:color w:val="auto"/>
          <w:kern w:val="2"/>
          <w:position w:val="-1"/>
          <w:sz w:val="24"/>
          <w:u w:val="none"/>
          <w:vertAlign w:val="baseline"/>
        </w:rPr>
        <w:t xml:space="preserve">    2. 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eastAsia="zh-CN"/>
        </w:rPr>
        <w:t>总</w:t>
      </w:r>
      <w:r>
        <w:rPr>
          <w:rFonts w:hint="eastAsia" w:ascii="宋体" w:hAnsi="宋体" w:cs="宋体"/>
          <w:bCs/>
          <w:sz w:val="24"/>
          <w:highlight w:val="none"/>
        </w:rPr>
        <w:t>资产的配置比例如下：</w:t>
      </w:r>
    </w:p>
    <w:tbl>
      <w:tblPr>
        <w:tblStyle w:val="11"/>
        <w:tblW w:w="8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00"/>
        <w:gridCol w:w="4500"/>
        <w:gridCol w:w="2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投资资产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restart"/>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固定收益类资产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2000" w:type="dxa"/>
            <w:vMerge w:val="continue"/>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大类资产类型</w:t>
            </w:r>
          </w:p>
        </w:tc>
        <w:tc>
          <w:tcPr>
            <w:tcW w:w="45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权益类资产</w:t>
            </w:r>
          </w:p>
        </w:tc>
        <w:tc>
          <w:tcPr>
            <w:tcW w:w="2000" w:type="dxa"/>
            <w:vAlign w:val="center"/>
          </w:tcPr>
          <w:p>
            <w:pPr>
              <w:keepNext w:val="0"/>
              <w:keepLines w:val="0"/>
              <w:suppressLineNumbers w:val="0"/>
              <w:spacing w:before="0" w:beforeAutospacing="0" w:after="0" w:afterAutospacing="0"/>
              <w:ind w:left="0" w:right="0"/>
              <w:jc w:val="center"/>
              <w:textAlignment w:val="center"/>
              <w:rPr>
                <w:rFonts w:hint="default"/>
              </w:rPr>
            </w:pPr>
            <w:r>
              <w:rPr>
                <w:rFonts w:hint="default" w:ascii="宋体" w:hAnsi="宋体" w:eastAsia="宋体" w:cs="宋体"/>
              </w:rPr>
              <w:t>0%-20%</w:t>
            </w:r>
          </w:p>
        </w:tc>
      </w:tr>
    </w:tbl>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本理财计划特殊资产类型为基于大类资产类型项下的进一步细化分类，其配置比例不得超过大类资产配置比例。</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在</w:t>
      </w:r>
      <w:r>
        <w:rPr>
          <w:rFonts w:hint="eastAsia" w:ascii="宋体" w:hAnsi="宋体" w:cs="宋体"/>
          <w:bCs/>
          <w:color w:val="auto"/>
          <w:kern w:val="2"/>
          <w:highlight w:val="none"/>
        </w:rPr>
        <w:t>理财计划存续期间如遇市场变化导致各类投资品投资比例暂时超出以上范围，为保护投资者利益，管理人将在流动性受限资产可出售、可转让或者恢复交易的15个交易日内调整至上述比例范围。</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当出现金融市场发生重大变化、理财计划出现大比例规模变化等情况，为保护投资者利益，管理人有权根据市场情况超出约定比例范围投资较低风险资产。</w:t>
      </w:r>
    </w:p>
    <w:p>
      <w:pPr>
        <w:pStyle w:val="20"/>
        <w:numPr>
          <w:ilvl w:val="0"/>
          <w:numId w:val="13"/>
        </w:numPr>
        <w:adjustRightInd/>
        <w:spacing w:line="360" w:lineRule="auto"/>
        <w:ind w:firstLine="456" w:firstLineChars="190"/>
        <w:rPr>
          <w:rFonts w:hint="eastAsia" w:ascii="宋体" w:hAnsi="宋体" w:cs="宋体"/>
          <w:bCs/>
          <w:color w:val="auto"/>
          <w:kern w:val="2"/>
          <w:highlight w:val="none"/>
          <w:lang w:val="en-US" w:eastAsia="zh-CN"/>
        </w:rPr>
      </w:pPr>
      <w:r>
        <w:rPr>
          <w:rFonts w:hint="eastAsia" w:ascii="宋体" w:hAnsi="宋体" w:cs="宋体"/>
          <w:bCs/>
          <w:color w:val="auto"/>
          <w:kern w:val="2"/>
          <w:highlight w:val="none"/>
          <w:lang w:val="en-US" w:eastAsia="zh-CN"/>
        </w:rPr>
        <w:t>本理财计划存在投资退出期，投资退出期至理财计划到期终止期间，为保障投资管理平稳运作，投资组合比例可能超出约定投资范围比例。</w:t>
      </w:r>
    </w:p>
    <w:p>
      <w:pPr>
        <w:pStyle w:val="20"/>
        <w:numPr>
          <w:ilvl w:val="0"/>
          <w:numId w:val="13"/>
        </w:numPr>
        <w:adjustRightInd/>
        <w:spacing w:line="360" w:lineRule="auto"/>
        <w:ind w:firstLine="458" w:firstLineChars="190"/>
        <w:rPr>
          <w:rFonts w:hint="eastAsia" w:ascii="宋体" w:hAnsi="宋体" w:cs="宋体"/>
          <w:bCs/>
          <w:color w:val="auto"/>
          <w:kern w:val="2"/>
          <w:highlight w:val="none"/>
          <w:lang w:val="en-US" w:eastAsia="zh-CN"/>
        </w:rPr>
      </w:pPr>
      <w:r>
        <w:rPr>
          <w:rFonts w:hint="eastAsia" w:ascii="宋体" w:hAnsi="宋体" w:cs="宋体"/>
          <w:b/>
          <w:bCs w:val="0"/>
          <w:color w:val="000000"/>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bCs/>
          <w:color w:val="000000"/>
          <w:sz w:val="24"/>
          <w:highlight w:val="none"/>
        </w:rPr>
      </w:pPr>
      <w:r>
        <w:rPr>
          <w:rFonts w:hint="eastAsia" w:ascii="宋体" w:hAnsi="宋体" w:eastAsia="宋体" w:cs="宋体"/>
          <w:kern w:val="2"/>
          <w:sz w:val="24"/>
          <w:szCs w:val="24"/>
          <w:lang w:val="en-US" w:eastAsia="zh-CN" w:bidi="ar"/>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hAnsi="宋体" w:eastAsia="宋体" w:cs="宋体"/>
          <w:b/>
          <w:bCs/>
          <w:kern w:val="2"/>
          <w:sz w:val="24"/>
          <w:szCs w:val="24"/>
          <w:lang w:val="en-US" w:eastAsia="zh-CN" w:bidi="ar"/>
        </w:rPr>
        <w:t>本产品还可能根据市场行情，在监管政策允许的范围内，在适当的时机投资不高于理财产品总资产的</w:t>
      </w:r>
      <w:r>
        <w:rPr>
          <w:rFonts w:hint="eastAsia" w:ascii="宋体" w:hAnsi="Calibri" w:eastAsia="宋体" w:cs="宋体"/>
          <w:b/>
          <w:bCs/>
          <w:kern w:val="2"/>
          <w:sz w:val="24"/>
          <w:szCs w:val="24"/>
          <w:lang w:val="en-US" w:eastAsia="zh-CN" w:bidi="ar"/>
        </w:rPr>
        <w:t>20%的资金于其他资产</w:t>
      </w:r>
      <w:r>
        <w:rPr>
          <w:rFonts w:hint="eastAsia" w:ascii="宋体" w:hAnsi="宋体" w:cs="宋体"/>
          <w:bCs/>
          <w:color w:val="000000"/>
          <w:sz w:val="24"/>
          <w:highlight w:val="none"/>
        </w:rPr>
        <w:t>。</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firstLine="480" w:firstLineChars="200"/>
        <w:jc w:val="left"/>
        <w:outlineLvl w:val="9"/>
        <w:rPr>
          <w:rFonts w:hint="eastAsia" w:ascii="宋体" w:hAnsi="宋体" w:eastAsia="宋体" w:cs="宋体"/>
          <w:b w:val="0"/>
          <w:bCs/>
          <w:sz w:val="24"/>
          <w:highlight w:val="none"/>
          <w:lang w:val="en-US" w:eastAsia="zh-CN"/>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本理财计划还应满足以下限制</w:t>
      </w:r>
      <w:r>
        <w:rPr>
          <w:rFonts w:hint="eastAsia" w:ascii="宋体" w:hAnsi="宋体" w:cs="宋体"/>
          <w:bCs/>
          <w:color w:val="000000"/>
          <w:sz w:val="24"/>
          <w:highlight w:val="none"/>
        </w:rPr>
        <w:t>【</w:t>
      </w:r>
      <w:r>
        <w:rPr>
          <w:rFonts w:hint="eastAsia" w:ascii="宋体" w:hAnsi="宋体" w:cs="宋体"/>
          <w:bCs/>
          <w:color w:val="000000"/>
          <w:sz w:val="24"/>
          <w:highlight w:val="none"/>
          <w:lang w:eastAsia="zh"/>
        </w:rPr>
        <w:t>b</w:t>
      </w:r>
      <w:r>
        <w:rPr>
          <w:rFonts w:hint="eastAsia" w:ascii="宋体" w:hAnsi="宋体" w:cs="宋体"/>
          <w:bCs/>
          <w:color w:val="000000"/>
          <w:sz w:val="24"/>
          <w:highlight w:val="none"/>
        </w:rPr>
        <w:t>】</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w:t>
      </w:r>
      <w:r>
        <w:rPr>
          <w:rFonts w:hint="eastAsia" w:ascii="宋体" w:hAnsi="宋体" w:cs="宋体"/>
          <w:bCs/>
          <w:color w:val="000000"/>
          <w:sz w:val="24"/>
          <w:highlight w:val="none"/>
        </w:rPr>
        <w:t>应当持有不低于该理财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val="en-US" w:eastAsia="zh-CN"/>
        </w:rPr>
        <w:t>本理财计划应当在开放日及开放日前7个工作日内持有不低于该理财计划资产净值5%的现金或者到期日在一年以内的国债、中央银行票据和政策性金融债券。</w:t>
      </w:r>
    </w:p>
    <w:p>
      <w:pPr>
        <w:numPr>
          <w:ilvl w:val="0"/>
          <w:numId w:val="18"/>
        </w:numPr>
        <w:spacing w:line="360" w:lineRule="auto"/>
        <w:ind w:firstLine="720" w:firstLineChars="300"/>
        <w:jc w:val="left"/>
        <w:rPr>
          <w:rFonts w:hint="default" w:ascii="宋体" w:hAnsi="宋体" w:eastAsia="宋体" w:cs="宋体"/>
          <w:bCs/>
          <w:sz w:val="24"/>
          <w:highlight w:val="none"/>
          <w:lang w:val="en-US" w:eastAsia="zh-CN"/>
        </w:rPr>
      </w:pPr>
      <w:r>
        <w:rPr>
          <w:rFonts w:hint="eastAsia" w:ascii="宋体" w:hAnsi="宋体" w:cs="宋体"/>
          <w:bCs/>
          <w:sz w:val="24"/>
          <w:highlight w:val="none"/>
          <w:lang w:val="en-US" w:eastAsia="zh-CN"/>
        </w:rPr>
        <w:t>本理财计划不存在活跃交易市场，并且需要采用估值技术确定公允价值的资产比例不得超过理财产品净资产50%以上。</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20"/>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未上市公司股权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7530" w:type="dxa"/>
        <w:tblInd w:w="3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0"/>
        <w:gridCol w:w="57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托管人名称</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default"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托管人住所</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1740" w:type="dxa"/>
            <w:noWrap w:val="0"/>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Cs/>
                <w:sz w:val="21"/>
                <w:szCs w:val="21"/>
                <w:highlight w:val="none"/>
              </w:rPr>
            </w:pPr>
            <w:r>
              <w:rPr>
                <w:rFonts w:hint="eastAsia" w:ascii="宋体" w:hAnsi="宋体" w:cs="宋体"/>
                <w:bCs/>
                <w:sz w:val="21"/>
                <w:szCs w:val="21"/>
                <w:highlight w:val="none"/>
              </w:rPr>
              <w:t>托管人职责</w:t>
            </w:r>
          </w:p>
        </w:tc>
        <w:tc>
          <w:tcPr>
            <w:tcW w:w="5790" w:type="dxa"/>
            <w:noWrap w:val="0"/>
            <w:vAlign w:val="top"/>
          </w:tcPr>
          <w:p>
            <w:pPr>
              <w:keepNext w:val="0"/>
              <w:keepLines w:val="0"/>
              <w:suppressLineNumbers w:val="0"/>
              <w:spacing w:before="0" w:beforeAutospacing="0" w:after="0" w:afterAutospacing="0" w:line="360" w:lineRule="auto"/>
              <w:ind w:left="0" w:right="0"/>
              <w:jc w:val="left"/>
              <w:rPr>
                <w:rFonts w:hint="eastAsia" w:ascii="宋体" w:hAnsi="宋体" w:cs="宋体"/>
                <w:bCs/>
                <w:sz w:val="21"/>
                <w:szCs w:val="21"/>
                <w:highlight w:val="none"/>
              </w:rPr>
            </w:pPr>
            <w:r>
              <w:rPr>
                <w:rFonts w:hint="eastAsia" w:ascii="宋体" w:hAnsi="宋体" w:eastAsia="宋体" w:cs="宋体"/>
                <w:bCs/>
                <w:kern w:val="2"/>
                <w:sz w:val="21"/>
                <w:szCs w:val="21"/>
                <w:highlight w:val="none"/>
                <w:lang w:val="en-US" w:eastAsia="zh-CN" w:bidi="ar-SA"/>
              </w:rPr>
              <w:t>主要提供包括账户开立、资金保管、资金结算、估值核对等理财产品托管服务。</w:t>
            </w:r>
          </w:p>
        </w:tc>
      </w:tr>
    </w:tbl>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7556" w:type="dxa"/>
        <w:tblInd w:w="3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33"/>
        <w:gridCol w:w="1688"/>
        <w:gridCol w:w="1325"/>
        <w:gridCol w:w="3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40" w:hRule="atLeast"/>
        </w:trPr>
        <w:tc>
          <w:tcPr>
            <w:tcW w:w="1133"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销售机构信息</w:t>
            </w:r>
          </w:p>
        </w:tc>
        <w:tc>
          <w:tcPr>
            <w:tcW w:w="1688" w:type="dxa"/>
            <w:vMerge w:val="restart"/>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single" w:color="auto" w:sz="4" w:space="0"/>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兴业银行股份有限公司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厦门国际银行股份有限公司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富邦华一银行有限公司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宁波鄞州农村商业银行股份有限公司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深圳前海微众银行股份有限公司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吉林亿联银行股份有限公司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重庆富民银行股份有限公司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中信百信银行股份有限公司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江苏苏商银行股份有限公司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aps w:val="0"/>
                <w:color w:val="000000"/>
                <w:spacing w:val="0"/>
                <w:kern w:val="0"/>
                <w:sz w:val="21"/>
                <w:szCs w:val="21"/>
                <w:lang w:val="en-US" w:eastAsia="zh-CN" w:bidi="ar"/>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石嘴山银行股份有限公司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中信银行股份有限公司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齐鲁银行股份有限公司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广东南粤银行股份有限公司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苏州银行股份有限公司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杭银理财有限责任公司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澳门国际银行股份有限公司广州分行</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江苏常熟农村商业银行股份有限公司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浙商银行股份有限公司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九江银行股份有限公司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1412"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浙江舟山定海海洋农村商业银行股份有限公司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浙江临安农村商业银行股份有限公司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浙江青田农村商业银行股份有限公司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南洋商业银行（中国）有限公司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中邮邮惠万家银行有限责任公司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温州银行股份有限公司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浙江新昌农村商业银行股份有限公司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浙江永康农村商业银行股份有限公司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绍兴银行股份有限公司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浙江衢州衢江农村商业银行股份有限公司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新韩银行（中国）有限公司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秦皇岛银行股份有限公司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潍坊银行股份有限公司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浙江江山农村商业银行股份有限公司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浙江常山农村商业银行股份有限公司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restart"/>
            <w:tcBorders>
              <w:top w:val="nil"/>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浙江武义农村商业银行股份有限公司</w:t>
            </w: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住所</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bottom"/>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688" w:type="dxa"/>
            <w:vMerge w:val="continue"/>
            <w:tcBorders>
              <w:top w:val="nil"/>
              <w:left w:val="nil"/>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rPr>
            </w:pPr>
          </w:p>
        </w:tc>
        <w:tc>
          <w:tcPr>
            <w:tcW w:w="1325"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客服热线</w:t>
            </w:r>
          </w:p>
        </w:tc>
        <w:tc>
          <w:tcPr>
            <w:tcW w:w="3410" w:type="dxa"/>
            <w:tcBorders>
              <w:top w:val="single" w:color="auto" w:sz="4" w:space="0"/>
              <w:left w:val="nil"/>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kern w:val="2"/>
                <w:sz w:val="21"/>
                <w:szCs w:val="21"/>
              </w:rPr>
            </w:pPr>
            <w:r>
              <w:rPr>
                <w:rFonts w:hint="eastAsia" w:ascii="宋体" w:hAnsi="宋体" w:eastAsia="宋体" w:cs="宋体"/>
                <w:i w:val="0"/>
                <w:iCs w:val="0"/>
                <w:color w:val="000000"/>
                <w:kern w:val="0"/>
                <w:sz w:val="21"/>
                <w:szCs w:val="21"/>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133"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销售机构职责</w:t>
            </w:r>
          </w:p>
        </w:tc>
        <w:tc>
          <w:tcPr>
            <w:tcW w:w="6423" w:type="dxa"/>
            <w:gridSpan w:val="3"/>
            <w:tcBorders>
              <w:top w:val="single" w:color="auto" w:sz="4" w:space="0"/>
              <w:left w:val="nil"/>
              <w:bottom w:val="single" w:color="auto" w:sz="4" w:space="0"/>
              <w:right w:val="single" w:color="auto" w:sz="4" w:space="0"/>
            </w:tcBorders>
            <w:shd w:val="clear" w:color="auto" w:fill="auto"/>
            <w:vAlign w:val="center"/>
          </w:tcPr>
          <w:p>
            <w:pPr>
              <w:keepNext w:val="0"/>
              <w:keepLines w:val="0"/>
              <w:widowControl w:val="0"/>
              <w:suppressLineNumbers w:val="0"/>
              <w:spacing w:before="0" w:beforeAutospacing="0" w:after="0" w:afterAutospacing="0"/>
              <w:ind w:left="0" w:right="0"/>
              <w:jc w:val="left"/>
              <w:rPr>
                <w:rFonts w:hint="eastAsia" w:ascii="宋体" w:hAnsi="宋体" w:eastAsia="宋体" w:cs="宋体"/>
                <w:kern w:val="2"/>
                <w:sz w:val="21"/>
                <w:szCs w:val="21"/>
              </w:rPr>
            </w:pPr>
            <w:r>
              <w:rPr>
                <w:rFonts w:hint="eastAsia" w:ascii="宋体" w:hAnsi="宋体" w:eastAsia="宋体" w:cs="宋体"/>
                <w:kern w:val="2"/>
                <w:sz w:val="21"/>
                <w:szCs w:val="21"/>
                <w:lang w:val="en-US" w:eastAsia="zh-CN" w:bidi="ar"/>
              </w:rPr>
              <w:t>主要负责理财计划推广、投资者风险承受能力评估、投资者适当性管理、理财计划份额认购、申购及赎回办理。</w:t>
            </w:r>
            <w:r>
              <w:rPr>
                <w:rFonts w:hint="eastAsia" w:ascii="宋体" w:hAnsi="宋体" w:eastAsia="宋体" w:cs="宋体"/>
                <w:kern w:val="2"/>
                <w:sz w:val="21"/>
                <w:szCs w:val="21"/>
                <w:lang w:val="en-US" w:eastAsia="zh-CN" w:bidi="ar"/>
              </w:rPr>
              <w:br w:type="textWrapping"/>
            </w:r>
            <w:r>
              <w:rPr>
                <w:rFonts w:hint="eastAsia" w:ascii="宋体" w:hAnsi="宋体" w:eastAsia="宋体" w:cs="宋体"/>
                <w:kern w:val="2"/>
                <w:sz w:val="21"/>
                <w:szCs w:val="21"/>
                <w:lang w:val="en-US" w:eastAsia="zh-CN" w:bidi="ar"/>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本理财计划后续如新增/减少销售机构或销售机构信息变更，请以管理人最新公告</w:t>
      </w:r>
      <w:r>
        <w:rPr>
          <w:rFonts w:hint="eastAsia" w:ascii="宋体" w:hAnsi="宋体" w:cs="宋体"/>
          <w:bCs/>
          <w:color w:val="000000"/>
          <w:sz w:val="24"/>
          <w:highlight w:val="none"/>
          <w:lang w:eastAsia="zh-CN"/>
        </w:rPr>
        <w:t>或官方网站展示</w:t>
      </w:r>
      <w:r>
        <w:rPr>
          <w:rFonts w:hint="eastAsia" w:ascii="宋体" w:hAnsi="宋体" w:cs="宋体"/>
          <w:bCs/>
          <w:color w:val="000000"/>
          <w:sz w:val="24"/>
          <w:highlight w:val="none"/>
        </w:rPr>
        <w:t>为准。</w:t>
      </w:r>
    </w:p>
    <w:p>
      <w:pPr>
        <w:spacing w:line="360" w:lineRule="auto"/>
        <w:jc w:val="left"/>
        <w:rPr>
          <w:rFonts w:ascii="宋体" w:hAnsi="宋体" w:cs="宋体"/>
          <w:bCs/>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20"/>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6"/>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5"/>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20"/>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20"/>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20"/>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7"/>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lang w:val="en-US" w:eastAsia="zh-CN"/>
        </w:rPr>
        <w:t>以</w:t>
      </w:r>
      <w:r>
        <w:rPr>
          <w:rFonts w:hint="eastAsia" w:ascii="宋体" w:hAnsi="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cs="宋体"/>
          <w:bCs/>
          <w:color w:val="000000"/>
          <w:sz w:val="24"/>
          <w:szCs w:val="24"/>
          <w:highlight w:val="none"/>
          <w:lang w:val="en-US" w:eastAsia="zh-CN"/>
        </w:rPr>
        <w:t>份额</w:t>
      </w:r>
      <w:r>
        <w:rPr>
          <w:rFonts w:hint="eastAsia" w:ascii="宋体" w:hAnsi="宋体" w:cs="宋体"/>
          <w:bCs/>
          <w:color w:val="000000"/>
          <w:sz w:val="24"/>
          <w:szCs w:val="24"/>
          <w:highlight w:val="none"/>
        </w:rPr>
        <w:t>〗为例</w:t>
      </w:r>
      <w:r>
        <w:rPr>
          <w:rFonts w:hint="eastAsia" w:ascii="宋体" w:hAnsi="宋体" w:cs="宋体"/>
          <w:bCs/>
          <w:color w:val="000000"/>
          <w:sz w:val="24"/>
          <w:szCs w:val="24"/>
          <w:highlight w:val="none"/>
          <w:lang w:eastAsia="zh-CN"/>
        </w:rPr>
        <w:t>，</w:t>
      </w:r>
      <w:r>
        <w:rPr>
          <w:rFonts w:hint="eastAsia" w:ascii="宋体" w:hAnsi="宋体" w:cs="宋体"/>
          <w:bCs/>
          <w:color w:val="000000"/>
          <w:sz w:val="24"/>
          <w:szCs w:val="24"/>
          <w:highlight w:val="none"/>
        </w:rPr>
        <w:t>理财计划财产的年化</w:t>
      </w: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率为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lang w:eastAsia="zh-CN"/>
        </w:rPr>
      </w:pPr>
      <w:r>
        <w:rPr>
          <w:rFonts w:hint="eastAsia" w:ascii="宋体" w:hAnsi="宋体" w:cs="宋体"/>
          <w:bCs/>
          <w:color w:val="000000"/>
          <w:sz w:val="24"/>
          <w:szCs w:val="24"/>
          <w:highlight w:val="none"/>
        </w:rPr>
        <w:t>H为每日应计提的</w:t>
      </w:r>
      <w:r>
        <w:rPr>
          <w:rFonts w:hint="eastAsia" w:ascii="宋体" w:hAnsi="宋体" w:cs="宋体"/>
          <w:bCs/>
          <w:color w:val="000000"/>
          <w:sz w:val="24"/>
          <w:szCs w:val="24"/>
          <w:highlight w:val="none"/>
          <w:lang w:eastAsia="zh-CN"/>
        </w:rPr>
        <w:t>销售服务费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lang w:eastAsia="zh-CN"/>
        </w:rPr>
        <w:t>销售服务费</w:t>
      </w:r>
      <w:r>
        <w:rPr>
          <w:rFonts w:hint="eastAsia" w:ascii="宋体" w:hAnsi="宋体" w:cs="宋体"/>
          <w:bCs/>
          <w:color w:val="000000"/>
          <w:sz w:val="24"/>
          <w:szCs w:val="24"/>
          <w:highlight w:val="none"/>
        </w:rPr>
        <w:t>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理财计划财产的年化托管费为</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0.025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H为每日应计提的托管费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托管费原则上按日计提。</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lang w:val="en-US" w:eastAsia="zh-CN"/>
        </w:rPr>
        <w:t>以</w:t>
      </w:r>
      <w:r>
        <w:rPr>
          <w:rFonts w:hint="eastAsia" w:ascii="宋体" w:hAnsi="宋体" w:eastAsia="宋体" w:cs="宋体"/>
          <w:bCs/>
          <w:color w:val="000000"/>
          <w:sz w:val="24"/>
          <w:szCs w:val="24"/>
          <w:highlight w:val="none"/>
        </w:rPr>
        <w:t>〖</w:t>
      </w:r>
      <w:r>
        <w:rPr>
          <w:rFonts w:hint="eastAsia" w:ascii="宋体" w:hAnsi="宋体" w:eastAsia="宋体" w:cs="宋体"/>
          <w:bCs/>
          <w:color w:val="000000"/>
          <w:kern w:val="2"/>
          <w:sz w:val="24"/>
          <w:szCs w:val="24"/>
          <w:highlight w:val="none"/>
          <w:lang w:val="en-US" w:eastAsia="zh-CN" w:bidi="ar-SA"/>
        </w:rPr>
        <w:t>A</w:t>
      </w:r>
      <w:r>
        <w:rPr>
          <w:rFonts w:hint="eastAsia" w:ascii="宋体" w:hAnsi="宋体" w:eastAsia="宋体" w:cs="宋体"/>
          <w:bCs/>
          <w:color w:val="000000"/>
          <w:sz w:val="24"/>
          <w:szCs w:val="24"/>
          <w:highlight w:val="none"/>
          <w:lang w:val="en-US" w:eastAsia="zh-CN"/>
        </w:rPr>
        <w:t>份额</w:t>
      </w:r>
      <w:r>
        <w:rPr>
          <w:rFonts w:hint="eastAsia" w:ascii="宋体" w:hAnsi="宋体" w:eastAsia="宋体" w:cs="宋体"/>
          <w:bCs/>
          <w:color w:val="000000"/>
          <w:sz w:val="24"/>
          <w:szCs w:val="24"/>
          <w:highlight w:val="none"/>
        </w:rPr>
        <w:t>〗为例</w:t>
      </w:r>
      <w:r>
        <w:rPr>
          <w:rFonts w:hint="eastAsia" w:ascii="宋体" w:hAnsi="宋体" w:eastAsia="宋体" w:cs="宋体"/>
          <w:bCs/>
          <w:color w:val="000000"/>
          <w:sz w:val="24"/>
          <w:szCs w:val="24"/>
          <w:highlight w:val="none"/>
          <w:lang w:eastAsia="zh-CN"/>
        </w:rPr>
        <w:t>，</w:t>
      </w:r>
      <w:r>
        <w:rPr>
          <w:rFonts w:hint="eastAsia" w:ascii="宋体" w:hAnsi="宋体" w:eastAsia="宋体" w:cs="宋体"/>
          <w:bCs/>
          <w:color w:val="000000"/>
          <w:sz w:val="24"/>
          <w:szCs w:val="24"/>
          <w:highlight w:val="none"/>
        </w:rPr>
        <w:t>理财计划财产的年化固定管理费率为</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，计算方法如下：</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H＝E×</w:t>
      </w:r>
      <w:r>
        <w:rPr>
          <w:rFonts w:hint="eastAsia" w:ascii="宋体" w:hAnsi="宋体" w:eastAsia="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0.30</w:t>
      </w:r>
      <w:r>
        <w:rPr>
          <w:rFonts w:hint="eastAsia" w:ascii="宋体" w:hAnsi="宋体" w:eastAsia="宋体" w:cs="宋体"/>
          <w:bCs/>
          <w:color w:val="000000"/>
          <w:sz w:val="24"/>
          <w:szCs w:val="24"/>
          <w:highlight w:val="none"/>
        </w:rPr>
        <w:t>%</w:t>
      </w:r>
      <w:r>
        <w:rPr>
          <w:rFonts w:hint="eastAsia" w:ascii="宋体" w:hAnsi="宋体" w:eastAsia="宋体" w:cs="宋体"/>
          <w:color w:val="000000"/>
          <w:sz w:val="24"/>
          <w:szCs w:val="24"/>
          <w:highlight w:val="none"/>
        </w:rPr>
        <w:t>〗</w:t>
      </w:r>
      <w:r>
        <w:rPr>
          <w:rFonts w:hint="eastAsia" w:ascii="宋体" w:hAnsi="宋体" w:eastAsia="宋体" w:cs="宋体"/>
          <w:bCs/>
          <w:color w:val="000000"/>
          <w:sz w:val="24"/>
          <w:szCs w:val="24"/>
          <w:highlight w:val="none"/>
        </w:rPr>
        <w:t>÷365</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H为每日应计提的</w:t>
      </w:r>
      <w:r>
        <w:rPr>
          <w:rFonts w:hint="eastAsia" w:ascii="宋体" w:hAnsi="宋体" w:eastAsia="宋体" w:cs="宋体"/>
          <w:bCs/>
          <w:color w:val="000000"/>
          <w:sz w:val="24"/>
          <w:szCs w:val="24"/>
          <w:highlight w:val="none"/>
          <w:lang w:eastAsia="zh-CN"/>
        </w:rPr>
        <w:t>固定</w:t>
      </w:r>
      <w:r>
        <w:rPr>
          <w:rFonts w:hint="eastAsia" w:ascii="宋体" w:hAnsi="宋体" w:eastAsia="宋体" w:cs="宋体"/>
          <w:bCs/>
          <w:color w:val="000000"/>
          <w:sz w:val="24"/>
          <w:szCs w:val="24"/>
          <w:highlight w:val="none"/>
        </w:rPr>
        <w:t>管理费</w:t>
      </w:r>
    </w:p>
    <w:p>
      <w:pPr>
        <w:spacing w:line="360" w:lineRule="auto"/>
        <w:ind w:firstLine="480" w:firstLineChars="200"/>
        <w:jc w:val="left"/>
        <w:rPr>
          <w:rFonts w:hint="eastAsia"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E为本理财计划前一日资产净值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eastAsia="宋体" w:cs="宋体"/>
          <w:bCs/>
          <w:color w:val="000000"/>
          <w:sz w:val="24"/>
          <w:szCs w:val="24"/>
          <w:highlight w:val="none"/>
        </w:rPr>
        <w:t>固定管理费原则上按日计提</w:t>
      </w:r>
      <w:r>
        <w:rPr>
          <w:rFonts w:hint="eastAsia" w:ascii="宋体" w:hAnsi="宋体" w:eastAsia="宋体" w:cs="宋体"/>
          <w:bCs/>
          <w:color w:val="000000"/>
          <w:sz w:val="24"/>
          <w:szCs w:val="24"/>
          <w:highlight w:val="none"/>
          <w:lang w:eastAsia="zh-CN"/>
        </w:rPr>
        <w:t>，管理人有权</w:t>
      </w:r>
      <w:r>
        <w:rPr>
          <w:rFonts w:hint="eastAsia" w:ascii="宋体" w:hAnsi="宋体" w:eastAsia="宋体" w:cs="宋体"/>
          <w:bCs/>
          <w:color w:val="000000"/>
          <w:sz w:val="24"/>
          <w:szCs w:val="24"/>
          <w:highlight w:val="none"/>
          <w:lang w:val="en-US" w:eastAsia="zh-CN"/>
        </w:rPr>
        <w:t>根据实际运作情况</w:t>
      </w:r>
      <w:r>
        <w:rPr>
          <w:rFonts w:hint="eastAsia" w:ascii="宋体" w:hAnsi="宋体" w:eastAsia="宋体" w:cs="宋体"/>
          <w:bCs/>
          <w:color w:val="000000"/>
          <w:sz w:val="24"/>
          <w:szCs w:val="24"/>
          <w:highlight w:val="none"/>
          <w:lang w:eastAsia="zh-CN"/>
        </w:rPr>
        <w:t>减免固定管理费</w:t>
      </w:r>
      <w:r>
        <w:rPr>
          <w:rFonts w:hint="eastAsia" w:ascii="宋体" w:hAnsi="宋体" w:eastAsia="宋体" w:cs="宋体"/>
          <w:bCs/>
          <w:color w:val="000000"/>
          <w:sz w:val="24"/>
          <w:szCs w:val="24"/>
          <w:highlight w:val="none"/>
          <w:lang w:eastAsia="zh"/>
        </w:rPr>
        <w:t>。</w:t>
      </w:r>
    </w:p>
    <w:p>
      <w:pPr>
        <w:numPr>
          <w:ilvl w:val="0"/>
          <w:numId w:val="2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本理财计划免除申购费。</w:t>
      </w:r>
    </w:p>
    <w:p>
      <w:pPr>
        <w:numPr>
          <w:ilvl w:val="0"/>
          <w:numId w:val="30"/>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color w:val="FF0000"/>
          <w:sz w:val="24"/>
          <w:highlight w:val="none"/>
        </w:rPr>
      </w:pPr>
      <w:r>
        <w:rPr>
          <w:rFonts w:hint="eastAsia" w:ascii="宋体" w:hAnsi="宋体" w:cs="宋体"/>
          <w:bCs/>
          <w:color w:val="000000"/>
          <w:sz w:val="24"/>
          <w:highlight w:val="none"/>
        </w:rPr>
        <w:t>本理财计划免除赎回费。</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理财管理人根据理财计划投资情况计算浮动管理费，本理财计划</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投资周期的</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折合年化收益率超</w:t>
      </w:r>
      <w:r>
        <w:rPr>
          <w:rFonts w:hint="eastAsia" w:ascii="宋体" w:hAnsi="宋体" w:cs="宋体"/>
          <w:bCs/>
          <w:color w:val="000000"/>
          <w:sz w:val="24"/>
          <w:szCs w:val="24"/>
          <w:highlight w:val="none"/>
          <w:lang w:eastAsia="zh"/>
        </w:rPr>
        <w:t>过</w:t>
      </w:r>
      <w:r>
        <w:rPr>
          <w:rFonts w:hint="eastAsia" w:ascii="宋体" w:hAnsi="宋体" w:eastAsia="宋体" w:cs="宋体"/>
          <w:bCs/>
          <w:color w:val="000000"/>
          <w:kern w:val="2"/>
          <w:sz w:val="24"/>
          <w:szCs w:val="24"/>
          <w:highlight w:val="none"/>
          <w:lang w:val="en-US" w:eastAsia="zh" w:bidi="ar-SA"/>
        </w:rPr>
        <w:t>2.25</w:t>
      </w:r>
      <w:r>
        <w:rPr>
          <w:rFonts w:hint="eastAsia" w:ascii="宋体" w:hAnsi="宋体" w:cs="宋体"/>
          <w:bCs/>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的部分管理人提取</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50</w:t>
      </w:r>
      <w:r>
        <w:rPr>
          <w:rFonts w:hint="eastAsia" w:ascii="宋体" w:hAnsi="宋体" w:cs="宋体"/>
          <w:color w:val="000000"/>
          <w:sz w:val="24"/>
          <w:szCs w:val="24"/>
          <w:highlight w:val="none"/>
          <w:lang w:eastAsia="zh"/>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作为浮动管理费，每个投资周期结束后收取。本理财计划投资周期的折合年化收益率若小于或等于</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2.25</w:t>
      </w:r>
      <w:r>
        <w:rPr>
          <w:rFonts w:hint="eastAsia" w:ascii="宋体" w:hAnsi="宋体" w:cs="宋体"/>
          <w:bCs/>
          <w:color w:val="000000"/>
          <w:sz w:val="24"/>
          <w:szCs w:val="24"/>
          <w:highlight w:val="none"/>
        </w:rPr>
        <w:t>%</w:t>
      </w:r>
      <w:r>
        <w:rPr>
          <w:rFonts w:hint="eastAsia" w:ascii="宋体" w:hAnsi="宋体" w:cs="宋体"/>
          <w:color w:val="000000"/>
          <w:sz w:val="24"/>
          <w:szCs w:val="24"/>
          <w:highlight w:val="none"/>
        </w:rPr>
        <w:t>〗</w:t>
      </w:r>
      <w:r>
        <w:rPr>
          <w:rFonts w:hint="eastAsia" w:ascii="宋体" w:hAnsi="宋体" w:cs="宋体"/>
          <w:bCs/>
          <w:color w:val="000000"/>
          <w:sz w:val="24"/>
          <w:szCs w:val="24"/>
          <w:highlight w:val="none"/>
        </w:rPr>
        <w:t>则不收取浮动管理费。</w:t>
      </w:r>
      <w:r>
        <w:rPr>
          <w:rFonts w:hint="eastAsia" w:ascii="宋体" w:hAnsi="宋体" w:cs="宋体"/>
          <w:bCs/>
          <w:color w:val="000000"/>
          <w:sz w:val="24"/>
          <w:szCs w:val="24"/>
          <w:highlight w:val="none"/>
          <w:lang w:eastAsia="zh-CN"/>
        </w:rPr>
        <w:t>浮动管理费原则上按估值日计提，</w:t>
      </w:r>
      <w:r>
        <w:rPr>
          <w:rFonts w:hint="eastAsia" w:ascii="宋体" w:hAnsi="宋体" w:cs="宋体"/>
          <w:bCs/>
          <w:color w:val="000000"/>
          <w:sz w:val="24"/>
          <w:szCs w:val="24"/>
          <w:highlight w:val="none"/>
          <w:lang w:val="en-US" w:eastAsia="zh-CN"/>
        </w:rPr>
        <w:t>赎回/理财计划</w:t>
      </w:r>
      <w:r>
        <w:rPr>
          <w:rFonts w:hint="eastAsia" w:ascii="宋体" w:hAnsi="宋体" w:cs="宋体"/>
          <w:bCs/>
          <w:color w:val="000000"/>
          <w:sz w:val="24"/>
          <w:szCs w:val="24"/>
          <w:highlight w:val="none"/>
          <w:lang w:eastAsia="zh-CN"/>
        </w:rPr>
        <w:t>到期收取。以</w:t>
      </w:r>
      <w:r>
        <w:rPr>
          <w:rFonts w:hint="eastAsia" w:ascii="宋体" w:hAnsi="宋体" w:cs="宋体"/>
          <w:color w:val="000000"/>
          <w:sz w:val="24"/>
          <w:szCs w:val="24"/>
          <w:highlight w:val="none"/>
        </w:rPr>
        <w:t>〖</w:t>
      </w:r>
      <w:r>
        <w:rPr>
          <w:rFonts w:hint="eastAsia" w:ascii="宋体" w:hAnsi="宋体" w:eastAsia="宋体" w:cs="宋体"/>
          <w:color w:val="000000"/>
          <w:kern w:val="2"/>
          <w:sz w:val="24"/>
          <w:szCs w:val="24"/>
          <w:highlight w:val="none"/>
          <w:lang w:val="en-US" w:eastAsia="zh-CN" w:bidi="ar-SA"/>
        </w:rPr>
        <w:t>A</w:t>
      </w:r>
      <w:r>
        <w:rPr>
          <w:rFonts w:hint="eastAsia" w:ascii="宋体" w:hAnsi="宋体" w:cs="宋体"/>
          <w:color w:val="000000"/>
          <w:sz w:val="24"/>
          <w:szCs w:val="24"/>
          <w:highlight w:val="none"/>
          <w:lang w:val="en-US" w:eastAsia="zh-CN"/>
        </w:rPr>
        <w:t>份额</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eastAsia="zh-CN"/>
        </w:rPr>
        <w:t>为例，</w:t>
      </w:r>
      <w:r>
        <w:rPr>
          <w:rFonts w:hint="eastAsia" w:ascii="宋体" w:hAnsi="宋体" w:cs="宋体"/>
          <w:bCs/>
          <w:color w:val="000000"/>
          <w:sz w:val="24"/>
          <w:szCs w:val="24"/>
          <w:highlight w:val="none"/>
        </w:rPr>
        <w:t>具体计算方法如下：</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H＝E×NAV0×(K-R)×〖</w:t>
      </w:r>
      <w:r>
        <w:rPr>
          <w:rFonts w:hint="eastAsia" w:ascii="宋体" w:hAnsi="宋体" w:eastAsia="宋体" w:cs="宋体"/>
          <w:bCs/>
          <w:color w:val="000000"/>
          <w:kern w:val="2"/>
          <w:sz w:val="24"/>
          <w:szCs w:val="24"/>
          <w:highlight w:val="none"/>
          <w:lang w:val="en-US" w:eastAsia="zh-CN" w:bidi="ar-SA"/>
        </w:rPr>
        <w:t>50</w:t>
      </w:r>
      <w:r>
        <w:rPr>
          <w:rFonts w:hint="eastAsia" w:ascii="宋体" w:hAnsi="宋体" w:cs="宋体"/>
          <w:bCs/>
          <w:color w:val="000000"/>
          <w:sz w:val="24"/>
          <w:szCs w:val="24"/>
          <w:highlight w:val="none"/>
        </w:rPr>
        <w:t>%〗×N÷365</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其中，K=(NAV1-NAV0+T)÷NAV0×365÷N</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H为当前确认日应收取浮动管理费</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E为本</w:t>
      </w:r>
      <w:r>
        <w:rPr>
          <w:rFonts w:hint="eastAsia" w:ascii="宋体" w:hAnsi="宋体" w:cs="宋体"/>
          <w:bCs/>
          <w:color w:val="000000"/>
          <w:sz w:val="24"/>
          <w:szCs w:val="24"/>
          <w:highlight w:val="none"/>
          <w:lang w:val="en-US" w:eastAsia="zh-CN"/>
        </w:rPr>
        <w:t>理财计划</w:t>
      </w:r>
      <w:r>
        <w:rPr>
          <w:rFonts w:hint="eastAsia" w:ascii="宋体" w:hAnsi="宋体" w:cs="宋体"/>
          <w:bCs/>
          <w:color w:val="000000"/>
          <w:sz w:val="24"/>
          <w:szCs w:val="24"/>
          <w:highlight w:val="none"/>
        </w:rPr>
        <w:t>上一个确认日的存续份额</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K为收取浮动管理费前投资者赎回份额对应持有区间折合年化收益率</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R为本次投资周期的</w:t>
      </w:r>
      <w:r>
        <w:rPr>
          <w:rFonts w:hint="eastAsia" w:ascii="宋体" w:hAnsi="宋体" w:cs="宋体"/>
          <w:bCs/>
          <w:color w:val="000000"/>
          <w:sz w:val="24"/>
          <w:szCs w:val="24"/>
          <w:highlight w:val="none"/>
          <w:lang w:val="en-US" w:eastAsia="zh-CN"/>
        </w:rPr>
        <w:t>浮动管理费计提基数</w:t>
      </w:r>
    </w:p>
    <w:p>
      <w:pPr>
        <w:spacing w:line="360" w:lineRule="auto"/>
        <w:ind w:firstLine="480" w:firstLineChars="200"/>
        <w:jc w:val="left"/>
        <w:rPr>
          <w:rFonts w:hint="eastAsia" w:ascii="宋体" w:hAnsi="宋体" w:cs="宋体"/>
          <w:bCs/>
          <w:color w:val="000000"/>
          <w:sz w:val="24"/>
          <w:szCs w:val="24"/>
          <w:highlight w:val="none"/>
        </w:rPr>
      </w:pPr>
      <w:r>
        <w:rPr>
          <w:rFonts w:hint="eastAsia" w:ascii="宋体" w:hAnsi="宋体" w:cs="宋体"/>
          <w:bCs/>
          <w:color w:val="000000"/>
          <w:sz w:val="24"/>
          <w:szCs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szCs w:val="24"/>
          <w:highlight w:val="none"/>
        </w:rPr>
        <w:t>T为当前投资周期内每单位份额的实际分红金额的合计（如有）</w:t>
      </w:r>
    </w:p>
    <w:p>
      <w:pPr>
        <w:numPr>
          <w:ilvl w:val="0"/>
          <w:numId w:val="32"/>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5"/>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5"/>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5"/>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单位净值为提取相关费用及税费后的单位理财计划份额净值。</w:t>
      </w:r>
    </w:p>
    <w:p>
      <w:pPr>
        <w:numPr>
          <w:ilvl w:val="0"/>
          <w:numId w:val="36"/>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0"/>
        </w:numPr>
        <w:spacing w:line="360" w:lineRule="auto"/>
        <w:ind w:left="420" w:leftChars="0"/>
        <w:jc w:val="left"/>
        <w:outlineLvl w:val="9"/>
        <w:rPr>
          <w:rFonts w:hint="eastAsia" w:ascii="宋体" w:hAnsi="宋体" w:cs="宋体"/>
          <w:bCs/>
          <w:color w:val="000000"/>
          <w:sz w:val="24"/>
          <w:highlight w:val="none"/>
        </w:rPr>
      </w:pPr>
      <w:r>
        <w:rPr>
          <w:rFonts w:hint="eastAsia" w:ascii="宋体" w:hAnsi="宋体" w:eastAsia="宋体" w:cs="宋体"/>
          <w:bCs/>
          <w:color w:val="000000"/>
          <w:sz w:val="24"/>
          <w:highlight w:val="none"/>
          <w:lang w:val="en-US" w:eastAsia="zh-CN"/>
        </w:rPr>
        <w:t>以下示例均为假设情况，不构成业绩预测，不代表本理财计划实际投资业绩。</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示例一</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扣除托管费、固定管理费、销售服务费（如有）后，投资收益率超过浮动管理费计提基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。假设管理人提取超过5.00%的50%作为浮动管理费，浮动管理费计提基</w:t>
      </w:r>
      <w:r>
        <w:rPr>
          <w:rFonts w:hint="eastAsia" w:ascii="宋体" w:hAnsi="宋体" w:eastAsia="宋体" w:cs="宋体"/>
          <w:color w:val="000000"/>
          <w:kern w:val="2"/>
          <w:sz w:val="24"/>
          <w:szCs w:val="24"/>
          <w:lang w:val="en-US" w:eastAsia="zh" w:bidi="ar"/>
        </w:rPr>
        <w:t>数</w:t>
      </w:r>
      <w:r>
        <w:rPr>
          <w:rFonts w:hint="eastAsia" w:ascii="宋体" w:hAnsi="宋体" w:eastAsia="宋体" w:cs="宋体"/>
          <w:color w:val="000000"/>
          <w:kern w:val="2"/>
          <w:sz w:val="24"/>
          <w:szCs w:val="24"/>
          <w:lang w:val="en-US" w:eastAsia="zh-CN" w:bidi="ar"/>
        </w:rPr>
        <w:t>为5.00%，期间无分红。赎回时扣除托管费、固定管理费、销售服务费（如有）后，如理财计划净值为1.0615，此时，(1.0615/1.00-1)×365/362=6.20%&gt;5.00%，即投资收益超过〖5.00%〗，则投资管理人对超过〖5.00%〗部分收益收取浮动管理费，浮动管理费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（100,000.00×1.0615-100,000.00×1.0000-100,000.00×1.0000×5.00%×362/365）×50%=595.55（元）</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扣除浮动管理费后，投资者最终收益为：</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100,000.00×（1.0615-1.00）-595.55 =5,554.45（元），理财计划赎回时，投资者获得的实际收益相当于达到年化收益率水平为：5,554.45/100,000.00×365/362=5.60%。</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示例二</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color w:val="000000"/>
          <w:kern w:val="2"/>
          <w:sz w:val="24"/>
          <w:szCs w:val="24"/>
        </w:rPr>
      </w:pPr>
      <w:r>
        <w:rPr>
          <w:rFonts w:hint="eastAsia" w:ascii="宋体" w:hAnsi="宋体" w:eastAsia="宋体" w:cs="宋体"/>
          <w:b/>
          <w:bCs/>
          <w:color w:val="000000"/>
          <w:kern w:val="2"/>
          <w:sz w:val="24"/>
          <w:szCs w:val="24"/>
          <w:lang w:val="en-US" w:eastAsia="zh-CN" w:bidi="ar"/>
        </w:rPr>
        <w:t>扣除托管费、固定管理费、销售服务费（如有）后，投资收益率未达到浮动管理费计提基</w:t>
      </w:r>
      <w:r>
        <w:rPr>
          <w:rFonts w:hint="eastAsia" w:ascii="宋体" w:hAnsi="宋体" w:eastAsia="宋体" w:cs="宋体"/>
          <w:b/>
          <w:bCs/>
          <w:color w:val="000000"/>
          <w:kern w:val="2"/>
          <w:sz w:val="24"/>
          <w:szCs w:val="24"/>
          <w:lang w:val="en-US" w:eastAsia="zh" w:bidi="ar"/>
        </w:rPr>
        <w:t>数</w:t>
      </w:r>
      <w:r>
        <w:rPr>
          <w:rFonts w:hint="eastAsia" w:ascii="宋体" w:hAnsi="宋体" w:eastAsia="宋体" w:cs="宋体"/>
          <w:b/>
          <w:bCs/>
          <w:color w:val="000000"/>
          <w:kern w:val="2"/>
          <w:sz w:val="24"/>
          <w:szCs w:val="24"/>
          <w:lang w:val="en-US" w:eastAsia="zh-CN" w:bidi="ar"/>
        </w:rPr>
        <w:t>。</w:t>
      </w:r>
    </w:p>
    <w:p>
      <w:pPr>
        <w:keepNext w:val="0"/>
        <w:keepLines w:val="0"/>
        <w:widowControl w:val="0"/>
        <w:suppressLineNumbers w:val="0"/>
        <w:spacing w:before="0" w:beforeAutospacing="0" w:after="0" w:afterAutospacing="0" w:line="360" w:lineRule="auto"/>
        <w:ind w:left="0" w:right="0" w:firstLine="480" w:firstLineChars="200"/>
        <w:jc w:val="left"/>
        <w:rPr>
          <w:rFonts w:hint="eastAsia" w:ascii="宋体" w:hAnsi="宋体" w:eastAsia="宋体" w:cs="宋体"/>
          <w:color w:val="000000"/>
          <w:kern w:val="2"/>
          <w:sz w:val="24"/>
          <w:szCs w:val="24"/>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w:t>
      </w:r>
      <w:r>
        <w:rPr>
          <w:rFonts w:hint="eastAsia" w:ascii="宋体" w:hAnsi="宋体" w:eastAsia="宋体" w:cs="宋体"/>
          <w:b w:val="0"/>
          <w:bCs w:val="0"/>
          <w:kern w:val="2"/>
          <w:sz w:val="24"/>
          <w:szCs w:val="24"/>
          <w:lang w:val="en-US" w:eastAsia="zh" w:bidi="ar"/>
        </w:rPr>
        <w:t>数</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1.0426，此时，(1.0426/1.00-1)×365/362=4.30%&lt;5.00%，即投资收益未达到〖5.00%〗，则投资管理人不收取浮动管理费，投资者最终收益为：100,000.00×(1.0426-1.00）=4,260.00（元）</w:t>
      </w:r>
    </w:p>
    <w:p>
      <w:pPr>
        <w:keepNext w:val="0"/>
        <w:keepLines w:val="0"/>
        <w:widowControl w:val="0"/>
        <w:numPr>
          <w:ilvl w:val="0"/>
          <w:numId w:val="37"/>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示例三</w:t>
      </w:r>
    </w:p>
    <w:p>
      <w:pPr>
        <w:keepNext w:val="0"/>
        <w:keepLines w:val="0"/>
        <w:widowControl w:val="0"/>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lang w:val="en-US" w:eastAsia="zh-CN" w:bidi="ar"/>
        </w:rPr>
      </w:pPr>
      <w:r>
        <w:rPr>
          <w:rFonts w:hint="eastAsia" w:ascii="宋体" w:hAnsi="宋体" w:eastAsia="宋体" w:cs="宋体"/>
          <w:b/>
          <w:bCs/>
          <w:color w:val="000000"/>
          <w:kern w:val="2"/>
          <w:sz w:val="24"/>
          <w:szCs w:val="24"/>
          <w:lang w:val="en-US" w:eastAsia="zh-CN" w:bidi="ar"/>
        </w:rPr>
        <w:t>扣除托管费、固定管理费、销售服务费（如有）后，投资发生亏损。</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eastAsia="宋体" w:cs="宋体"/>
          <w:b/>
          <w:bCs/>
          <w:color w:val="000000"/>
          <w:kern w:val="2"/>
          <w:sz w:val="24"/>
          <w:szCs w:val="24"/>
          <w:lang w:val="en-US" w:eastAsia="zh" w:bidi="ar"/>
        </w:rPr>
      </w:pPr>
      <w:r>
        <w:rPr>
          <w:rFonts w:hint="eastAsia" w:ascii="宋体" w:hAnsi="宋体" w:eastAsia="宋体" w:cs="宋体"/>
          <w:color w:val="000000"/>
          <w:kern w:val="2"/>
          <w:sz w:val="24"/>
          <w:szCs w:val="24"/>
          <w:lang w:val="en-US" w:eastAsia="zh-CN" w:bidi="ar"/>
        </w:rPr>
        <w:t>以某投资者投资10万元〖A份额〗为例，假设购买时理财计划净值为1.00元，折算份额为100,000.00份，假设投资理财计划362天后，</w:t>
      </w:r>
      <w:r>
        <w:rPr>
          <w:rFonts w:hint="eastAsia" w:ascii="宋体" w:hAnsi="宋体" w:eastAsia="宋体" w:cs="宋体"/>
          <w:kern w:val="2"/>
          <w:sz w:val="24"/>
          <w:szCs w:val="24"/>
          <w:lang w:val="en-US" w:eastAsia="zh-CN" w:bidi="ar"/>
        </w:rPr>
        <w:t>赎回份额</w:t>
      </w:r>
      <w:r>
        <w:rPr>
          <w:rFonts w:hint="eastAsia" w:ascii="宋体" w:hAnsi="宋体" w:eastAsia="宋体" w:cs="宋体"/>
          <w:color w:val="000000"/>
          <w:kern w:val="2"/>
          <w:sz w:val="24"/>
          <w:szCs w:val="24"/>
          <w:lang w:val="en-US" w:eastAsia="zh-CN" w:bidi="ar"/>
        </w:rPr>
        <w:t>100,000.00</w:t>
      </w:r>
      <w:r>
        <w:rPr>
          <w:rFonts w:hint="eastAsia" w:ascii="宋体" w:hAnsi="宋体" w:eastAsia="宋体" w:cs="宋体"/>
          <w:kern w:val="2"/>
          <w:sz w:val="24"/>
          <w:szCs w:val="24"/>
          <w:lang w:val="en-US" w:eastAsia="zh-CN" w:bidi="ar"/>
        </w:rPr>
        <w:t>份</w:t>
      </w:r>
      <w:r>
        <w:rPr>
          <w:rFonts w:hint="eastAsia" w:ascii="宋体" w:hAnsi="宋体" w:eastAsia="宋体" w:cs="宋体"/>
          <w:color w:val="000000"/>
          <w:kern w:val="2"/>
          <w:sz w:val="24"/>
          <w:szCs w:val="24"/>
          <w:lang w:val="en-US" w:eastAsia="zh-CN" w:bidi="ar"/>
        </w:rPr>
        <w:t>。假设管理人提取超过5.00%的50%作为浮动管理费，</w:t>
      </w:r>
      <w:r>
        <w:rPr>
          <w:rFonts w:hint="eastAsia" w:ascii="宋体" w:hAnsi="宋体" w:eastAsia="宋体" w:cs="宋体"/>
          <w:b w:val="0"/>
          <w:bCs w:val="0"/>
          <w:kern w:val="2"/>
          <w:sz w:val="24"/>
          <w:szCs w:val="24"/>
          <w:lang w:val="en-US" w:eastAsia="zh-CN" w:bidi="ar"/>
        </w:rPr>
        <w:t>浮动管理费计提基准</w:t>
      </w:r>
      <w:r>
        <w:rPr>
          <w:rFonts w:hint="eastAsia" w:ascii="宋体" w:hAnsi="宋体" w:eastAsia="宋体" w:cs="宋体"/>
          <w:kern w:val="2"/>
          <w:sz w:val="24"/>
          <w:szCs w:val="24"/>
          <w:lang w:val="en-US" w:eastAsia="zh-CN" w:bidi="ar"/>
        </w:rPr>
        <w:t>为5.00%</w:t>
      </w:r>
      <w:r>
        <w:rPr>
          <w:rFonts w:hint="eastAsia" w:ascii="宋体" w:hAnsi="宋体" w:eastAsia="宋体" w:cs="宋体"/>
          <w:color w:val="000000"/>
          <w:kern w:val="2"/>
          <w:sz w:val="24"/>
          <w:szCs w:val="24"/>
          <w:lang w:val="en-US" w:eastAsia="zh-CN" w:bidi="ar"/>
        </w:rPr>
        <w:t>，期间无分红。赎回时扣除托管费、固定管理费、销售服务费（如有）后，如理财计划净值为0.9975，则投资管理人不收取浮动管理费，投资者最终收益为：100,000.00×（0.9975-1.00）=-250.00（元）</w:t>
      </w:r>
      <w:r>
        <w:rPr>
          <w:rFonts w:hint="eastAsia" w:ascii="宋体" w:hAnsi="宋体" w:eastAsia="宋体" w:cs="宋体"/>
          <w:color w:val="000000"/>
          <w:kern w:val="2"/>
          <w:sz w:val="24"/>
          <w:szCs w:val="24"/>
          <w:lang w:val="en-US" w:eastAsia="zh" w:bidi="ar"/>
        </w:rPr>
        <w:t>。</w:t>
      </w:r>
    </w:p>
    <w:p>
      <w:pPr>
        <w:numPr>
          <w:ilvl w:val="0"/>
          <w:numId w:val="36"/>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（具体以销售机构要求为准）</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理财计划总份额的50％，管理人将不再接受超出部分的认购申请。非因投资管理人主观因素导致突破前款规定比例限制的，在单一投资者持有比例降至50％以下之前，管理人将不再接受该投资者对该理财计划的认购申请。投资者持有份额的计算以管理人登记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color w:val="000000"/>
          <w:sz w:val="24"/>
          <w:highlight w:val="none"/>
        </w:rPr>
        <w:t>成立</w:t>
      </w:r>
    </w:p>
    <w:p>
      <w:pPr>
        <w:numPr>
          <w:ilvl w:val="0"/>
          <w:numId w:val="40"/>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40"/>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w:t>
      </w:r>
      <w:r>
        <w:rPr>
          <w:rFonts w:hint="eastAsia" w:ascii="宋体" w:hAnsi="宋体" w:cs="宋体"/>
          <w:bCs/>
          <w:color w:val="000000"/>
          <w:sz w:val="24"/>
          <w:highlight w:val="none"/>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〗进行确认。</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〗上午〖</w:t>
      </w:r>
      <w:r>
        <w:rPr>
          <w:rFonts w:hint="eastAsia" w:ascii="宋体" w:hAnsi="宋体" w:cs="宋体"/>
          <w:bCs/>
          <w:color w:val="000000"/>
          <w:sz w:val="24"/>
          <w:highlight w:val="none"/>
        </w:rPr>
        <w:t>9:00</w:t>
      </w:r>
      <w:r>
        <w:rPr>
          <w:rFonts w:hint="eastAsia" w:ascii="宋体" w:hAnsi="宋体" w:cs="宋体"/>
          <w:bCs/>
          <w:sz w:val="24"/>
          <w:highlight w:val="none"/>
        </w:rPr>
        <w:t>〗至下午〖</w:t>
      </w:r>
      <w:r>
        <w:rPr>
          <w:rFonts w:hint="eastAsia" w:ascii="宋体" w:hAnsi="宋体" w:cs="宋体"/>
          <w:bCs/>
          <w:color w:val="000000"/>
          <w:sz w:val="24"/>
          <w:highlight w:val="none"/>
        </w:rPr>
        <w:t>17:00〗</w:t>
      </w:r>
      <w:r>
        <w:rPr>
          <w:rFonts w:hint="eastAsia" w:ascii="宋体" w:hAnsi="宋体" w:cs="宋体"/>
          <w:bCs/>
          <w:sz w:val="24"/>
          <w:highlight w:val="none"/>
        </w:rPr>
        <w:t>。</w:t>
      </w:r>
      <w:r>
        <w:rPr>
          <w:rFonts w:hint="eastAsia" w:ascii="宋体" w:hAnsi="宋体" w:cs="宋体"/>
          <w:color w:val="000000"/>
          <w:kern w:val="0"/>
          <w:sz w:val="24"/>
          <w:szCs w:val="24"/>
          <w:highlight w:val="none"/>
        </w:rPr>
        <w:t>（具体以销售机构规定为准）</w:t>
      </w:r>
    </w:p>
    <w:p>
      <w:pPr>
        <w:numPr>
          <w:ilvl w:val="0"/>
          <w:numId w:val="42"/>
        </w:num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lang w:eastAsia="zh-CN"/>
        </w:rPr>
        <w:t>如新增申</w:t>
      </w:r>
      <w:r>
        <w:rPr>
          <w:rFonts w:hint="eastAsia" w:ascii="宋体" w:hAnsi="宋体" w:cs="宋体"/>
          <w:bCs/>
          <w:color w:val="000000"/>
          <w:sz w:val="24"/>
          <w:highlight w:val="none"/>
          <w:lang w:val="en-US" w:eastAsia="zh-CN"/>
        </w:rPr>
        <w:t>购使得单一投资者持有份额比例超过理财计划总份额的50％，管理人将不再接受超出部分的申购申请。非因投资管理人主观因素导致突破前款规定比例限制的，在单一投资者持有比例降至50％以下之前，管理人将不再接受该投资者对该理财计划的申购申请。投资者持有份额的计算以管理人登记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eastAsia="宋体" w:cs="宋体"/>
          <w:bCs/>
          <w:kern w:val="2"/>
          <w:sz w:val="24"/>
          <w:szCs w:val="24"/>
          <w:highlight w:val="none"/>
          <w:lang w:val="en-US" w:eastAsia="zh-CN" w:bidi="ar-SA"/>
        </w:rPr>
        <w:t>〖确认日当日〗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确认日后〖2〗个〖工作日〗内</w:t>
      </w:r>
      <w:r>
        <w:rPr>
          <w:rFonts w:hint="eastAsia" w:ascii="宋体" w:hAnsi="宋体" w:cs="宋体"/>
          <w:bCs/>
          <w:sz w:val="24"/>
          <w:highlight w:val="none"/>
        </w:rPr>
        <w:t>（遇节假日顺延）支付。如遇资金在途或法定工作日调整，实际资金到账日以公告为准。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3"/>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w:t>
      </w:r>
      <w:r>
        <w:rPr>
          <w:rFonts w:hint="eastAsia" w:ascii="宋体" w:hAnsi="宋体" w:cs="宋体"/>
          <w:bCs/>
          <w:color w:val="000000"/>
          <w:sz w:val="24"/>
          <w:highlight w:val="none"/>
        </w:rPr>
        <w:t>10%</w:t>
      </w:r>
      <w:r>
        <w:rPr>
          <w:rFonts w:hint="eastAsia" w:ascii="宋体" w:hAnsi="宋体" w:cs="宋体"/>
          <w:bCs/>
          <w:sz w:val="24"/>
          <w:highlight w:val="none"/>
        </w:rPr>
        <w:t>〗时，即构成巨额赎回。</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如连续2日（含）以上开放日发生巨额赎回，对于已经接受的赎回申请，管理人可以延缓支付赎回款项，但延缓期限不得超过20个工作日。</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w:t>
      </w:r>
      <w:r>
        <w:rPr>
          <w:rFonts w:hint="eastAsia" w:ascii="宋体" w:hAnsi="宋体" w:cs="宋体"/>
          <w:bCs/>
          <w:color w:val="000000"/>
          <w:sz w:val="24"/>
          <w:highlight w:val="none"/>
        </w:rPr>
        <w:t>10%</w:t>
      </w:r>
      <w:r>
        <w:rPr>
          <w:rFonts w:hint="eastAsia" w:ascii="宋体" w:hAnsi="宋体" w:cs="宋体"/>
          <w:bCs/>
          <w:sz w:val="24"/>
          <w:highlight w:val="none"/>
        </w:rPr>
        <w:t>〗的前提下，对其余赎回申请予以拒绝，但投资者可于下一赎回开放期重新进行赎回申请。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6"/>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eastAsia="宋体" w:cs="宋体"/>
          <w:bCs/>
          <w:kern w:val="2"/>
          <w:sz w:val="24"/>
          <w:szCs w:val="24"/>
          <w:highlight w:val="none"/>
          <w:lang w:val="en-US" w:eastAsia="zh-CN" w:bidi="ar-SA"/>
        </w:rPr>
        <w:t>1</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〗、最晚〖</w:t>
      </w:r>
      <w:r>
        <w:rPr>
          <w:rFonts w:hint="eastAsia" w:ascii="宋体" w:hAnsi="宋体" w:eastAsia="宋体" w:cs="宋体"/>
          <w:bCs/>
          <w:kern w:val="2"/>
          <w:sz w:val="24"/>
          <w:szCs w:val="24"/>
          <w:highlight w:val="none"/>
          <w:lang w:val="en-US" w:eastAsia="zh-CN" w:bidi="ar-SA"/>
        </w:rPr>
        <w:t>3</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1</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〗通过管理人或销售机构发布提前终止公告，并于终止日后</w:t>
      </w:r>
      <w:r>
        <w:rPr>
          <w:rFonts w:hint="eastAsia" w:ascii="宋体" w:hAnsi="宋体" w:cs="宋体"/>
          <w:sz w:val="24"/>
          <w:szCs w:val="24"/>
          <w:highlight w:val="none"/>
        </w:rPr>
        <w:t>〖</w:t>
      </w:r>
      <w:r>
        <w:rPr>
          <w:rFonts w:hint="eastAsia" w:ascii="宋体" w:hAnsi="宋体" w:cs="宋体"/>
          <w:kern w:val="2"/>
          <w:sz w:val="24"/>
          <w:szCs w:val="24"/>
          <w:highlight w:val="none"/>
          <w:lang w:val="en-US" w:eastAsia="zh" w:bidi="ar-SA"/>
        </w:rPr>
        <w:t>3</w:t>
      </w:r>
      <w:r>
        <w:rPr>
          <w:rFonts w:hint="eastAsia" w:ascii="宋体" w:hAnsi="宋体" w:cs="宋体"/>
          <w:bCs/>
          <w:color w:val="000000"/>
          <w:sz w:val="24"/>
          <w:highlight w:val="none"/>
        </w:rPr>
        <w:t>〗</w:t>
      </w:r>
      <w:r>
        <w:rPr>
          <w:rFonts w:hint="eastAsia" w:ascii="宋体" w:hAnsi="宋体" w:cs="宋体"/>
          <w:bCs/>
          <w:sz w:val="24"/>
          <w:highlight w:val="none"/>
        </w:rPr>
        <w:t>个〖</w:t>
      </w:r>
      <w:r>
        <w:rPr>
          <w:rFonts w:hint="eastAsia" w:ascii="宋体" w:hAnsi="宋体" w:eastAsia="宋体" w:cs="宋体"/>
          <w:bCs/>
          <w:kern w:val="2"/>
          <w:sz w:val="24"/>
          <w:szCs w:val="24"/>
          <w:highlight w:val="none"/>
          <w:lang w:val="en-US" w:eastAsia="zh-CN" w:bidi="ar-SA"/>
        </w:rPr>
        <w:t>工作日</w:t>
      </w:r>
      <w:r>
        <w:rPr>
          <w:rFonts w:hint="eastAsia" w:ascii="宋体" w:hAnsi="宋体" w:cs="宋体"/>
          <w:bCs/>
          <w:sz w:val="24"/>
          <w:highlight w:val="none"/>
        </w:rPr>
        <w:t>〗内将可兑付款项按规定的要求划入投资者授权指定的理财账户。终止日至资金实际到账日之间，投资者资金不计息。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8"/>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1"/>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r>
        <w:rPr>
          <w:rFonts w:hint="eastAsia" w:ascii="宋体" w:hAnsi="宋体" w:cs="宋体"/>
          <w:bCs/>
          <w:color w:val="000000"/>
          <w:sz w:val="24"/>
          <w:highlight w:val="none"/>
          <w:lang w:eastAsia="zh"/>
        </w:rPr>
        <w:t>公募开放式产品至少每周披露净值。</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sz w:val="24"/>
          <w:highlight w:val="none"/>
          <w:lang w:eastAsia="zh-CN"/>
        </w:rPr>
        <w:t>如本理财计划成立不足</w:t>
      </w:r>
      <w:r>
        <w:rPr>
          <w:rFonts w:hint="eastAsia" w:ascii="宋体" w:hAnsi="宋体" w:cs="宋体"/>
          <w:bCs/>
          <w:color w:val="000000"/>
          <w:sz w:val="24"/>
          <w:highlight w:val="none"/>
          <w:lang w:val="en-US" w:eastAsia="zh-CN"/>
        </w:rPr>
        <w:t>90个工作日或剩余存续期不超过90个工作日的，管理人可不编制当期的季度、半年和年度报告等运行报告。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5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3"/>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3"/>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9"/>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1"/>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w:t>
      </w:r>
      <w:r>
        <w:rPr>
          <w:rFonts w:hint="eastAsia" w:ascii="宋体" w:hAnsi="宋体" w:cs="宋体"/>
          <w:b/>
          <w:bCs w:val="0"/>
          <w:color w:val="000000"/>
          <w:sz w:val="24"/>
          <w:highlight w:val="none"/>
        </w:rPr>
        <w:t>投资者在此同意并授权，管理人可根据监管要求，为理财计划登记等需要，向登记部门或监管机构提供投资者相关信息</w:t>
      </w:r>
      <w:r>
        <w:rPr>
          <w:rFonts w:hint="eastAsia" w:ascii="宋体" w:hAnsi="宋体" w:cs="宋体"/>
          <w:b/>
          <w:bCs w:val="0"/>
          <w:color w:val="000000"/>
          <w:sz w:val="24"/>
          <w:highlight w:val="none"/>
          <w:lang w:eastAsia="zh-CN"/>
        </w:rPr>
        <w:t>，</w:t>
      </w:r>
      <w:r>
        <w:rPr>
          <w:rFonts w:hint="eastAsia" w:ascii="宋体" w:hAnsi="宋体" w:cs="宋体"/>
          <w:b/>
          <w:bCs w:val="0"/>
          <w:color w:val="000000"/>
          <w:sz w:val="24"/>
          <w:highlight w:val="none"/>
          <w:lang w:val="en-US" w:eastAsia="zh-CN"/>
        </w:rPr>
        <w:t>授权使用时限与履行相关法律法规和监管要求的必要时限一致</w:t>
      </w:r>
      <w:r>
        <w:rPr>
          <w:rFonts w:hint="eastAsia" w:ascii="宋体" w:hAnsi="宋体" w:cs="宋体"/>
          <w:b/>
          <w:bCs w:val="0"/>
          <w:color w:val="000000"/>
          <w:sz w:val="24"/>
          <w:highlight w:val="none"/>
        </w:rPr>
        <w:t>。</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val="en-US" w:eastAsia="zh-CN"/>
        </w:rPr>
        <w:t>被告人</w:t>
      </w:r>
      <w:r>
        <w:rPr>
          <w:rFonts w:hint="eastAsia" w:ascii="宋体" w:hAnsi="宋体" w:cs="宋体"/>
          <w:bCs/>
          <w:color w:val="000000"/>
          <w:sz w:val="24"/>
          <w:highlight w:val="none"/>
        </w:rPr>
        <w:t>所在地有管辖权的人民法院诉讼解决。</w:t>
      </w:r>
    </w:p>
    <w:p>
      <w:pPr>
        <w:numPr>
          <w:ilvl w:val="0"/>
          <w:numId w:val="54"/>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
          <w:bCs/>
          <w:color w:val="000000"/>
          <w:sz w:val="44"/>
          <w:szCs w:val="4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4">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5">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6">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7">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8">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19">
    <w:nsid w:val="D8D75090"/>
    <w:multiLevelType w:val="singleLevel"/>
    <w:tmpl w:val="D8D75090"/>
    <w:lvl w:ilvl="0" w:tentative="0">
      <w:start w:val="1"/>
      <w:numFmt w:val="decimal"/>
      <w:suff w:val="nothing"/>
      <w:lvlText w:val="（%1）"/>
      <w:lvlJc w:val="left"/>
      <w:rPr>
        <w:rFonts w:hint="default"/>
        <w:b w:val="0"/>
        <w:bCs w:val="0"/>
      </w:rPr>
    </w:lvl>
  </w:abstractNum>
  <w:abstractNum w:abstractNumId="20">
    <w:nsid w:val="DD2251DF"/>
    <w:multiLevelType w:val="singleLevel"/>
    <w:tmpl w:val="DD2251DF"/>
    <w:lvl w:ilvl="0" w:tentative="0">
      <w:start w:val="1"/>
      <w:numFmt w:val="decimal"/>
      <w:suff w:val="nothing"/>
      <w:lvlText w:val="（%1）"/>
      <w:lvlJc w:val="left"/>
      <w:rPr>
        <w:rFonts w:hint="default"/>
        <w:b w:val="0"/>
        <w:bCs w:val="0"/>
      </w:rPr>
    </w:lvl>
  </w:abstractNum>
  <w:abstractNum w:abstractNumId="21">
    <w:nsid w:val="E20DF07A"/>
    <w:multiLevelType w:val="singleLevel"/>
    <w:tmpl w:val="E20DF07A"/>
    <w:lvl w:ilvl="0" w:tentative="0">
      <w:start w:val="1"/>
      <w:numFmt w:val="chineseCounting"/>
      <w:suff w:val="nothing"/>
      <w:lvlText w:val="（%1）"/>
      <w:lvlJc w:val="left"/>
      <w:pPr>
        <w:ind w:left="0" w:firstLine="420"/>
      </w:pPr>
      <w:rPr>
        <w:rFonts w:hint="eastAsia"/>
        <w:b/>
        <w:bCs/>
      </w:rPr>
    </w:lvl>
  </w:abstractNum>
  <w:abstractNum w:abstractNumId="22">
    <w:nsid w:val="E70DF796"/>
    <w:multiLevelType w:val="singleLevel"/>
    <w:tmpl w:val="E70DF796"/>
    <w:lvl w:ilvl="0" w:tentative="0">
      <w:start w:val="1"/>
      <w:numFmt w:val="decimal"/>
      <w:suff w:val="nothing"/>
      <w:lvlText w:val="（%1）"/>
      <w:lvlJc w:val="left"/>
    </w:lvl>
  </w:abstractNum>
  <w:abstractNum w:abstractNumId="23">
    <w:nsid w:val="EED9DB58"/>
    <w:multiLevelType w:val="multilevel"/>
    <w:tmpl w:val="EED9DB58"/>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FBBA18C3"/>
    <w:multiLevelType w:val="singleLevel"/>
    <w:tmpl w:val="FBBA18C3"/>
    <w:lvl w:ilvl="0" w:tentative="0">
      <w:start w:val="1"/>
      <w:numFmt w:val="decimal"/>
      <w:lvlText w:val="%1."/>
      <w:lvlJc w:val="left"/>
      <w:pPr>
        <w:tabs>
          <w:tab w:val="left" w:pos="312"/>
        </w:tabs>
      </w:pPr>
      <w:rPr>
        <w:rFonts w:hint="default"/>
        <w:b w:val="0"/>
        <w:bCs w:val="0"/>
        <w:highlight w:val="none"/>
      </w:rPr>
    </w:lvl>
  </w:abstractNum>
  <w:abstractNum w:abstractNumId="31">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2">
    <w:nsid w:val="084A6179"/>
    <w:multiLevelType w:val="singleLevel"/>
    <w:tmpl w:val="084A6179"/>
    <w:lvl w:ilvl="0" w:tentative="0">
      <w:start w:val="1"/>
      <w:numFmt w:val="decimal"/>
      <w:suff w:val="nothing"/>
      <w:lvlText w:val="（%1）"/>
      <w:lvlJc w:val="left"/>
      <w:rPr>
        <w:rFonts w:hint="default"/>
        <w:highlight w:val="none"/>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9C07A9C"/>
    <w:multiLevelType w:val="singleLevel"/>
    <w:tmpl w:val="69C07A9C"/>
    <w:lvl w:ilvl="0" w:tentative="0">
      <w:start w:val="1"/>
      <w:numFmt w:val="lowerLetter"/>
      <w:suff w:val="space"/>
      <w:lvlText w:val="%1."/>
      <w:lvlJc w:val="left"/>
    </w:lvl>
  </w:abstractNum>
  <w:abstractNum w:abstractNumId="53">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6"/>
  </w:num>
  <w:num w:numId="8">
    <w:abstractNumId w:val="10"/>
  </w:num>
  <w:num w:numId="9">
    <w:abstractNumId w:val="13"/>
  </w:num>
  <w:num w:numId="10">
    <w:abstractNumId w:val="7"/>
  </w:num>
  <w:num w:numId="11">
    <w:abstractNumId w:val="8"/>
  </w:num>
  <w:num w:numId="12">
    <w:abstractNumId w:val="6"/>
  </w:num>
  <w:num w:numId="13">
    <w:abstractNumId w:val="30"/>
  </w:num>
  <w:num w:numId="14">
    <w:abstractNumId w:val="43"/>
  </w:num>
  <w:num w:numId="15">
    <w:abstractNumId w:val="28"/>
  </w:num>
  <w:num w:numId="16">
    <w:abstractNumId w:val="45"/>
  </w:num>
  <w:num w:numId="17">
    <w:abstractNumId w:val="50"/>
  </w:num>
  <w:num w:numId="18">
    <w:abstractNumId w:val="52"/>
  </w:num>
  <w:num w:numId="19">
    <w:abstractNumId w:val="38"/>
  </w:num>
  <w:num w:numId="20">
    <w:abstractNumId w:val="15"/>
  </w:num>
  <w:num w:numId="21">
    <w:abstractNumId w:val="37"/>
  </w:num>
  <w:num w:numId="22">
    <w:abstractNumId w:val="18"/>
  </w:num>
  <w:num w:numId="23">
    <w:abstractNumId w:val="5"/>
  </w:num>
  <w:num w:numId="24">
    <w:abstractNumId w:val="47"/>
  </w:num>
  <w:num w:numId="25">
    <w:abstractNumId w:val="4"/>
  </w:num>
  <w:num w:numId="26">
    <w:abstractNumId w:val="32"/>
  </w:num>
  <w:num w:numId="27">
    <w:abstractNumId w:val="36"/>
  </w:num>
  <w:num w:numId="28">
    <w:abstractNumId w:val="53"/>
  </w:num>
  <w:num w:numId="29">
    <w:abstractNumId w:val="31"/>
  </w:num>
  <w:num w:numId="30">
    <w:abstractNumId w:val="17"/>
  </w:num>
  <w:num w:numId="31">
    <w:abstractNumId w:val="40"/>
  </w:num>
  <w:num w:numId="32">
    <w:abstractNumId w:val="0"/>
  </w:num>
  <w:num w:numId="33">
    <w:abstractNumId w:val="20"/>
  </w:num>
  <w:num w:numId="34">
    <w:abstractNumId w:val="42"/>
  </w:num>
  <w:num w:numId="35">
    <w:abstractNumId w:val="2"/>
  </w:num>
  <w:num w:numId="36">
    <w:abstractNumId w:val="21"/>
  </w:num>
  <w:num w:numId="37">
    <w:abstractNumId w:val="23"/>
  </w:num>
  <w:num w:numId="38">
    <w:abstractNumId w:val="46"/>
  </w:num>
  <w:num w:numId="39">
    <w:abstractNumId w:val="34"/>
  </w:num>
  <w:num w:numId="40">
    <w:abstractNumId w:val="14"/>
  </w:num>
  <w:num w:numId="41">
    <w:abstractNumId w:val="27"/>
  </w:num>
  <w:num w:numId="42">
    <w:abstractNumId w:val="22"/>
  </w:num>
  <w:num w:numId="43">
    <w:abstractNumId w:val="24"/>
  </w:num>
  <w:num w:numId="44">
    <w:abstractNumId w:val="51"/>
  </w:num>
  <w:num w:numId="45">
    <w:abstractNumId w:val="39"/>
  </w:num>
  <w:num w:numId="46">
    <w:abstractNumId w:val="1"/>
  </w:num>
  <w:num w:numId="47">
    <w:abstractNumId w:val="49"/>
  </w:num>
  <w:num w:numId="48">
    <w:abstractNumId w:val="11"/>
  </w:num>
  <w:num w:numId="49">
    <w:abstractNumId w:val="9"/>
  </w:num>
  <w:num w:numId="50">
    <w:abstractNumId w:val="12"/>
  </w:num>
  <w:num w:numId="51">
    <w:abstractNumId w:val="35"/>
  </w:num>
  <w:num w:numId="52">
    <w:abstractNumId w:val="19"/>
  </w:num>
  <w:num w:numId="53">
    <w:abstractNumId w:val="3"/>
  </w:num>
  <w:num w:numId="5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174C21"/>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3086176D"/>
    <w:rsid w:val="31124CF4"/>
    <w:rsid w:val="31A3269E"/>
    <w:rsid w:val="322D08A3"/>
    <w:rsid w:val="32626F15"/>
    <w:rsid w:val="329E36D6"/>
    <w:rsid w:val="32FB01FE"/>
    <w:rsid w:val="34105616"/>
    <w:rsid w:val="34600CE0"/>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752F7F"/>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FB3A5A"/>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8C4439B"/>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F4BD653"/>
    <w:rsid w:val="FF6C6882"/>
    <w:rsid w:val="FFFEC613"/>
    <w:rsid w:val="FFFF382F"/>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40847</Characters>
  <Lines>1</Lines>
  <Paragraphs>1</Paragraphs>
  <TotalTime>1</TotalTime>
  <ScaleCrop>false</ScaleCrop>
  <LinksUpToDate>false</LinksUpToDate>
  <CharactersWithSpaces>41188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2025-10-27T06:06:04Z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