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bookmarkStart w:id="0" w:name="_GoBack"/>
      <w:bookmarkEnd w:id="0"/>
      <w:r>
        <w:rPr>
          <w:rFonts w:hint="eastAsia" w:ascii="宋体" w:hAnsi="宋体" w:eastAsia="宋体" w:cs="宋体"/>
          <w:b/>
          <w:bCs/>
          <w:kern w:val="2"/>
          <w:sz w:val="44"/>
          <w:szCs w:val="44"/>
          <w:highlight w:val="none"/>
          <w:lang w:val="en-US" w:eastAsia="zh-CN" w:bidi="ar-SA"/>
        </w:rPr>
        <w:t>杭银理财幸福99半年添益2018期理财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宋体" w:eastAsia="宋体" w:cs="宋体"/>
          <w:bCs/>
          <w:kern w:val="2"/>
          <w:sz w:val="24"/>
          <w:szCs w:val="24"/>
          <w:highlight w:val="none"/>
          <w:lang w:val="en-US" w:eastAsia="zh-CN" w:bidi="ar-SA"/>
        </w:rPr>
        <w:t>Z7002221000183</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sz w:val="24"/>
          <w:highlight w:val="none"/>
          <w:lang w:eastAsia="zh-CN"/>
        </w:rPr>
        <w:t>理财计划</w:t>
      </w:r>
      <w:r>
        <w:rPr>
          <w:rFonts w:hint="eastAsia" w:ascii="宋体" w:hAnsi="宋体" w:cs="宋体"/>
          <w:bCs/>
          <w:sz w:val="24"/>
          <w:highlight w:val="none"/>
        </w:rPr>
        <w:t>风险揭示书》《投资者权益须知》《理财计划投资协议书》</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w:t>
      </w:r>
      <w:r>
        <w:rPr>
          <w:rFonts w:hint="eastAsia" w:ascii="宋体" w:hAnsi="宋体" w:cs="宋体"/>
          <w:bCs/>
          <w:sz w:val="24"/>
          <w:highlight w:val="none"/>
          <w:lang w:val="en-US" w:eastAsia="zh-CN"/>
        </w:rPr>
        <w:t>销售文件</w:t>
      </w:r>
      <w:r>
        <w:rPr>
          <w:rFonts w:hint="eastAsia" w:ascii="宋体" w:hAnsi="宋体" w:cs="宋体"/>
          <w:bCs/>
          <w:sz w:val="24"/>
          <w:highlight w:val="none"/>
        </w:rPr>
        <w:t>。</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w:t>
      </w:r>
      <w:r>
        <w:rPr>
          <w:rFonts w:hint="eastAsia" w:ascii="宋体" w:hAnsi="宋体" w:cs="宋体"/>
          <w:bCs/>
          <w:sz w:val="24"/>
          <w:highlight w:val="none"/>
          <w:lang w:val="en-US" w:eastAsia="zh-CN"/>
        </w:rPr>
        <w:t>因上述变化导致的</w:t>
      </w:r>
      <w:r>
        <w:rPr>
          <w:rFonts w:hint="eastAsia" w:ascii="宋体" w:hAnsi="宋体" w:cs="宋体"/>
          <w:bCs/>
          <w:sz w:val="24"/>
          <w:highlight w:val="none"/>
        </w:rPr>
        <w:t>本理财计划说明书条款</w:t>
      </w:r>
      <w:r>
        <w:rPr>
          <w:rFonts w:hint="eastAsia" w:ascii="宋体" w:hAnsi="宋体" w:cs="宋体"/>
          <w:bCs/>
          <w:sz w:val="24"/>
          <w:highlight w:val="none"/>
          <w:lang w:val="en-US" w:eastAsia="zh-CN"/>
        </w:rPr>
        <w:t>变化</w:t>
      </w:r>
      <w:r>
        <w:rPr>
          <w:rFonts w:hint="eastAsia" w:ascii="宋体" w:hAnsi="宋体" w:cs="宋体"/>
          <w:bCs/>
          <w:sz w:val="24"/>
          <w:highlight w:val="none"/>
        </w:rPr>
        <w:t>进行修订。</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highlight w:val="none"/>
          <w:u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000000"/>
          <w:kern w:val="2"/>
          <w:highlight w:val="none"/>
          <w:u w:val="none"/>
        </w:rPr>
        <w:fldChar w:fldCharType="begin"/>
      </w:r>
      <w:r>
        <w:rPr>
          <w:rFonts w:hint="eastAsia" w:ascii="宋体" w:hAnsi="宋体" w:cs="宋体"/>
          <w:bCs/>
          <w:color w:val="000000"/>
          <w:kern w:val="2"/>
          <w:highlight w:val="none"/>
          <w:u w:val="none"/>
        </w:rPr>
        <w:instrText xml:space="preserve"> HYPERLINK "http://www.hzbank.com.cn" </w:instrText>
      </w:r>
      <w:r>
        <w:rPr>
          <w:rFonts w:hint="eastAsia" w:ascii="宋体" w:hAnsi="宋体" w:cs="宋体"/>
          <w:bCs/>
          <w:color w:val="000000"/>
          <w:kern w:val="2"/>
          <w:highlight w:val="none"/>
          <w:u w:val="none"/>
        </w:rP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杭银理财幸福99半年添益2018期理财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杭银理财幸福99半年添益2018期理财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杭银理财幸福99半年添益2018期理财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投资协议书：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杭银理财幸福99半年添益2018期理财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w:t>
      </w:r>
      <w:r>
        <w:rPr>
          <w:rFonts w:hint="eastAsia" w:ascii="宋体" w:hAnsi="宋体" w:cs="宋体"/>
          <w:b/>
          <w:bCs w:val="0"/>
          <w:color w:val="auto"/>
          <w:kern w:val="2"/>
          <w:highlight w:val="none"/>
          <w:lang w:val="en-US" w:eastAsia="zh-CN"/>
        </w:rPr>
        <w:t>计划</w:t>
      </w:r>
      <w:r>
        <w:rPr>
          <w:rFonts w:hint="eastAsia" w:ascii="宋体" w:hAnsi="宋体" w:cs="宋体"/>
          <w:b/>
          <w:bCs w:val="0"/>
          <w:color w:val="auto"/>
          <w:kern w:val="2"/>
          <w:highlight w:val="none"/>
          <w:lang w:eastAsia="zh-CN"/>
        </w:rPr>
        <w:t>销售协议书：</w:t>
      </w:r>
      <w:r>
        <w:rPr>
          <w:rFonts w:hint="eastAsia" w:ascii="宋体" w:hAnsi="宋体" w:cs="宋体"/>
          <w:bCs/>
          <w:color w:val="auto"/>
          <w:kern w:val="2"/>
          <w:highlight w:val="none"/>
          <w:lang w:eastAsia="zh-CN"/>
        </w:rPr>
        <w:t>指作为</w:t>
      </w:r>
      <w:r>
        <w:rPr>
          <w:rFonts w:hint="eastAsia" w:ascii="宋体" w:hAnsi="宋体" w:eastAsia="宋体" w:cs="宋体"/>
          <w:bCs/>
          <w:color w:val="auto"/>
          <w:kern w:val="2"/>
          <w:sz w:val="24"/>
          <w:szCs w:val="24"/>
          <w:highlight w:val="none"/>
          <w:lang w:val="en-US" w:eastAsia="zh-CN" w:bidi="ar-SA"/>
        </w:rPr>
        <w:t>杭银理财幸福99半年添益2018期理财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合同/销售文件：</w:t>
      </w:r>
      <w:r>
        <w:rPr>
          <w:rFonts w:hint="eastAsia" w:ascii="宋体" w:hAnsi="宋体" w:cs="宋体"/>
          <w:bCs/>
          <w:color w:val="auto"/>
          <w:kern w:val="2"/>
          <w:highlight w:val="none"/>
        </w:rPr>
        <w:t>指《理财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产品说明书</w:t>
      </w:r>
      <w:r>
        <w:rPr>
          <w:rFonts w:hint="eastAsia" w:ascii="宋体" w:hAnsi="宋体" w:cs="宋体"/>
          <w:bCs/>
          <w:color w:val="auto"/>
          <w:kern w:val="2"/>
          <w:highlight w:val="none"/>
        </w:rPr>
        <w:t>》《投资者权益须知》《理财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rPr>
        <w:t>投资协议书》</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杭银理财幸福99半年添益2018期理财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20"/>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投资周期</w:t>
      </w:r>
      <w:r>
        <w:rPr>
          <w:rFonts w:hint="eastAsia" w:ascii="宋体" w:hAnsi="宋体" w:cs="宋体"/>
          <w:b/>
          <w:color w:val="auto"/>
          <w:kern w:val="2"/>
          <w:highlight w:val="none"/>
          <w:lang w:eastAsia="zh-CN"/>
        </w:rPr>
        <w:t>：</w:t>
      </w:r>
      <w:r>
        <w:rPr>
          <w:rFonts w:hint="eastAsia" w:ascii="宋体" w:hAnsi="宋体" w:cs="宋体"/>
          <w:b w:val="0"/>
          <w:bCs/>
          <w:color w:val="auto"/>
          <w:kern w:val="2"/>
          <w:highlight w:val="none"/>
          <w:lang w:eastAsia="zh-CN"/>
        </w:rPr>
        <w:t>指理财计划成立或申购</w:t>
      </w:r>
      <w:r>
        <w:rPr>
          <w:rFonts w:hint="eastAsia" w:ascii="宋体" w:hAnsi="宋体" w:cs="宋体"/>
          <w:b w:val="0"/>
          <w:bCs/>
          <w:color w:val="auto"/>
          <w:kern w:val="2"/>
          <w:highlight w:val="none"/>
          <w:lang w:val="en-US" w:eastAsia="zh-CN"/>
        </w:rPr>
        <w:t>/赎回</w:t>
      </w:r>
      <w:r>
        <w:rPr>
          <w:rFonts w:hint="eastAsia" w:ascii="宋体" w:hAnsi="宋体" w:cs="宋体"/>
          <w:b w:val="0"/>
          <w:bCs/>
          <w:color w:val="auto"/>
          <w:kern w:val="2"/>
          <w:highlight w:val="none"/>
          <w:lang w:eastAsia="zh-CN"/>
        </w:rPr>
        <w:t>开放期确认后，至下一个申购</w:t>
      </w:r>
      <w:r>
        <w:rPr>
          <w:rFonts w:hint="eastAsia" w:ascii="宋体" w:hAnsi="宋体" w:cs="宋体"/>
          <w:b w:val="0"/>
          <w:bCs/>
          <w:color w:val="auto"/>
          <w:kern w:val="2"/>
          <w:highlight w:val="none"/>
          <w:lang w:val="en-US" w:eastAsia="zh-CN"/>
        </w:rPr>
        <w:t>/赎回开放期确认前的时间。如申购和赎回开放期确认时间不一致，应明确以申购投资周期或赎回投资周期作为理财计划的投资周期。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w:t>
      </w:r>
      <w:r>
        <w:rPr>
          <w:rFonts w:hint="eastAsia" w:ascii="宋体" w:hAnsi="宋体" w:cs="宋体"/>
          <w:bCs/>
          <w:color w:val="auto"/>
          <w:kern w:val="2"/>
          <w:highlight w:val="none"/>
          <w:lang w:eastAsia="zh-CN"/>
        </w:rPr>
        <w:t>、</w:t>
      </w:r>
      <w:r>
        <w:rPr>
          <w:rFonts w:hint="eastAsia" w:ascii="宋体" w:hAnsi="宋体" w:cs="宋体"/>
          <w:bCs/>
          <w:color w:val="auto"/>
          <w:kern w:val="2"/>
          <w:highlight w:val="none"/>
          <w:lang w:val="en-US" w:eastAsia="zh-CN"/>
        </w:rPr>
        <w:t>赎回</w:t>
      </w:r>
      <w:r>
        <w:rPr>
          <w:rFonts w:hint="eastAsia" w:ascii="宋体" w:hAnsi="宋体" w:cs="宋体"/>
          <w:bCs/>
          <w:color w:val="auto"/>
          <w:kern w:val="2"/>
          <w:highlight w:val="none"/>
        </w:rPr>
        <w:t>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赎回</w:t>
      </w:r>
      <w:r>
        <w:rPr>
          <w:rFonts w:hint="eastAsia" w:ascii="宋体" w:hAnsi="宋体" w:cs="宋体"/>
          <w:bCs/>
          <w:color w:val="auto"/>
          <w:kern w:val="2"/>
          <w:highlight w:val="none"/>
        </w:rPr>
        <w:t>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eastAsia="宋体" w:cs="宋体"/>
          <w:b/>
          <w:color w:val="auto"/>
          <w:kern w:val="2"/>
          <w:sz w:val="24"/>
          <w:szCs w:val="24"/>
          <w:highlight w:val="none"/>
          <w:lang w:val="en-US" w:eastAsia="zh-CN" w:bidi="ar-SA"/>
        </w:rPr>
        <w:t>R2</w:t>
      </w:r>
      <w:r>
        <w:rPr>
          <w:rFonts w:hint="eastAsia" w:ascii="宋体" w:hAnsi="宋体" w:cs="宋体"/>
          <w:b/>
          <w:color w:val="auto"/>
          <w:kern w:val="2"/>
          <w:highlight w:val="none"/>
        </w:rPr>
        <w:t>〗，〖</w:t>
      </w:r>
      <w:r>
        <w:rPr>
          <w:rFonts w:hint="eastAsia" w:ascii="宋体" w:hAnsi="宋体" w:eastAsia="宋体" w:cs="宋体"/>
          <w:b/>
          <w:color w:val="auto"/>
          <w:kern w:val="2"/>
          <w:sz w:val="24"/>
          <w:szCs w:val="24"/>
          <w:highlight w:val="none"/>
          <w:lang w:val="en-US" w:eastAsia="zh-CN" w:bidi="ar-SA"/>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20"/>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kern w:val="2"/>
                <w:sz w:val="21"/>
                <w:szCs w:val="21"/>
                <w:highlight w:val="none"/>
                <w:lang w:val="en-US" w:eastAsia="zh-CN" w:bidi="ar-SA"/>
              </w:rPr>
              <w:t>杭银理财幸福99半年添益2018期理财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sz w:val="21"/>
                <w:szCs w:val="21"/>
                <w:highlight w:val="none"/>
                <w:lang w:val="en-US" w:eastAsia="zh-CN"/>
              </w:rPr>
            </w:pPr>
            <w:r>
              <w:rPr>
                <w:rFonts w:hint="eastAsia" w:ascii="宋体" w:hAnsi="宋体" w:eastAsia="宋体" w:cs="宋体"/>
                <w:kern w:val="2"/>
                <w:sz w:val="21"/>
                <w:szCs w:val="21"/>
                <w:highlight w:val="none"/>
                <w:lang w:val="en-US" w:eastAsia="zh-CN" w:bidi="ar-SA"/>
              </w:rPr>
              <w:t>半年添益2018期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TYG6M2018</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Z7002221000183</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b/>
                <w:bCs/>
                <w:color w:val="000000"/>
                <w:kern w:val="2"/>
                <w:sz w:val="21"/>
                <w:szCs w:val="21"/>
                <w:highlight w:val="none"/>
                <w:lang w:val="en-US" w:eastAsia="zh-CN" w:bidi="ar-SA"/>
              </w:rPr>
              <w:t>〖机构投资者〗以及〖稳健型、平衡型、成长型、进取型〗的个人投资者</w:t>
            </w:r>
            <w:r>
              <w:rPr>
                <w:rFonts w:hint="eastAsia" w:ascii="宋体" w:hAnsi="宋体" w:cs="宋体"/>
                <w:b/>
                <w:color w:val="000000"/>
                <w:sz w:val="21"/>
                <w:szCs w:val="21"/>
                <w:highlight w:val="none"/>
              </w:rPr>
              <w:t>。</w:t>
            </w:r>
            <w:r>
              <w:rPr>
                <w:rFonts w:hint="eastAsia" w:ascii="宋体" w:hAnsi="宋体" w:cs="宋体"/>
                <w:bCs/>
                <w:color w:val="auto"/>
                <w:kern w:val="2"/>
                <w:sz w:val="21"/>
                <w:szCs w:val="21"/>
                <w:highlight w:val="none"/>
                <w:lang w:eastAsia="zh-CN"/>
              </w:rPr>
              <w:t>投资者风险承受能力评级水平以销售机构评估为准。</w:t>
            </w:r>
          </w:p>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A份额（销售代码〖TYG6M2018〗）：普通个人投资者和机构客户。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B份额（销售代码〖TYG6M2018B〗）：特定客群专属。</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H份额（销售代码〖TYG6M2018H〗）：普通个人投资者和机构客户。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W份额（销售代码〖TYG6M2018W〗）：面向〖普通个人投资者和机构客户〗发售。</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ZA份额（自动赎回）（销售代码〖TYG6M2018ZA〗）：普通个人投资者和机构客户。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ZM份额（销售名称：杭银理财幸福99半年添益2018期理财ZM款自动赎回（天府·优选））（销售代码〖TYG6M2018ZM〗）：普通个人投资者和机构客户。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固定收益类</w:t>
            </w:r>
            <w:r>
              <w:rPr>
                <w:rFonts w:hint="eastAsia" w:ascii="宋体" w:hAnsi="宋体" w:cs="宋体"/>
                <w:sz w:val="21"/>
                <w:szCs w:val="21"/>
                <w:highlight w:val="none"/>
              </w:rPr>
              <w:t>〗</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否</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全国</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人民币</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2020</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6</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3</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2020</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6</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9</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2020</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6</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10</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〖A份额〗起点〖1〗元整，超过认购/申购起点部分，应为〖1〗元的整数倍。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〖B份额〗起点〖1〗元整，超过认购/申购起点部分，应为〖1〗元的整数倍。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〖H份额〗起点〖1〗元整，超过认购/申购起点部分，应为〖1〗元的整数倍。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〖W份额〗起点〖1〗元整，超过认购/申购起点部分，应为〖1〗元的整数倍。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〖ZA份额〗起点〖1〗元整，超过认购/申购起点部分，应为〖1〗元的整数倍。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〖ZM份额〗起点〖1〗元整，超过认购/申购起点部分，应为〖1〗元的整数倍。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〖2〗千万元</w:t>
            </w:r>
            <w:r>
              <w:rPr>
                <w:rFonts w:hint="eastAsia" w:ascii="宋体" w:hAnsi="宋体" w:cs="宋体"/>
                <w:color w:val="000000"/>
                <w:sz w:val="21"/>
                <w:szCs w:val="21"/>
                <w:highlight w:val="none"/>
              </w:rPr>
              <w:t>，则管理人可宣布本理财计划不成立并在原定理财计划成立日后</w:t>
            </w:r>
            <w:r>
              <w:rPr>
                <w:rFonts w:hint="eastAsia" w:ascii="宋体" w:hAnsi="宋体" w:cs="宋体"/>
                <w:sz w:val="21"/>
                <w:szCs w:val="21"/>
                <w:highlight w:val="none"/>
              </w:rPr>
              <w:t>〖</w:t>
            </w:r>
            <w:r>
              <w:rPr>
                <w:rFonts w:hint="eastAsia" w:ascii="宋体" w:hAnsi="宋体" w:cs="宋体"/>
                <w:color w:val="000000"/>
                <w:sz w:val="21"/>
                <w:szCs w:val="21"/>
                <w:highlight w:val="none"/>
              </w:rPr>
              <w:t>2</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理财计划</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每半年</w:t>
            </w:r>
            <w:r>
              <w:rPr>
                <w:rFonts w:hint="eastAsia" w:ascii="宋体" w:hAnsi="宋体" w:cs="宋体"/>
                <w:sz w:val="21"/>
                <w:szCs w:val="21"/>
                <w:highlight w:val="none"/>
              </w:rPr>
              <w:t>〗</w:t>
            </w:r>
            <w:r>
              <w:rPr>
                <w:rFonts w:hint="eastAsia" w:ascii="宋体" w:hAnsi="宋体" w:cs="宋体"/>
                <w:sz w:val="21"/>
                <w:szCs w:val="21"/>
                <w:highlight w:val="none"/>
                <w:lang w:val="en-US" w:eastAsia="zh-CN"/>
              </w:rPr>
              <w:t>开放一次，</w:t>
            </w:r>
            <w:r>
              <w:rPr>
                <w:rFonts w:hint="eastAsia" w:ascii="宋体" w:hAnsi="宋体" w:cs="宋体"/>
                <w:sz w:val="21"/>
                <w:szCs w:val="21"/>
                <w:highlight w:val="none"/>
              </w:rPr>
              <w:t>具体开放期将以管理人公告为准</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如遇开放确认日为非工作日，则顺延至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default" w:ascii="宋体" w:hAnsi="宋体" w:cs="宋体"/>
                <w:color w:val="FF0000"/>
                <w:sz w:val="21"/>
                <w:szCs w:val="21"/>
                <w:highlight w:val="none"/>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cs="宋体"/>
                <w:bCs/>
                <w:color w:val="000000"/>
                <w:sz w:val="21"/>
                <w:szCs w:val="21"/>
                <w:highlight w:val="none"/>
                <w:lang w:eastAsia="zh"/>
              </w:rPr>
              <w:t>，</w:t>
            </w:r>
            <w:r>
              <w:rPr>
                <w:rFonts w:hint="eastAsia" w:ascii="宋体" w:hAnsi="宋体" w:eastAsia="宋体" w:cs="宋体"/>
                <w:kern w:val="2"/>
                <w:sz w:val="21"/>
                <w:szCs w:val="21"/>
                <w:lang w:val="en-US" w:eastAsia="zh-CN" w:bidi="ar"/>
              </w:rPr>
              <w:t>（ZA、ZM份</w:t>
            </w:r>
            <w:r>
              <w:rPr>
                <w:rFonts w:hint="eastAsia" w:ascii="宋体" w:hAnsi="宋体" w:cs="宋体"/>
                <w:kern w:val="2"/>
                <w:sz w:val="21"/>
                <w:szCs w:val="21"/>
                <w:lang w:val="en-US" w:eastAsia="zh" w:bidi="ar"/>
              </w:rPr>
              <w:t>额无</w:t>
            </w:r>
            <w:r>
              <w:rPr>
                <w:rFonts w:hint="eastAsia" w:ascii="宋体" w:hAnsi="宋体" w:eastAsia="宋体" w:cs="宋体"/>
                <w:kern w:val="2"/>
                <w:sz w:val="21"/>
                <w:szCs w:val="21"/>
                <w:lang w:val="en-US" w:eastAsia="zh-CN" w:bidi="ar"/>
              </w:rPr>
              <w:t>需进行赎回申请，在每个投资周期结束日由系统自动为所有持仓投资者发起全部持有份额赎回申请，上一投资周期投资者的所有持仓份额不会进入下一个投资周期）</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上午〖9:00〗至下午〖17:00〗。确认日如遇非</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3.认购/开放期内提交的交易申请，在理财计划成立日/确认日前一日下午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lang w:val="en-US" w:eastAsia="zh-CN"/>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4.上述交易安排如有调整，请以管理人公告为准。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cs="宋体"/>
                <w:sz w:val="21"/>
                <w:szCs w:val="21"/>
                <w:highlight w:val="none"/>
              </w:rPr>
              <w:t>〖</w:t>
            </w:r>
            <w:r>
              <w:rPr>
                <w:rFonts w:hint="eastAsia" w:ascii="宋体" w:hAnsi="宋体" w:cs="宋体"/>
                <w:color w:val="000000"/>
                <w:sz w:val="21"/>
                <w:szCs w:val="21"/>
                <w:highlight w:val="none"/>
              </w:rPr>
              <w:t>10%</w:t>
            </w:r>
            <w:r>
              <w:rPr>
                <w:rFonts w:hint="eastAsia" w:ascii="宋体" w:hAnsi="宋体" w:cs="宋体"/>
                <w:sz w:val="21"/>
                <w:szCs w:val="21"/>
                <w:highlight w:val="none"/>
              </w:rPr>
              <w:t>〗</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lang w:val="en-US" w:eastAsia="zh-CN"/>
              </w:rPr>
              <w:t>1.单户持有份额</w:t>
            </w:r>
            <w:r>
              <w:rPr>
                <w:rFonts w:hint="eastAsia" w:ascii="宋体" w:hAnsi="宋体" w:cs="宋体"/>
                <w:color w:val="000000"/>
                <w:sz w:val="21"/>
                <w:szCs w:val="21"/>
                <w:highlight w:val="none"/>
              </w:rPr>
              <w:t>〖</w:t>
            </w:r>
            <w:r>
              <w:rPr>
                <w:rFonts w:hint="eastAsia"/>
                <w:color w:val="000000"/>
                <w:lang w:eastAsia="zh"/>
              </w:rPr>
              <w:t>b</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a.可以超过理财计划总份额的50%，但理财计划不得向个人投资者公开销售。</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b.不得超过理财计划总份额的50%。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kern w:val="2"/>
                <w:sz w:val="21"/>
                <w:szCs w:val="21"/>
                <w:highlight w:val="none"/>
                <w:lang w:val="en-US" w:eastAsia="zh" w:bidi="ar-SA"/>
              </w:rPr>
            </w:pPr>
            <w:r>
              <w:rPr>
                <w:rFonts w:hint="eastAsia" w:ascii="宋体" w:hAnsi="宋体" w:cs="宋体"/>
                <w:color w:val="000000"/>
                <w:sz w:val="21"/>
                <w:szCs w:val="21"/>
                <w:highlight w:val="none"/>
                <w:lang w:val="en-US" w:eastAsia="zh-CN"/>
              </w:rPr>
              <w:t>2.</w:t>
            </w:r>
            <w:r>
              <w:rPr>
                <w:rFonts w:hint="eastAsia" w:ascii="宋体" w:hAnsi="宋体" w:eastAsia="宋体" w:cs="宋体"/>
                <w:color w:val="000000"/>
                <w:kern w:val="2"/>
                <w:sz w:val="21"/>
                <w:szCs w:val="21"/>
                <w:highlight w:val="none"/>
                <w:lang w:val="en-US" w:eastAsia="zh-CN" w:bidi="ar-SA"/>
              </w:rPr>
              <w:t>〖A份额〗单户持有上限为〖1〗亿元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〖H份额〗单户持有上限为〖1〗亿元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〖W份额〗单户持有上限为〖1〗亿元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〖ZM份额〗单户持有上限为〖1〗亿元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sz w:val="21"/>
                <w:szCs w:val="21"/>
                <w:highlight w:val="none"/>
              </w:rPr>
              <w:t>申购份额=申购金额</w:t>
            </w:r>
            <w:r>
              <w:rPr>
                <w:rFonts w:hint="eastAsia" w:ascii="宋体" w:hAnsi="宋体" w:cs="宋体"/>
                <w:bCs/>
                <w:color w:val="000000"/>
                <w:sz w:val="21"/>
                <w:szCs w:val="21"/>
                <w:highlight w:val="none"/>
              </w:rPr>
              <w:t>÷</w:t>
            </w:r>
            <w:r>
              <w:rPr>
                <w:rFonts w:hint="eastAsia" w:ascii="宋体" w:hAnsi="宋体" w:cs="宋体"/>
                <w:bCs/>
                <w:sz w:val="21"/>
                <w:szCs w:val="21"/>
                <w:highlight w:val="none"/>
              </w:rPr>
              <w:t>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sz w:val="21"/>
                <w:szCs w:val="21"/>
                <w:highlight w:val="none"/>
              </w:rPr>
              <w:t>回份额×确认日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理财计划总份额，单位净值</w:t>
            </w:r>
            <w:r>
              <w:rPr>
                <w:rFonts w:hint="eastAsia" w:ascii="宋体" w:hAnsi="宋体" w:cs="宋体"/>
                <w:sz w:val="21"/>
                <w:szCs w:val="21"/>
                <w:highlight w:val="none"/>
              </w:rPr>
              <w:t>〖</w:t>
            </w:r>
            <w:r>
              <w:rPr>
                <w:rFonts w:hint="eastAsia" w:ascii="宋体" w:hAnsi="宋体" w:cs="宋体"/>
                <w:color w:val="000000"/>
                <w:sz w:val="21"/>
                <w:szCs w:val="21"/>
                <w:highlight w:val="none"/>
              </w:rPr>
              <w:t>保留小数点后四位</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四位后去尾</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确认日后〖2〗个〖工作日〗内</w:t>
            </w:r>
            <w:r>
              <w:rPr>
                <w:rFonts w:hint="eastAsia" w:ascii="宋体" w:hAnsi="宋体" w:cs="宋体"/>
                <w:color w:val="000000"/>
                <w:sz w:val="21"/>
                <w:szCs w:val="21"/>
                <w:highlight w:val="none"/>
              </w:rPr>
              <w:t>（遇节假日顺延）支付。如遇资金在途或法定工作日调整，实际资金到账日以公告为准。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eastAsia="宋体" w:cs="宋体"/>
                <w:kern w:val="2"/>
                <w:sz w:val="21"/>
                <w:szCs w:val="21"/>
                <w:lang w:val="en-US" w:eastAsia="zh-CN" w:bidi="ar"/>
              </w:rPr>
              <w:t>〖1〗</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，最晚</w:t>
            </w:r>
            <w:r>
              <w:rPr>
                <w:rFonts w:hint="eastAsia" w:ascii="宋体" w:hAnsi="宋体" w:eastAsia="宋体" w:cs="宋体"/>
                <w:kern w:val="2"/>
                <w:sz w:val="21"/>
                <w:szCs w:val="21"/>
                <w:lang w:val="en-US" w:eastAsia="zh-CN" w:bidi="ar"/>
              </w:rPr>
              <w:t>〖3〗</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在满足收益分配基准日理财计划份额净值大于1元的情况下，管理人将</w:t>
            </w:r>
            <w:r>
              <w:rPr>
                <w:rFonts w:hint="eastAsia" w:ascii="宋体" w:hAnsi="宋体" w:cs="宋体"/>
                <w:sz w:val="21"/>
                <w:szCs w:val="21"/>
                <w:highlight w:val="none"/>
              </w:rPr>
              <w:t>〖</w:t>
            </w:r>
            <w:r>
              <w:rPr>
                <w:rFonts w:hint="eastAsia" w:ascii="宋体" w:hAnsi="宋体" w:cs="宋体"/>
                <w:color w:val="000000"/>
                <w:sz w:val="21"/>
                <w:szCs w:val="21"/>
                <w:highlight w:val="none"/>
                <w:lang w:eastAsia="zh"/>
              </w:rPr>
              <w:t>不</w:t>
            </w:r>
            <w:r>
              <w:rPr>
                <w:rFonts w:hint="eastAsia" w:ascii="宋体" w:hAnsi="宋体" w:cs="宋体"/>
                <w:color w:val="000000"/>
                <w:sz w:val="21"/>
                <w:szCs w:val="21"/>
                <w:highlight w:val="none"/>
              </w:rPr>
              <w:t>定期</w:t>
            </w:r>
            <w:r>
              <w:rPr>
                <w:rFonts w:hint="eastAsia" w:ascii="宋体" w:hAnsi="宋体" w:cs="宋体"/>
                <w:sz w:val="21"/>
                <w:szCs w:val="21"/>
                <w:highlight w:val="none"/>
              </w:rPr>
              <w:t>〗</w:t>
            </w:r>
            <w:r>
              <w:rPr>
                <w:rFonts w:hint="eastAsia" w:ascii="宋体" w:hAnsi="宋体" w:cs="宋体"/>
                <w:color w:val="000000"/>
                <w:sz w:val="21"/>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本理财计划〖A份额〗业绩比较基准为〖中国人民银行公布的1年期定期存款利率+0.1%〗（年化）。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本理财计划〖B份额〗业绩比较基准为〖中国人民银行公布的1年期定期存款利率+0.1%〗（年化）。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本理财计划〖H份额〗业绩比较基准为〖中国人民银行公布的1年期定期存款利率+0.1%〗（年化）。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本理财计划〖W份额〗业绩比较基准为〖中国人民银行公布的1年期定期存款利率+0.1%〗（年化）。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本理财计划〖ZA份额〗业绩比较基准为〖中国人民银行公布的1年期定期存款利率+0.1%〗（年化）。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本理财计划〖ZM份额〗业绩比较基准为〖中国人民银行公布的1年期定期存款利率+0.1%〗（年化）。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FF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kern w:val="2"/>
                <w:sz w:val="21"/>
                <w:szCs w:val="21"/>
                <w:lang w:val="en-US" w:eastAsia="zh-CN" w:bidi="ar"/>
              </w:rPr>
              <w:t>本理财计划主要投资于固定收益类资产，权益类等其他资产配置比例不超过20%。本理财计划将通过积极的主动管理，根据大类资产研究、固定收益市场及权益市场等的历史波动情况确定合理的投资比例，争取为投资人提供合理的投资回报。管理人根据固定收益市场及权益市场等的历史表现，结合当前利率水平、资产配比及市场同类型产品情况，经综合测算得出本期业绩比较基准</w:t>
            </w:r>
            <w:r>
              <w:rPr>
                <w:rFonts w:hint="eastAsia" w:ascii="宋体" w:hAnsi="宋体" w:cs="宋体"/>
                <w:b/>
                <w:bCs/>
                <w:color w:val="000000"/>
                <w:sz w:val="21"/>
                <w:szCs w:val="21"/>
                <w:highlight w:val="none"/>
              </w:rPr>
              <w:t>。</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 w:val="21"/>
                <w:szCs w:val="21"/>
                <w:highlight w:val="none"/>
              </w:rPr>
            </w:pPr>
            <w:r>
              <w:rPr>
                <w:rFonts w:hint="eastAsia" w:ascii="宋体" w:hAnsi="宋体" w:cs="宋体"/>
                <w:sz w:val="21"/>
                <w:szCs w:val="21"/>
                <w:highlight w:val="none"/>
              </w:rPr>
              <w:t>管理人有权根据市场情况及</w:t>
            </w:r>
            <w:r>
              <w:rPr>
                <w:rFonts w:hint="eastAsia" w:ascii="宋体" w:hAnsi="宋体" w:cs="宋体"/>
                <w:sz w:val="21"/>
                <w:szCs w:val="21"/>
                <w:highlight w:val="none"/>
                <w:lang w:eastAsia="zh-CN"/>
              </w:rPr>
              <w:t>理财计划</w:t>
            </w:r>
            <w:r>
              <w:rPr>
                <w:rFonts w:hint="eastAsia" w:ascii="宋体" w:hAnsi="宋体" w:cs="宋体"/>
                <w:sz w:val="21"/>
                <w:szCs w:val="21"/>
                <w:highlight w:val="none"/>
              </w:rPr>
              <w:t>运作情况调整业绩基准，并至少于新业绩基准启用前</w:t>
            </w:r>
            <w:r>
              <w:rPr>
                <w:rFonts w:hint="eastAsia" w:ascii="宋体" w:hAnsi="宋体" w:cs="宋体"/>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kern w:val="0"/>
                <w:sz w:val="21"/>
                <w:szCs w:val="21"/>
                <w:highlight w:val="none"/>
              </w:rPr>
              <w:t>〗</w:t>
            </w:r>
            <w:r>
              <w:rPr>
                <w:rFonts w:hint="eastAsia" w:ascii="宋体" w:hAnsi="宋体" w:cs="宋体"/>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sz w:val="21"/>
                <w:szCs w:val="21"/>
                <w:highlight w:val="none"/>
              </w:rPr>
              <w:t>本理财计划为净值型理财产品，其业绩表现将随市场波动具有不确定性。本公司提醒投资者关注，业绩比较基准</w:t>
            </w:r>
            <w:r>
              <w:rPr>
                <w:rFonts w:hint="eastAsia" w:ascii="宋体" w:hAnsi="宋体" w:cs="宋体"/>
                <w:b/>
                <w:sz w:val="21"/>
                <w:szCs w:val="21"/>
                <w:highlight w:val="none"/>
                <w:lang w:eastAsia="zh-CN"/>
              </w:rPr>
              <w:t>不是预期收益率，</w:t>
            </w:r>
            <w:r>
              <w:rPr>
                <w:rFonts w:hint="eastAsia" w:ascii="宋体" w:hAnsi="宋体" w:cs="宋体"/>
                <w:b/>
                <w:sz w:val="21"/>
                <w:szCs w:val="21"/>
                <w:highlight w:val="none"/>
              </w:rPr>
              <w:t>并不代表</w:t>
            </w:r>
            <w:r>
              <w:rPr>
                <w:rFonts w:hint="eastAsia" w:ascii="宋体" w:hAnsi="宋体" w:cs="宋体"/>
                <w:b/>
                <w:sz w:val="21"/>
                <w:szCs w:val="21"/>
                <w:highlight w:val="none"/>
                <w:lang w:eastAsia="zh-CN"/>
              </w:rPr>
              <w:t>理财计划的未来表现和</w:t>
            </w:r>
            <w:r>
              <w:rPr>
                <w:rFonts w:hint="eastAsia" w:ascii="宋体" w:hAnsi="宋体" w:cs="宋体"/>
                <w:b/>
                <w:sz w:val="21"/>
                <w:szCs w:val="21"/>
                <w:highlight w:val="none"/>
              </w:rPr>
              <w:t>实际收益率</w:t>
            </w:r>
            <w:r>
              <w:rPr>
                <w:rFonts w:hint="eastAsia" w:ascii="宋体" w:hAnsi="宋体" w:cs="宋体"/>
                <w:b/>
                <w:sz w:val="21"/>
                <w:szCs w:val="21"/>
                <w:highlight w:val="none"/>
                <w:lang w:eastAsia="zh-CN"/>
              </w:rPr>
              <w:t>，不构成对理财计划收益的承诺</w:t>
            </w:r>
            <w:r>
              <w:rPr>
                <w:rFonts w:hint="eastAsia" w:ascii="宋体" w:hAnsi="宋体" w:cs="宋体"/>
                <w:b/>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〖B份额〗收取年化〖0.20%〗的销售服务费, 〖H份额〗收取年化〖0.30%〗的销售服务费, 〖W份额〗收取年化〖0.40%〗的销售服务费, 〖ZA份额〗收取年化〖0.30%〗的销售服务费, 〖ZM份额〗收取年化〖0.30%〗的销售服务费。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0.025</w:t>
            </w:r>
            <w:r>
              <w:rPr>
                <w:rFonts w:hint="eastAsia" w:ascii="宋体" w:hAnsi="宋体" w:cs="宋体"/>
                <w:sz w:val="21"/>
                <w:szCs w:val="21"/>
                <w:highlight w:val="none"/>
                <w:lang w:eastAsia="zh"/>
              </w:rPr>
              <w:t>%</w:t>
            </w:r>
            <w:r>
              <w:rPr>
                <w:rFonts w:hint="eastAsia" w:ascii="宋体" w:hAnsi="宋体" w:cs="宋体"/>
                <w:sz w:val="21"/>
                <w:szCs w:val="21"/>
                <w:highlight w:val="none"/>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〖A份额〗收取年化〖0.30%〗的固定管理费, 〖B份额〗收取年化〖0.30%〗的固定管理费, 〖H份额〗收取年化〖0.05%〗的固定管理费, 〖W份额〗收取年化〖0.20%〗的固定管理费, 〖ZA份额〗收取年化〖0.30%〗的固定管理费, 〖ZM份额〗收取年化〖0.30%〗的固定管理费。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sz w:val="21"/>
                <w:szCs w:val="21"/>
                <w:highlight w:val="none"/>
              </w:rPr>
            </w:pPr>
            <w:r>
              <w:rPr>
                <w:rFonts w:hint="eastAsia" w:ascii="宋体" w:hAnsi="宋体" w:cs="宋体"/>
                <w:bCs/>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sz w:val="21"/>
                <w:szCs w:val="21"/>
                <w:highlight w:val="none"/>
              </w:rPr>
              <w:t>6.赎回费：</w:t>
            </w:r>
            <w:r>
              <w:rPr>
                <w:rFonts w:hint="eastAsia" w:ascii="宋体" w:hAnsi="宋体" w:cs="宋体"/>
                <w:color w:val="000000"/>
                <w:sz w:val="21"/>
                <w:szCs w:val="21"/>
                <w:highlight w:val="none"/>
              </w:rPr>
              <w:t>本理财计划免除赎回费。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本理财计划份额（除B、H份额）投资周期的折合年化收益率超过〖2.35%〗的部分，管理人提取〖50%〗作为浮动管理费；〖B份额〗投资周期的折合年化收益率超过〖2.45%〗的部分，管理人提取〖50%〗作为浮动管理费；〖H份额〗投资周期的折合年化收益率超过〖2.60%〗的部分，管理人提取〖50%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auto"/>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auto"/>
          <w:kern w:val="2"/>
          <w:position w:val="-1"/>
          <w:sz w:val="24"/>
          <w:u w:val="none"/>
          <w:vertAlign w:val="baseline"/>
        </w:rPr>
        <w:t>1. 固定收益类资产：包括但不限于各类债券、存款、货币市场金融工具、债券基金、质押式及买断式回购，其他符合监管要求的固定收益类资产及资产管理产品。</w:t>
      </w:r>
      <w:r>
        <w:rPr>
          <w:rFonts w:ascii="宋体" w:hAnsi="宋体" w:eastAsia="宋体" w:cs="宋体"/>
          <w:b w:val="0"/>
          <w:i w:val="0"/>
          <w:caps w:val="0"/>
          <w:strike w:val="0"/>
          <w:dstrike w:val="0"/>
          <w:shadow w:val="0"/>
          <w:emboss w:val="0"/>
          <w:imprint w:val="0"/>
          <w:color w:val="auto"/>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4"/>
          <w:u w:val="none"/>
          <w:vertAlign w:val="baseline"/>
        </w:rPr>
        <w:t xml:space="preserve">    2. 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sz w:val="24"/>
          <w:highlight w:val="none"/>
          <w:lang w:eastAsia="zh-CN"/>
        </w:rPr>
        <w:t>总</w:t>
      </w:r>
      <w:r>
        <w:rPr>
          <w:rFonts w:hint="eastAsia" w:ascii="宋体" w:hAnsi="宋体" w:cs="宋体"/>
          <w:bCs/>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投资资产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固定收益类资产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权益类资产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0%-20%</w:t>
            </w:r>
          </w:p>
        </w:tc>
      </w:tr>
    </w:tbl>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本理财计划特殊资产类型为基于大类资产类型项下的进一步细化分类，其配置比例不得超过大类资产配置比例。</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在</w:t>
      </w:r>
      <w:r>
        <w:rPr>
          <w:rFonts w:hint="eastAsia" w:ascii="宋体" w:hAnsi="宋体" w:cs="宋体"/>
          <w:bCs/>
          <w:color w:val="auto"/>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20"/>
        <w:numPr>
          <w:ilvl w:val="0"/>
          <w:numId w:val="13"/>
        </w:numPr>
        <w:adjustRightInd/>
        <w:spacing w:line="360" w:lineRule="auto"/>
        <w:ind w:firstLine="458" w:firstLineChars="190"/>
        <w:rPr>
          <w:rFonts w:hint="eastAsia" w:ascii="宋体" w:hAnsi="宋体" w:cs="宋体"/>
          <w:bCs/>
          <w:color w:val="auto"/>
          <w:kern w:val="2"/>
          <w:highlight w:val="none"/>
          <w:lang w:val="en-US" w:eastAsia="zh-CN"/>
        </w:rPr>
      </w:pPr>
      <w:r>
        <w:rPr>
          <w:rFonts w:hint="eastAsia" w:ascii="宋体" w:hAnsi="宋体" w:cs="宋体"/>
          <w:b/>
          <w:bCs w:val="0"/>
          <w:color w:val="000000"/>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投资策略</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cs="宋体"/>
          <w:bCs/>
          <w:color w:val="000000"/>
          <w:sz w:val="24"/>
          <w:highlight w:val="none"/>
        </w:rPr>
      </w:pPr>
      <w:r>
        <w:rPr>
          <w:rFonts w:hint="eastAsia" w:ascii="宋体" w:hAnsi="宋体" w:eastAsia="宋体" w:cs="宋体"/>
          <w:kern w:val="2"/>
          <w:sz w:val="24"/>
          <w:szCs w:val="24"/>
          <w:lang w:val="en-US" w:eastAsia="zh-CN" w:bidi="ar"/>
        </w:rPr>
        <w:t>本理财计划本着稳健投资的理念，基于宏观经济形势、货币政策、固定收益资产价格走势，采用安全性和流动性优先、优选投资品种，采取久期策略和信用策略来获取稳定收益。本产品以固定收益投资为主，主要投资于债券、存款、货币基金等高流动性资产并通过开展债券回购等融入或融出资金，以应对流动性需要和提高资金使用效率。</w:t>
      </w:r>
      <w:r>
        <w:rPr>
          <w:rFonts w:hint="eastAsia" w:ascii="宋体" w:hAnsi="宋体" w:eastAsia="宋体" w:cs="宋体"/>
          <w:b/>
          <w:bCs/>
          <w:kern w:val="2"/>
          <w:sz w:val="24"/>
          <w:szCs w:val="24"/>
          <w:lang w:val="en-US" w:eastAsia="zh-CN" w:bidi="ar"/>
        </w:rPr>
        <w:t>本产品还可能根据市场行情，在监管政策允许的范围内，在适当的时机投资不高于理财产品总资产的</w:t>
      </w:r>
      <w:r>
        <w:rPr>
          <w:rFonts w:hint="eastAsia" w:ascii="宋体" w:hAnsi="Calibri" w:eastAsia="宋体" w:cs="宋体"/>
          <w:b/>
          <w:bCs/>
          <w:kern w:val="2"/>
          <w:sz w:val="24"/>
          <w:szCs w:val="24"/>
          <w:lang w:val="en-US" w:eastAsia="zh-CN" w:bidi="ar"/>
        </w:rPr>
        <w:t>20%的资金于其他资产</w:t>
      </w:r>
      <w:r>
        <w:rPr>
          <w:rFonts w:hint="eastAsia" w:ascii="宋体" w:hAnsi="宋体" w:cs="宋体"/>
          <w:bCs/>
          <w:color w:val="000000"/>
          <w:sz w:val="24"/>
          <w:highlight w:val="none"/>
        </w:rPr>
        <w:t>。</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sz w:val="24"/>
          <w:highlight w:val="none"/>
          <w:lang w:val="en-US" w:eastAsia="zh-CN"/>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5"/>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管理人</w:t>
      </w:r>
      <w:r>
        <w:rPr>
          <w:rFonts w:hint="eastAsia" w:ascii="宋体" w:hAnsi="宋体" w:cs="宋体"/>
          <w:bCs/>
          <w:sz w:val="24"/>
          <w:highlight w:val="none"/>
        </w:rPr>
        <w:t>发行的全部</w:t>
      </w:r>
      <w:r>
        <w:rPr>
          <w:rFonts w:hint="eastAsia" w:ascii="宋体" w:hAnsi="宋体"/>
          <w:sz w:val="24"/>
          <w:highlight w:val="none"/>
        </w:rPr>
        <w:t>开放式公募</w:t>
      </w:r>
      <w:r>
        <w:rPr>
          <w:rFonts w:hint="eastAsia" w:ascii="宋体" w:hAnsi="宋体" w:cs="宋体"/>
          <w:bCs/>
          <w:sz w:val="24"/>
          <w:highlight w:val="none"/>
        </w:rPr>
        <w:t>理财计划</w:t>
      </w:r>
      <w:r>
        <w:rPr>
          <w:rFonts w:hint="eastAsia" w:ascii="宋体" w:hAnsi="宋体"/>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本理财计划投资的非标准化债权类资产到期日不得晚于理财计划最近一次开放日。</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本理财计划的总资产不得超过净资产的140%。</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流动性限制</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
        </w:rPr>
        <w:t>b</w:t>
      </w:r>
      <w:r>
        <w:rPr>
          <w:rFonts w:hint="eastAsia" w:ascii="宋体" w:hAnsi="宋体" w:cs="宋体"/>
          <w:bCs/>
          <w:color w:val="000000"/>
          <w:sz w:val="24"/>
          <w:highlight w:val="none"/>
        </w:rPr>
        <w:t>】</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sz w:val="24"/>
          <w:highlight w:val="none"/>
          <w:lang w:val="en-US" w:eastAsia="zh-CN"/>
        </w:rPr>
        <w:t>本理财计划不存在活跃交易市场，并且需要采用估值技术确定公允价值的资产比例不得超过理财产品净资产50%以上。</w:t>
      </w:r>
    </w:p>
    <w:p>
      <w:pPr>
        <w:numPr>
          <w:ilvl w:val="0"/>
          <w:numId w:val="17"/>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在开放日前一工作日内，本理财计划7个工作日可变现资产的可变现价值应当不低于该理财计划资产净值的10%。</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11"/>
        <w:tblW w:w="8280"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5"/>
        <w:gridCol w:w="62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托管人名称</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托管人住所</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托管人职责</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11"/>
        <w:tblW w:w="8306" w:type="dxa"/>
        <w:tblInd w:w="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418"/>
        <w:gridCol w:w="1688"/>
        <w:gridCol w:w="1325"/>
        <w:gridCol w:w="38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销售机构信息</w:t>
            </w:r>
          </w:p>
        </w:tc>
        <w:tc>
          <w:tcPr>
            <w:tcW w:w="1688" w:type="dxa"/>
            <w:vMerge w:val="restar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杭州银行股份有限公司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兴业银行股份有限公司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福建省福州市台江区江滨中大道398号兴业银行大厦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江苏省南京市中华路26号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厦门市思明区湖滨北路101号商业银行大厦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400-858-8888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厦门国际银行股份有限公司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厦门市思明区鹭江道8-10号国际银行大厦1-6层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400-1623-623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富邦华一银行有限公司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中国(上海)自由贸易试验区世纪大道1168号A座101室、18楼、19楼及20楼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8621—962811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宁波鄞州农村商业银行股份有限公司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浙江省宁波市鄞州区民惠西路88号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956058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深圳前海微众银行股份有限公司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广东省深圳市南山区沙河西路1819号深圳湾科技生态园7栋A座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吉林亿联银行股份有限公司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吉林省长春市南关区人民大街10606号东北亚国际金融中心一期北楼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重庆富民银行股份有限公司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重庆市渝北区财富东路2号涉外商务区一期B1栋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4008－108－999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中信百信银行股份有限公司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北京市朝阳区安定路5号院3号楼8层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956186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aps w:val="0"/>
                <w:color w:val="000000"/>
                <w:spacing w:val="0"/>
                <w:kern w:val="0"/>
                <w:sz w:val="21"/>
                <w:szCs w:val="21"/>
                <w:lang w:val="en-US" w:eastAsia="zh-CN" w:bidi="ar"/>
              </w:rPr>
              <w:t>江苏苏商银行股份有限公司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南京市建邺区庐山路248号4号楼7、8、9、27、28、29层，4号楼裙楼第1、2层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aps w:val="0"/>
                <w:spacing w:val="0"/>
                <w:kern w:val="2"/>
                <w:sz w:val="21"/>
                <w:szCs w:val="21"/>
                <w:lang w:val="en-US" w:eastAsia="zh-CN" w:bidi="ar"/>
              </w:rPr>
              <w:t>956101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石嘴山银行股份有限公司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宁夏回族自治区石嘴山市大武口区朝阳西街39号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0951-96789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中信银行股份有限公司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北京市朝阳区光华路10号院1号楼6-30层、32-42层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齐鲁银行股份有限公司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山东省济南市历下区经十路10817号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400-609-6588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广东南粤银行股份有限公司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湛江经济技术开发区乐山路27号财富汇金融中心1层01、02号商铺、2层01号商铺、3层01号商铺、39-45层办公室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4000-961818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东莞银行股份有限公司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东莞市莞城区体育路21号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日照银行股份有限公司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日照市烟台路197号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400-68-96588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苏州银行股份有限公司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江苏省苏州工业园区钟园路728号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96067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杭银理财有限责任公司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浙江省杭州市拱墅区庆春路38号金龙财富中心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400-8950-999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澳门国际银行股份有限公司广州分行</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广州市天河区珠江新城华夏路8号合景国际金融广场1层104房、34层3401房、35层3501房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020-28089999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江苏常熟农村商业银行股份有限公司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江苏省常熟市新世纪大道58号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浙商银行股份有限公司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浙江省杭州市萧山区鸿宁路1788号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九江银行股份有限公司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江西省九江市濂溪区长虹大道619号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北京市西城区月坛南街1号院2号楼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96198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2"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浙江舟山定海海洋农村商业银行股份有限公司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浙江省舟山市定海区环城东路81号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0580-2030956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1"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浙江临安农村商业银行股份有限公司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浙江省杭州市临安区钱王街821号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0571-61105831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浙江青田农村商业银行股份有限公司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浙江省丽水市青田县鹤城街道鹤城东路180号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0578-6833720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南洋商业银行（中国）有限公司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上海市浦明路898号13层至16层、18层至20层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中邮邮惠万家银行有限责任公司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上海市虹口区东大名路1080号25层、26层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温州银行股份有限公司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浙江省温州市鹿城区会展路1316号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0577-96699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浙江新昌农村商业银行股份有限公司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浙江省新昌县七星街道七星路18号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浙江永嘉农村商业银行股份有限公司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浙江省永嘉县瓯北镇阳光大道3918号永嘉农商银行总行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4008057705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浙江永康农村商业银行股份有限公司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浙江省永康市九铃东路3259号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绍兴银行股份有限公司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浙江省绍兴市越城区中兴南路1号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4000896528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浙江衢州衢江农村商业银行股份有限公司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浙江省衢州市衢江区信安东路37号衢江农商银行6楼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0570-3026608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新韩银行（中国）有限公司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北京市朝阳区工体北路甲6号中宇大厦12层，11层1101，1102及1109单元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400 6688 600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浙江开化农村商业银行股份有限公司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浙江开化县芹阳办事处永吉二路8号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0570-6025125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秦皇岛银行股份有限公司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河北省秦皇岛市海港区河北大街西段560号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0335-96336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潍坊银行股份有限公司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山东省潍坊市胜利东街5139号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400-61-96588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浙江江山农村商业银行股份有限公司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浙江省江山市江滨路188号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浙江常山农村商业银行股份有限公司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浙江省衢州市常山县紫港街道文教东路258号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浙江武义农村商业银行股份有限公司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浙江省金华市武义县武阳中路37号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0579-87663486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汉口银行股份有限公司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湖北省武汉市江汉区建设大道933号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4006096558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浙江网商银行股份有限公司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浙江省杭州市西湖区古荡街道西溪路556号阿里中心D幢9层、E幢3-8层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0571-26888888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销售机构职责</w:t>
            </w:r>
          </w:p>
        </w:tc>
        <w:tc>
          <w:tcPr>
            <w:tcW w:w="6888" w:type="dxa"/>
            <w:gridSpan w:val="3"/>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left"/>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因持有股票而享有的配股权，采用估值技术确定公允价值。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以</w:t>
      </w:r>
      <w:r>
        <w:rPr>
          <w:rFonts w:hint="eastAsia" w:ascii="宋体" w:hAnsi="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cs="宋体"/>
          <w:bCs/>
          <w:color w:val="000000"/>
          <w:sz w:val="24"/>
          <w:szCs w:val="24"/>
          <w:highlight w:val="none"/>
          <w:lang w:val="en-US" w:eastAsia="zh-CN"/>
        </w:rPr>
        <w:t>份额</w:t>
      </w:r>
      <w:r>
        <w:rPr>
          <w:rFonts w:hint="eastAsia" w:ascii="宋体" w:hAnsi="宋体" w:cs="宋体"/>
          <w:bCs/>
          <w:color w:val="000000"/>
          <w:sz w:val="24"/>
          <w:szCs w:val="24"/>
          <w:highlight w:val="none"/>
        </w:rPr>
        <w:t>〗为例</w:t>
      </w:r>
      <w:r>
        <w:rPr>
          <w:rFonts w:hint="eastAsia" w:ascii="宋体" w:hAnsi="宋体" w:cs="宋体"/>
          <w:bCs/>
          <w:color w:val="000000"/>
          <w:sz w:val="24"/>
          <w:szCs w:val="24"/>
          <w:highlight w:val="none"/>
          <w:lang w:eastAsia="zh-CN"/>
        </w:rPr>
        <w:t>，</w:t>
      </w:r>
      <w:r>
        <w:rPr>
          <w:rFonts w:hint="eastAsia" w:ascii="宋体" w:hAnsi="宋体" w:cs="宋体"/>
          <w:bCs/>
          <w:color w:val="000000"/>
          <w:sz w:val="24"/>
          <w:szCs w:val="24"/>
          <w:highlight w:val="none"/>
        </w:rPr>
        <w:t>理财计划财产的年化</w:t>
      </w: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率为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lang w:eastAsia="zh-CN"/>
        </w:rPr>
      </w:pPr>
      <w:r>
        <w:rPr>
          <w:rFonts w:hint="eastAsia" w:ascii="宋体" w:hAnsi="宋体" w:cs="宋体"/>
          <w:bCs/>
          <w:color w:val="000000"/>
          <w:sz w:val="24"/>
          <w:szCs w:val="24"/>
          <w:highlight w:val="none"/>
        </w:rPr>
        <w:t>H为每日应计提的</w:t>
      </w:r>
      <w:r>
        <w:rPr>
          <w:rFonts w:hint="eastAsia" w:ascii="宋体" w:hAnsi="宋体" w:cs="宋体"/>
          <w:bCs/>
          <w:color w:val="000000"/>
          <w:sz w:val="24"/>
          <w:szCs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托管费原则上按日计提。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lang w:val="en-US" w:eastAsia="zh-CN"/>
        </w:rPr>
        <w:t>以</w:t>
      </w:r>
      <w:r>
        <w:rPr>
          <w:rFonts w:hint="eastAsia" w:ascii="宋体" w:hAnsi="宋体" w:eastAsia="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eastAsia="宋体" w:cs="宋体"/>
          <w:bCs/>
          <w:color w:val="000000"/>
          <w:sz w:val="24"/>
          <w:szCs w:val="24"/>
          <w:highlight w:val="none"/>
          <w:lang w:val="en-US" w:eastAsia="zh-CN"/>
        </w:rPr>
        <w:t>份额</w:t>
      </w:r>
      <w:r>
        <w:rPr>
          <w:rFonts w:hint="eastAsia" w:ascii="宋体" w:hAnsi="宋体" w:eastAsia="宋体" w:cs="宋体"/>
          <w:bCs/>
          <w:color w:val="000000"/>
          <w:sz w:val="24"/>
          <w:szCs w:val="24"/>
          <w:highlight w:val="none"/>
        </w:rPr>
        <w:t>〗为例</w:t>
      </w:r>
      <w:r>
        <w:rPr>
          <w:rFonts w:hint="eastAsia" w:ascii="宋体" w:hAnsi="宋体" w:eastAsia="宋体" w:cs="宋体"/>
          <w:bCs/>
          <w:color w:val="000000"/>
          <w:sz w:val="24"/>
          <w:szCs w:val="24"/>
          <w:highlight w:val="none"/>
          <w:lang w:eastAsia="zh-CN"/>
        </w:rPr>
        <w:t>，</w:t>
      </w:r>
      <w:r>
        <w:rPr>
          <w:rFonts w:hint="eastAsia" w:ascii="宋体" w:hAnsi="宋体" w:eastAsia="宋体" w:cs="宋体"/>
          <w:bCs/>
          <w:color w:val="000000"/>
          <w:sz w:val="24"/>
          <w:szCs w:val="24"/>
          <w:highlight w:val="none"/>
        </w:rPr>
        <w:t>理财计划财产的年化固定管理费率为</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，计算方法如下：</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H＝E×</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H为每日应计提的</w:t>
      </w:r>
      <w:r>
        <w:rPr>
          <w:rFonts w:hint="eastAsia" w:ascii="宋体" w:hAnsi="宋体" w:eastAsia="宋体" w:cs="宋体"/>
          <w:bCs/>
          <w:color w:val="000000"/>
          <w:sz w:val="24"/>
          <w:szCs w:val="24"/>
          <w:highlight w:val="none"/>
          <w:lang w:eastAsia="zh-CN"/>
        </w:rPr>
        <w:t>固定</w:t>
      </w:r>
      <w:r>
        <w:rPr>
          <w:rFonts w:hint="eastAsia" w:ascii="宋体" w:hAnsi="宋体" w:eastAsia="宋体" w:cs="宋体"/>
          <w:bCs/>
          <w:color w:val="000000"/>
          <w:sz w:val="24"/>
          <w:szCs w:val="24"/>
          <w:highlight w:val="none"/>
        </w:rPr>
        <w:t>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E为本理财计划前一日资产净值</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Cs/>
          <w:color w:val="000000"/>
          <w:sz w:val="24"/>
          <w:highlight w:val="none"/>
          <w:lang w:eastAsia="zh-CN"/>
        </w:rPr>
      </w:pPr>
      <w:r>
        <w:rPr>
          <w:rFonts w:hint="eastAsia" w:ascii="宋体" w:hAnsi="宋体" w:eastAsia="宋体" w:cs="宋体"/>
          <w:bCs/>
          <w:color w:val="000000"/>
          <w:sz w:val="24"/>
          <w:szCs w:val="24"/>
          <w:highlight w:val="none"/>
        </w:rPr>
        <w:t>固定管理费原则上按日计提</w:t>
      </w:r>
      <w:r>
        <w:rPr>
          <w:rFonts w:hint="eastAsia" w:ascii="宋体" w:hAnsi="宋体" w:eastAsia="宋体" w:cs="宋体"/>
          <w:bCs/>
          <w:color w:val="000000"/>
          <w:sz w:val="24"/>
          <w:szCs w:val="24"/>
          <w:highlight w:val="none"/>
          <w:lang w:eastAsia="zh-CN"/>
        </w:rPr>
        <w:t>，</w:t>
      </w:r>
      <w:r>
        <w:rPr>
          <w:rFonts w:hint="eastAsia" w:ascii="宋体" w:hAnsi="宋体" w:eastAsia="宋体" w:cs="宋体"/>
          <w:color w:val="000000"/>
          <w:kern w:val="2"/>
          <w:sz w:val="24"/>
          <w:szCs w:val="24"/>
          <w:lang w:val="en-US" w:eastAsia="zh-CN" w:bidi="ar"/>
        </w:rPr>
        <w:t>若本理财计划份额每个周期结束日的折合年化收益率不达当期该份额业绩比较基准下限，则管理人以当期全部固定管理费为上限，减免全部或部分固定管理费用</w:t>
      </w:r>
      <w:r>
        <w:rPr>
          <w:rFonts w:hint="eastAsia" w:ascii="宋体" w:hAnsi="宋体" w:eastAsia="宋体" w:cs="宋体"/>
          <w:bCs/>
          <w:color w:val="000000"/>
          <w:sz w:val="24"/>
          <w:szCs w:val="24"/>
          <w:highlight w:val="none"/>
          <w:lang w:eastAsia="zh"/>
        </w:rPr>
        <w:t>。</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申购费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本理财计划免除申购费。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赎回费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本理财计划免除赎回费。</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理财管理人根据理财计划投资情况计算浮动管理费，本理财计划</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投资周期的</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折合年化收益率超</w:t>
      </w:r>
      <w:r>
        <w:rPr>
          <w:rFonts w:hint="eastAsia" w:ascii="宋体" w:hAnsi="宋体" w:cs="宋体"/>
          <w:bCs/>
          <w:color w:val="000000"/>
          <w:sz w:val="24"/>
          <w:szCs w:val="24"/>
          <w:highlight w:val="none"/>
          <w:lang w:eastAsia="zh"/>
        </w:rPr>
        <w:t>过</w:t>
      </w:r>
      <w:r>
        <w:rPr>
          <w:rFonts w:hint="eastAsia" w:ascii="宋体" w:hAnsi="宋体" w:eastAsia="宋体" w:cs="宋体"/>
          <w:bCs/>
          <w:color w:val="000000"/>
          <w:kern w:val="2"/>
          <w:sz w:val="24"/>
          <w:szCs w:val="24"/>
          <w:highlight w:val="none"/>
          <w:lang w:val="en-US" w:eastAsia="zh" w:bidi="ar-SA"/>
        </w:rPr>
        <w:t>2.35</w:t>
      </w:r>
      <w:r>
        <w:rPr>
          <w:rFonts w:hint="eastAsia" w:ascii="宋体" w:hAnsi="宋体" w:cs="宋体"/>
          <w:bCs/>
          <w:color w:val="000000"/>
          <w:sz w:val="24"/>
          <w:szCs w:val="24"/>
          <w:highlight w:val="none"/>
          <w:lang w:eastAsia="zh"/>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的部分管理人提取</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50</w:t>
      </w:r>
      <w:r>
        <w:rPr>
          <w:rFonts w:hint="eastAsia" w:ascii="宋体" w:hAnsi="宋体" w:cs="宋体"/>
          <w:color w:val="000000"/>
          <w:sz w:val="24"/>
          <w:szCs w:val="24"/>
          <w:highlight w:val="none"/>
          <w:lang w:eastAsia="zh"/>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作为浮动管理费，每个投资周期结束后收取。本理财计划投资周期的折合年化收益率若小于或等于</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2.35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则不收取浮动管理费。</w:t>
      </w:r>
      <w:r>
        <w:rPr>
          <w:rFonts w:hint="eastAsia" w:ascii="宋体" w:hAnsi="宋体" w:cs="宋体"/>
          <w:bCs/>
          <w:color w:val="000000"/>
          <w:sz w:val="24"/>
          <w:szCs w:val="24"/>
          <w:highlight w:val="none"/>
          <w:lang w:eastAsia="zh-CN"/>
        </w:rPr>
        <w:t>浮动管理费原则上按估值日计提，</w:t>
      </w:r>
      <w:r>
        <w:rPr>
          <w:rFonts w:hint="eastAsia" w:ascii="宋体" w:hAnsi="宋体" w:cs="宋体"/>
          <w:bCs/>
          <w:color w:val="000000"/>
          <w:sz w:val="24"/>
          <w:szCs w:val="24"/>
          <w:highlight w:val="none"/>
          <w:lang w:val="en-US" w:eastAsia="zh-CN"/>
        </w:rPr>
        <w:t>赎回/理财计划</w:t>
      </w:r>
      <w:r>
        <w:rPr>
          <w:rFonts w:hint="eastAsia" w:ascii="宋体" w:hAnsi="宋体" w:cs="宋体"/>
          <w:bCs/>
          <w:color w:val="000000"/>
          <w:sz w:val="24"/>
          <w:szCs w:val="24"/>
          <w:highlight w:val="none"/>
          <w:lang w:eastAsia="zh-CN"/>
        </w:rPr>
        <w:t>到期收取。以</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eastAsia="zh-CN"/>
        </w:rPr>
        <w:t>为例，</w:t>
      </w:r>
      <w:r>
        <w:rPr>
          <w:rFonts w:hint="eastAsia" w:ascii="宋体" w:hAnsi="宋体" w:cs="宋体"/>
          <w:bCs/>
          <w:color w:val="000000"/>
          <w:sz w:val="24"/>
          <w:szCs w:val="24"/>
          <w:highlight w:val="none"/>
        </w:rPr>
        <w:t>具体计算方法如下：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H＝E×NAV0×(K-R)×〖</w:t>
      </w:r>
      <w:r>
        <w:rPr>
          <w:rFonts w:hint="eastAsia" w:ascii="宋体" w:hAnsi="宋体" w:eastAsia="宋体" w:cs="宋体"/>
          <w:bCs/>
          <w:color w:val="000000"/>
          <w:kern w:val="2"/>
          <w:sz w:val="24"/>
          <w:szCs w:val="24"/>
          <w:highlight w:val="none"/>
          <w:lang w:val="en-US" w:eastAsia="zh-CN" w:bidi="ar-SA"/>
        </w:rPr>
        <w:t>50</w:t>
      </w:r>
      <w:r>
        <w:rPr>
          <w:rFonts w:hint="eastAsia" w:ascii="宋体" w:hAnsi="宋体" w:cs="宋体"/>
          <w:bCs/>
          <w:color w:val="000000"/>
          <w:sz w:val="24"/>
          <w:szCs w:val="24"/>
          <w:highlight w:val="none"/>
        </w:rPr>
        <w:t>%〗×N÷365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其中，K=(NAV1-NAV0+T)÷NAV0×365÷N</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H为当前确认日应收取浮动管理费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w:t>
      </w:r>
      <w:r>
        <w:rPr>
          <w:rFonts w:hint="eastAsia" w:ascii="宋体" w:hAnsi="宋体" w:cs="宋体"/>
          <w:bCs/>
          <w:color w:val="000000"/>
          <w:sz w:val="24"/>
          <w:szCs w:val="24"/>
          <w:highlight w:val="none"/>
          <w:lang w:val="en-US" w:eastAsia="zh-CN"/>
        </w:rPr>
        <w:t>理财计划</w:t>
      </w:r>
      <w:r>
        <w:rPr>
          <w:rFonts w:hint="eastAsia" w:ascii="宋体" w:hAnsi="宋体" w:cs="宋体"/>
          <w:bCs/>
          <w:color w:val="000000"/>
          <w:sz w:val="24"/>
          <w:szCs w:val="24"/>
          <w:highlight w:val="none"/>
        </w:rPr>
        <w:t>上一个确认日的存续份额</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K为收取浮动管理费前投资者赎回份额对应持有区间折合年化收益率</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NAV0为上一个确认日前一日费后单位净值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NAV1为当前确认日前一日未扣除浮动管理费前的单位净值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R为本次投资周期的</w:t>
      </w:r>
      <w:r>
        <w:rPr>
          <w:rFonts w:hint="eastAsia" w:ascii="宋体" w:hAnsi="宋体" w:cs="宋体"/>
          <w:bCs/>
          <w:color w:val="000000"/>
          <w:sz w:val="24"/>
          <w:szCs w:val="24"/>
          <w:highlight w:val="none"/>
          <w:lang w:val="en-US" w:eastAsia="zh-CN"/>
        </w:rPr>
        <w:t>浮动管理费计提基数</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N为上一个确认日（含）至当前确认日（不含）的实际理财天数</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T为当前投资周期内每单位份额的实际分红金额的合计（如有）</w:t>
      </w:r>
    </w:p>
    <w:p>
      <w:pPr>
        <w:numPr>
          <w:ilvl w:val="0"/>
          <w:numId w:val="3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5"/>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5"/>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5"/>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w:t>
      </w:r>
      <w:r>
        <w:rPr>
          <w:rFonts w:hint="eastAsia" w:ascii="宋体" w:hAnsi="宋体" w:cs="宋体"/>
          <w:bCs/>
          <w:sz w:val="24"/>
          <w:highlight w:val="none"/>
        </w:rPr>
        <w:t>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6"/>
        </w:numPr>
        <w:spacing w:line="360" w:lineRule="auto"/>
        <w:jc w:val="left"/>
        <w:outlineLvl w:val="2"/>
        <w:rPr>
          <w:rFonts w:hint="eastAsia" w:ascii="宋体" w:hAnsi="宋体" w:cs="宋体"/>
          <w:bCs/>
          <w:color w:val="000000"/>
          <w:sz w:val="24"/>
          <w:highlight w:val="none"/>
        </w:rPr>
      </w:pPr>
      <w:r>
        <w:rPr>
          <w:rFonts w:hint="eastAsia" w:ascii="宋体" w:hAnsi="宋体" w:cs="宋体"/>
          <w:b/>
          <w:sz w:val="24"/>
          <w:highlight w:val="none"/>
        </w:rPr>
        <w:t>示例说明</w:t>
      </w:r>
    </w:p>
    <w:p>
      <w:pPr>
        <w:numPr>
          <w:ilvl w:val="0"/>
          <w:numId w:val="0"/>
        </w:numPr>
        <w:spacing w:line="360" w:lineRule="auto"/>
        <w:ind w:left="420" w:leftChars="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扣除托管费、固定管理费、销售服务费（如有）后，投资收益率超过浮动管理费计提基</w:t>
      </w:r>
      <w:r>
        <w:rPr>
          <w:rFonts w:hint="eastAsia" w:ascii="宋体" w:hAnsi="宋体" w:eastAsia="宋体" w:cs="宋体"/>
          <w:b/>
          <w:bCs/>
          <w:color w:val="000000"/>
          <w:kern w:val="2"/>
          <w:sz w:val="24"/>
          <w:szCs w:val="24"/>
          <w:lang w:val="en-US" w:eastAsia="zh" w:bidi="ar"/>
        </w:rPr>
        <w:t>数</w:t>
      </w:r>
      <w:r>
        <w:rPr>
          <w:rFonts w:hint="eastAsia" w:ascii="宋体" w:hAnsi="宋体" w:eastAsia="宋体" w:cs="宋体"/>
          <w:b/>
          <w:bCs/>
          <w:color w:val="000000"/>
          <w:kern w:val="2"/>
          <w:sz w:val="24"/>
          <w:szCs w:val="24"/>
          <w:lang w:val="en-US" w:eastAsia="zh-CN" w:bidi="ar"/>
        </w:rPr>
        <w:t>。</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。假设管理人提取超过5.00%的50%作为浮动管理费，浮动管理费计提基</w:t>
      </w:r>
      <w:r>
        <w:rPr>
          <w:rFonts w:hint="eastAsia" w:ascii="宋体" w:hAnsi="宋体" w:eastAsia="宋体" w:cs="宋体"/>
          <w:color w:val="000000"/>
          <w:kern w:val="2"/>
          <w:sz w:val="24"/>
          <w:szCs w:val="24"/>
          <w:lang w:val="en-US" w:eastAsia="zh" w:bidi="ar"/>
        </w:rPr>
        <w:t>数</w:t>
      </w:r>
      <w:r>
        <w:rPr>
          <w:rFonts w:hint="eastAsia" w:ascii="宋体" w:hAnsi="宋体" w:eastAsia="宋体" w:cs="宋体"/>
          <w:color w:val="000000"/>
          <w:kern w:val="2"/>
          <w:sz w:val="24"/>
          <w:szCs w:val="24"/>
          <w:lang w:val="en-US" w:eastAsia="zh-CN" w:bidi="ar"/>
        </w:rPr>
        <w:t>为5.00%，期间无分红。赎回时扣除托管费、固定管理费、销售服务费（如有）后，如理财计划净值为1.0615，此时，(1.0615/1.00-1)×365/362=6.20%&gt;5.00%，即投资收益超过〖5.00%〗，则投资管理人对超过〖5.00%〗部分收益收取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（100,000.00×1.0615-100,000.00×1.0000-100,000.00×1.0000×5.00%×362/365）×50%=595.55（元）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100,000.00×（1.0615-1.00）-595.55 =5,554.45（元），理财计划赎回时，投资者获得的实际收益相当于达到年化收益率水平为：5,554.45/100,000.00×365/362=5.60%。</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扣除托管费、固定管理费、销售服务费（如有）后，投资收益率未达到浮动管理费计提基</w:t>
      </w:r>
      <w:r>
        <w:rPr>
          <w:rFonts w:hint="eastAsia" w:ascii="宋体" w:hAnsi="宋体" w:eastAsia="宋体" w:cs="宋体"/>
          <w:b/>
          <w:bCs/>
          <w:color w:val="000000"/>
          <w:kern w:val="2"/>
          <w:sz w:val="24"/>
          <w:szCs w:val="24"/>
          <w:lang w:val="en-US" w:eastAsia="zh" w:bidi="ar"/>
        </w:rPr>
        <w:t>数</w:t>
      </w:r>
      <w:r>
        <w:rPr>
          <w:rFonts w:hint="eastAsia" w:ascii="宋体" w:hAnsi="宋体" w:eastAsia="宋体" w:cs="宋体"/>
          <w:b/>
          <w:bCs/>
          <w:color w:val="000000"/>
          <w:kern w:val="2"/>
          <w:sz w:val="24"/>
          <w:szCs w:val="24"/>
          <w:lang w:val="en-US" w:eastAsia="zh-CN" w:bidi="ar"/>
        </w:rPr>
        <w:t>。</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w:t>
      </w:r>
      <w:r>
        <w:rPr>
          <w:rFonts w:hint="eastAsia" w:ascii="宋体" w:hAnsi="宋体" w:eastAsia="宋体" w:cs="宋体"/>
          <w:b w:val="0"/>
          <w:bCs w:val="0"/>
          <w:kern w:val="2"/>
          <w:sz w:val="24"/>
          <w:szCs w:val="24"/>
          <w:lang w:val="en-US" w:eastAsia="zh-CN" w:bidi="ar"/>
        </w:rPr>
        <w:t>浮动管理费计提基</w:t>
      </w:r>
      <w:r>
        <w:rPr>
          <w:rFonts w:hint="eastAsia" w:ascii="宋体" w:hAnsi="宋体" w:eastAsia="宋体" w:cs="宋体"/>
          <w:b w:val="0"/>
          <w:bCs w:val="0"/>
          <w:kern w:val="2"/>
          <w:sz w:val="24"/>
          <w:szCs w:val="24"/>
          <w:lang w:val="en-US" w:eastAsia="zh" w:bidi="ar"/>
        </w:rPr>
        <w:t>数</w:t>
      </w:r>
      <w:r>
        <w:rPr>
          <w:rFonts w:hint="eastAsia" w:ascii="宋体" w:hAnsi="宋体" w:eastAsia="宋体" w:cs="宋体"/>
          <w:kern w:val="2"/>
          <w:sz w:val="24"/>
          <w:szCs w:val="24"/>
          <w:lang w:val="en-US" w:eastAsia="zh-CN" w:bidi="ar"/>
        </w:rPr>
        <w:t>为5.00%</w:t>
      </w:r>
      <w:r>
        <w:rPr>
          <w:rFonts w:hint="eastAsia" w:ascii="宋体" w:hAnsi="宋体" w:eastAsia="宋体" w:cs="宋体"/>
          <w:color w:val="000000"/>
          <w:kern w:val="2"/>
          <w:sz w:val="24"/>
          <w:szCs w:val="24"/>
          <w:lang w:val="en-US" w:eastAsia="zh-CN" w:bidi="ar"/>
        </w:rPr>
        <w:t>，期间无分红。赎回时扣除托管费、固定管理费、销售服务费（如有）后，如理财计划净值为1.0426，此时，(1.0426/1.00-1)×365/362=4.30%&lt;5.00%，即投资收益未达到〖5.00%〗，则投资管理人不收取浮动管理费，投资者最终收益为：100,000.00×(1.0426-1.00）=4,260.00（元）</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lang w:val="en-US" w:eastAsia="zh-CN" w:bidi="ar"/>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
          <w:bCs/>
          <w:color w:val="000000"/>
          <w:kern w:val="2"/>
          <w:sz w:val="24"/>
          <w:szCs w:val="24"/>
          <w:lang w:val="en-US" w:eastAsia="zh" w:bidi="ar"/>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w:t>
      </w:r>
      <w:r>
        <w:rPr>
          <w:rFonts w:hint="eastAsia" w:ascii="宋体" w:hAnsi="宋体" w:eastAsia="宋体" w:cs="宋体"/>
          <w:b w:val="0"/>
          <w:bCs w:val="0"/>
          <w:kern w:val="2"/>
          <w:sz w:val="24"/>
          <w:szCs w:val="24"/>
          <w:lang w:val="en-US" w:eastAsia="zh-CN" w:bidi="ar"/>
        </w:rPr>
        <w:t>浮动管理费计提基准</w:t>
      </w:r>
      <w:r>
        <w:rPr>
          <w:rFonts w:hint="eastAsia" w:ascii="宋体" w:hAnsi="宋体" w:eastAsia="宋体" w:cs="宋体"/>
          <w:kern w:val="2"/>
          <w:sz w:val="24"/>
          <w:szCs w:val="24"/>
          <w:lang w:val="en-US" w:eastAsia="zh-CN" w:bidi="ar"/>
        </w:rPr>
        <w:t>为5.00%</w:t>
      </w:r>
      <w:r>
        <w:rPr>
          <w:rFonts w:hint="eastAsia" w:ascii="宋体" w:hAnsi="宋体" w:eastAsia="宋体" w:cs="宋体"/>
          <w:color w:val="000000"/>
          <w:kern w:val="2"/>
          <w:sz w:val="24"/>
          <w:szCs w:val="24"/>
          <w:lang w:val="en-US" w:eastAsia="zh-CN" w:bidi="ar"/>
        </w:rPr>
        <w:t>，期间无分红。赎回时扣除托管费、固定管理费、销售服务费（如有）后，如理财计划净值为0.9975，则投资管理人不收取浮动管理费，投资者最终收益为：100,000.00×（0.9975-1.00）=-250.00（元）</w:t>
      </w:r>
      <w:r>
        <w:rPr>
          <w:rFonts w:hint="eastAsia" w:ascii="宋体" w:hAnsi="宋体" w:eastAsia="宋体" w:cs="宋体"/>
          <w:color w:val="000000"/>
          <w:kern w:val="2"/>
          <w:sz w:val="24"/>
          <w:szCs w:val="24"/>
          <w:lang w:val="en-US" w:eastAsia="zh" w:bidi="ar"/>
        </w:rPr>
        <w:t>。</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成立</w:t>
      </w:r>
    </w:p>
    <w:p>
      <w:pPr>
        <w:numPr>
          <w:ilvl w:val="0"/>
          <w:numId w:val="40"/>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0"/>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申购及赎回</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交易确认及时间</w:t>
      </w:r>
    </w:p>
    <w:p>
      <w:pPr>
        <w:numPr>
          <w:ilvl w:val="0"/>
          <w:numId w:val="4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本理财计划在每个开放期的开放日工作时间可进行申购</w:t>
      </w:r>
      <w:r>
        <w:rPr>
          <w:rFonts w:hint="eastAsia" w:ascii="宋体" w:hAnsi="宋体" w:cs="宋体"/>
          <w:bCs/>
          <w:sz w:val="24"/>
          <w:highlight w:val="none"/>
          <w:lang w:val="en-US" w:eastAsia="zh-CN"/>
        </w:rPr>
        <w:t>和赎回</w:t>
      </w:r>
      <w:r>
        <w:rPr>
          <w:rFonts w:hint="eastAsia" w:ascii="宋体" w:hAnsi="宋体" w:cs="宋体"/>
          <w:bCs/>
          <w:sz w:val="24"/>
          <w:highlight w:val="none"/>
        </w:rPr>
        <w:t>，申购</w:t>
      </w:r>
      <w:r>
        <w:rPr>
          <w:rFonts w:hint="eastAsia" w:ascii="宋体" w:hAnsi="宋体" w:cs="宋体"/>
          <w:bCs/>
          <w:sz w:val="24"/>
          <w:highlight w:val="none"/>
          <w:lang w:val="en-US" w:eastAsia="zh-CN"/>
        </w:rPr>
        <w:t>和赎回</w:t>
      </w:r>
      <w:r>
        <w:rPr>
          <w:rFonts w:hint="eastAsia" w:ascii="宋体" w:hAnsi="宋体" w:cs="宋体"/>
          <w:bCs/>
          <w:sz w:val="24"/>
          <w:highlight w:val="none"/>
        </w:rPr>
        <w:t>申请将在确认日进行确认，即开放期后的第〖</w:t>
      </w:r>
      <w:r>
        <w:rPr>
          <w:rFonts w:hint="eastAsia" w:ascii="宋体" w:hAnsi="宋体" w:cs="宋体"/>
          <w:bCs/>
          <w:color w:val="000000"/>
          <w:sz w:val="24"/>
          <w:highlight w:val="none"/>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〗进行确认。</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工作时间为每个〖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〗上午〖</w:t>
      </w:r>
      <w:r>
        <w:rPr>
          <w:rFonts w:hint="eastAsia" w:ascii="宋体" w:hAnsi="宋体" w:cs="宋体"/>
          <w:bCs/>
          <w:color w:val="000000"/>
          <w:sz w:val="24"/>
          <w:highlight w:val="none"/>
        </w:rPr>
        <w:t>9:00</w:t>
      </w:r>
      <w:r>
        <w:rPr>
          <w:rFonts w:hint="eastAsia" w:ascii="宋体" w:hAnsi="宋体" w:cs="宋体"/>
          <w:bCs/>
          <w:sz w:val="24"/>
          <w:highlight w:val="none"/>
        </w:rPr>
        <w:t>〗至下午〖</w:t>
      </w:r>
      <w:r>
        <w:rPr>
          <w:rFonts w:hint="eastAsia" w:ascii="宋体" w:hAnsi="宋体" w:cs="宋体"/>
          <w:bCs/>
          <w:color w:val="000000"/>
          <w:sz w:val="24"/>
          <w:highlight w:val="none"/>
        </w:rPr>
        <w:t>17:00〗</w:t>
      </w:r>
      <w:r>
        <w:rPr>
          <w:rFonts w:hint="eastAsia" w:ascii="宋体" w:hAnsi="宋体" w:cs="宋体"/>
          <w:bCs/>
          <w:sz w:val="24"/>
          <w:highlight w:val="none"/>
        </w:rPr>
        <w:t>。</w:t>
      </w:r>
      <w:r>
        <w:rPr>
          <w:rFonts w:hint="eastAsia" w:ascii="宋体" w:hAnsi="宋体" w:cs="宋体"/>
          <w:color w:val="000000"/>
          <w:kern w:val="0"/>
          <w:sz w:val="24"/>
          <w:szCs w:val="24"/>
          <w:highlight w:val="none"/>
        </w:rPr>
        <w:t>（具体以销售机构规定为准）</w:t>
      </w:r>
    </w:p>
    <w:p>
      <w:pPr>
        <w:numPr>
          <w:ilvl w:val="0"/>
          <w:numId w:val="42"/>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赎回资金确认后，最快</w:t>
      </w:r>
      <w:r>
        <w:rPr>
          <w:rFonts w:hint="eastAsia" w:ascii="宋体" w:hAnsi="宋体" w:eastAsia="宋体" w:cs="宋体"/>
          <w:bCs/>
          <w:kern w:val="2"/>
          <w:sz w:val="24"/>
          <w:szCs w:val="24"/>
          <w:highlight w:val="none"/>
          <w:lang w:val="en-US" w:eastAsia="zh-CN" w:bidi="ar-SA"/>
        </w:rPr>
        <w:t>〖确认日当日〗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确认日后〖2〗个〖工作日〗内</w:t>
      </w:r>
      <w:r>
        <w:rPr>
          <w:rFonts w:hint="eastAsia" w:ascii="宋体" w:hAnsi="宋体" w:cs="宋体"/>
          <w:bCs/>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numPr>
          <w:ilvl w:val="0"/>
          <w:numId w:val="43"/>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理财计划存续期内，若理财计划开放日净赎回申请份额超过上一日日终理财计划总份额〖</w:t>
      </w:r>
      <w:r>
        <w:rPr>
          <w:rFonts w:hint="eastAsia" w:ascii="宋体" w:hAnsi="宋体" w:cs="宋体"/>
          <w:bCs/>
          <w:color w:val="000000"/>
          <w:sz w:val="24"/>
          <w:highlight w:val="none"/>
        </w:rPr>
        <w:t>10%</w:t>
      </w:r>
      <w:r>
        <w:rPr>
          <w:rFonts w:hint="eastAsia" w:ascii="宋体" w:hAnsi="宋体" w:cs="宋体"/>
          <w:bCs/>
          <w:sz w:val="24"/>
          <w:highlight w:val="none"/>
        </w:rPr>
        <w:t>〗时，即构成巨额赎回。</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sz w:val="24"/>
          <w:highlight w:val="none"/>
        </w:rPr>
        <w:t>当出现巨额赎回时，管理人可以根据资产组合状况决定采取全额赎回或拒绝超出部分的赎回申请。</w:t>
      </w:r>
      <w:r>
        <w:rPr>
          <w:rFonts w:hint="eastAsia" w:ascii="宋体" w:hAnsi="宋体" w:cs="宋体"/>
          <w:bCs/>
          <w:sz w:val="24"/>
          <w:highlight w:val="none"/>
          <w:lang w:val="en-US" w:eastAsia="zh-CN"/>
        </w:rPr>
        <w:t>如连续2日（含）以上开放日发生巨额赎回，对于已经接受的赎回申请，管理人可以延缓支付赎回款项，但延缓期限不得超过20个工作日。</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当管理人认为全额兑付投资者的赎回申请将不会对本理财计划净值造成较大波动或给本理财计划造成重大损失时，按正常赎回程序执行。</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当管理人认为全部满足投资者的赎回申请可能会对本理财计划造成重大损失或可能会对理财计划净值造成较大波动时，在当日接受赎回比例不低于理财计划上一确认日日终总份额的〖</w:t>
      </w:r>
      <w:r>
        <w:rPr>
          <w:rFonts w:hint="eastAsia" w:ascii="宋体" w:hAnsi="宋体" w:cs="宋体"/>
          <w:bCs/>
          <w:color w:val="000000"/>
          <w:sz w:val="24"/>
          <w:highlight w:val="none"/>
        </w:rPr>
        <w:t>10%</w:t>
      </w:r>
      <w:r>
        <w:rPr>
          <w:rFonts w:hint="eastAsia" w:ascii="宋体" w:hAnsi="宋体" w:cs="宋体"/>
          <w:bCs/>
          <w:sz w:val="24"/>
          <w:highlight w:val="none"/>
        </w:rPr>
        <w:t>〗的前提下，对其余赎回申请予以拒绝，但投资者可于下一赎回开放期重新进行赎回申请。</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在</w:t>
      </w:r>
      <w:r>
        <w:rPr>
          <w:rFonts w:hint="eastAsia" w:ascii="宋体" w:hAnsi="宋体" w:cs="宋体"/>
          <w:bCs/>
          <w:sz w:val="24"/>
          <w:highlight w:val="none"/>
        </w:rPr>
        <w:t>理财计划存续期内，管理人有权根据市场情况调整巨额赎回金额比例，并及时进行对外公告。</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发生以下情形，管理人可暂停接受全部或部分投资者的申购申请：</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w:t>
      </w:r>
      <w:r>
        <w:rPr>
          <w:rFonts w:hint="eastAsia" w:ascii="宋体" w:hAnsi="宋体" w:cs="宋体"/>
          <w:bCs/>
          <w:sz w:val="24"/>
          <w:highlight w:val="none"/>
          <w:lang w:val="en-US" w:eastAsia="zh-CN"/>
        </w:rPr>
        <w:t>资产规模过大，继续接受申购可能对理财计划业绩产生负面影响，从而损害现有份额持有人利益的情形时</w:t>
      </w:r>
      <w:r>
        <w:rPr>
          <w:rFonts w:hint="eastAsia" w:ascii="宋体" w:hAnsi="宋体" w:cs="宋体"/>
          <w:bCs/>
          <w:sz w:val="24"/>
          <w:highlight w:val="none"/>
        </w:rPr>
        <w:t>。</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当</w:t>
      </w:r>
      <w:r>
        <w:rPr>
          <w:rFonts w:hint="eastAsia" w:ascii="宋体" w:hAnsi="宋体" w:cs="宋体"/>
          <w:bCs/>
          <w:sz w:val="24"/>
          <w:highlight w:val="none"/>
          <w:lang w:val="en-US" w:eastAsia="zh-CN"/>
        </w:rPr>
        <w:t>管理人认为某笔申购申请会有损于其他份额持有人利益的情形时。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发生产品说明书约定的暂停估值的情形时。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发生以下情形，对超出前一日终理财产品总份额10%的赎回申请，管理人可暂停接受全部或部分、延期办理投资者的赎回申请：</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理财计划发生巨额赎回情形时。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当继续</w:t>
      </w:r>
      <w:r>
        <w:rPr>
          <w:rFonts w:hint="default" w:ascii="宋体" w:hAnsi="宋体" w:cs="宋体"/>
          <w:bCs/>
          <w:sz w:val="24"/>
          <w:highlight w:val="none"/>
          <w:lang w:val="en-US" w:eastAsia="zh-CN"/>
        </w:rPr>
        <w:t>接受赎回申请将损害存量投资者利益的情形</w:t>
      </w:r>
      <w:r>
        <w:rPr>
          <w:rFonts w:hint="eastAsia" w:ascii="宋体" w:hAnsi="宋体" w:cs="宋体"/>
          <w:bCs/>
          <w:sz w:val="24"/>
          <w:highlight w:val="none"/>
          <w:lang w:val="en-US" w:eastAsia="zh-CN"/>
        </w:rPr>
        <w:t>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w:t>
      </w:r>
      <w:r>
        <w:rPr>
          <w:rFonts w:hint="default" w:ascii="宋体" w:hAnsi="宋体" w:cs="宋体"/>
          <w:bCs/>
          <w:sz w:val="24"/>
          <w:highlight w:val="none"/>
          <w:lang w:val="en-US" w:eastAsia="zh-CN"/>
        </w:rPr>
        <w:t>前一估值日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发生</w:t>
      </w:r>
      <w:r>
        <w:rPr>
          <w:rFonts w:hint="eastAsia" w:ascii="宋体" w:hAnsi="宋体" w:cs="宋体"/>
          <w:bCs/>
          <w:sz w:val="24"/>
          <w:highlight w:val="none"/>
          <w:lang w:eastAsia="zh-CN"/>
        </w:rPr>
        <w:t>产品说明书约定的暂停估值的情形时。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发生以下情形，管理人对已接受的赎回申请，可延期支付赎回款项：</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因</w:t>
      </w:r>
      <w:r>
        <w:rPr>
          <w:rFonts w:hint="eastAsia" w:ascii="宋体" w:hAnsi="宋体" w:cs="宋体"/>
          <w:bCs/>
          <w:sz w:val="24"/>
          <w:highlight w:val="none"/>
          <w:lang w:val="en-US" w:eastAsia="zh-CN"/>
        </w:rPr>
        <w:t>不可抗力等原因，导致管理人接受赎回申请后无法及时兑付的情形时。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连续</w:t>
      </w:r>
      <w:r>
        <w:rPr>
          <w:rFonts w:hint="default" w:ascii="宋体" w:hAnsi="宋体" w:cs="宋体"/>
          <w:bCs/>
          <w:sz w:val="24"/>
          <w:highlight w:val="none"/>
          <w:lang w:val="en-US" w:eastAsia="zh-CN"/>
        </w:rPr>
        <w:t>2</w:t>
      </w:r>
      <w:r>
        <w:rPr>
          <w:rFonts w:hint="eastAsia" w:ascii="宋体" w:hAnsi="宋体" w:cs="宋体"/>
          <w:bCs/>
          <w:sz w:val="24"/>
          <w:highlight w:val="none"/>
          <w:lang w:val="en-US" w:eastAsia="zh-CN"/>
        </w:rPr>
        <w:t>日</w:t>
      </w:r>
      <w:r>
        <w:rPr>
          <w:rFonts w:hint="default" w:ascii="宋体" w:hAnsi="宋体" w:cs="宋体"/>
          <w:bCs/>
          <w:sz w:val="24"/>
          <w:highlight w:val="none"/>
          <w:lang w:val="en-US" w:eastAsia="zh-CN"/>
        </w:rPr>
        <w:t>（含）以上开放日发生巨额赎回的</w:t>
      </w:r>
      <w:r>
        <w:rPr>
          <w:rFonts w:hint="eastAsia" w:ascii="宋体" w:hAnsi="宋体" w:cs="宋体"/>
          <w:bCs/>
          <w:sz w:val="24"/>
          <w:highlight w:val="none"/>
          <w:lang w:val="en-US" w:eastAsia="zh-CN"/>
        </w:rPr>
        <w:t>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当前</w:t>
      </w:r>
      <w:r>
        <w:rPr>
          <w:rFonts w:hint="default" w:ascii="宋体" w:hAnsi="宋体" w:cs="宋体"/>
          <w:bCs/>
          <w:sz w:val="24"/>
          <w:highlight w:val="none"/>
          <w:lang w:val="en-US" w:eastAsia="zh-CN"/>
        </w:rPr>
        <w:t>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法律法规规定或监管机构认定的其他情形。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kern w:val="2"/>
          <w:sz w:val="24"/>
          <w:szCs w:val="24"/>
          <w:highlight w:val="none"/>
          <w:lang w:val="en-US" w:eastAsia="zh-CN" w:bidi="ar-SA"/>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3</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1</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〗通过管理人或销售机构发布提前终止公告，并于终止日后</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3</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5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1"/>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5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r>
        <w:rPr>
          <w:rFonts w:hint="eastAsia" w:ascii="宋体" w:hAnsi="宋体" w:cs="宋体"/>
          <w:bCs/>
          <w:color w:val="000000"/>
          <w:sz w:val="24"/>
          <w:highlight w:val="none"/>
          <w:lang w:eastAsia="zh"/>
        </w:rPr>
        <w:t>公募开放式产品至少每周披露净值。</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5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3"/>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val="en-US" w:eastAsia="zh-CN"/>
        </w:rPr>
        <w:t>被告人</w:t>
      </w:r>
      <w:r>
        <w:rPr>
          <w:rFonts w:hint="eastAsia" w:ascii="宋体" w:hAnsi="宋体" w:cs="宋体"/>
          <w:bCs/>
          <w:color w:val="000000"/>
          <w:sz w:val="24"/>
          <w:highlight w:val="none"/>
        </w:rPr>
        <w:t>所在地有管辖权的人民法院诉讼解决。</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
          <w:bCs/>
          <w:color w:val="000000"/>
          <w:sz w:val="44"/>
          <w:szCs w:val="4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7">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9">
    <w:nsid w:val="D8D75090"/>
    <w:multiLevelType w:val="singleLevel"/>
    <w:tmpl w:val="D8D75090"/>
    <w:lvl w:ilvl="0" w:tentative="0">
      <w:start w:val="1"/>
      <w:numFmt w:val="decimal"/>
      <w:suff w:val="nothing"/>
      <w:lvlText w:val="（%1）"/>
      <w:lvlJc w:val="left"/>
      <w:rPr>
        <w:rFonts w:hint="default"/>
        <w:b w:val="0"/>
        <w:bCs w:val="0"/>
      </w:rPr>
    </w:lvl>
  </w:abstractNum>
  <w:abstractNum w:abstractNumId="20">
    <w:nsid w:val="DD2251DF"/>
    <w:multiLevelType w:val="singleLevel"/>
    <w:tmpl w:val="DD2251DF"/>
    <w:lvl w:ilvl="0" w:tentative="0">
      <w:start w:val="1"/>
      <w:numFmt w:val="decimal"/>
      <w:suff w:val="nothing"/>
      <w:lvlText w:val="（%1）"/>
      <w:lvlJc w:val="left"/>
      <w:rPr>
        <w:rFonts w:hint="default"/>
        <w:b w:val="0"/>
        <w:bCs w:val="0"/>
      </w:rPr>
    </w:lvl>
  </w:abstractNum>
  <w:abstractNum w:abstractNumId="21">
    <w:nsid w:val="E20DF07A"/>
    <w:multiLevelType w:val="singleLevel"/>
    <w:tmpl w:val="E20DF07A"/>
    <w:lvl w:ilvl="0" w:tentative="0">
      <w:start w:val="1"/>
      <w:numFmt w:val="chineseCounting"/>
      <w:suff w:val="nothing"/>
      <w:lvlText w:val="（%1）"/>
      <w:lvlJc w:val="left"/>
      <w:pPr>
        <w:ind w:left="0" w:firstLine="420"/>
      </w:pPr>
      <w:rPr>
        <w:rFonts w:hint="eastAsia"/>
        <w:b/>
        <w:bCs/>
      </w:rPr>
    </w:lvl>
  </w:abstractNum>
  <w:abstractNum w:abstractNumId="22">
    <w:nsid w:val="E70DF796"/>
    <w:multiLevelType w:val="singleLevel"/>
    <w:tmpl w:val="E70DF796"/>
    <w:lvl w:ilvl="0" w:tentative="0">
      <w:start w:val="1"/>
      <w:numFmt w:val="decimal"/>
      <w:suff w:val="nothing"/>
      <w:lvlText w:val="（%1）"/>
      <w:lvlJc w:val="left"/>
    </w:lvl>
  </w:abstractNum>
  <w:abstractNum w:abstractNumId="23">
    <w:nsid w:val="EED9DB58"/>
    <w:multiLevelType w:val="multilevel"/>
    <w:tmpl w:val="EED9DB58"/>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4">
    <w:nsid w:val="EFF37F09"/>
    <w:multiLevelType w:val="singleLevel"/>
    <w:tmpl w:val="EFF37F09"/>
    <w:lvl w:ilvl="0" w:tentative="0">
      <w:start w:val="1"/>
      <w:numFmt w:val="decimal"/>
      <w:suff w:val="nothing"/>
      <w:lvlText w:val="（%1）"/>
      <w:lvlJc w:val="left"/>
      <w:rPr>
        <w:rFonts w:hint="default"/>
        <w:b w:val="0"/>
        <w:bCs w:val="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8">
    <w:nsid w:val="F574F5B6"/>
    <w:multiLevelType w:val="singleLevel"/>
    <w:tmpl w:val="F574F5B6"/>
    <w:lvl w:ilvl="0" w:tentative="0">
      <w:start w:val="1"/>
      <w:numFmt w:val="decimal"/>
      <w:suff w:val="nothing"/>
      <w:lvlText w:val="（%1）"/>
      <w:lvlJc w:val="left"/>
    </w:lvl>
  </w:abstractNum>
  <w:abstractNum w:abstractNumId="29">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0">
    <w:nsid w:val="FBBA18C3"/>
    <w:multiLevelType w:val="singleLevel"/>
    <w:tmpl w:val="FBBA18C3"/>
    <w:lvl w:ilvl="0" w:tentative="0">
      <w:start w:val="1"/>
      <w:numFmt w:val="decimal"/>
      <w:lvlText w:val="%1."/>
      <w:lvlJc w:val="left"/>
      <w:pPr>
        <w:tabs>
          <w:tab w:val="left" w:pos="312"/>
        </w:tabs>
      </w:pPr>
      <w:rPr>
        <w:rFonts w:hint="default"/>
        <w:b w:val="0"/>
        <w:bCs w:val="0"/>
        <w:highlight w:val="none"/>
      </w:rPr>
    </w:lvl>
  </w:abstractNum>
  <w:abstractNum w:abstractNumId="31">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2">
    <w:nsid w:val="084A6179"/>
    <w:multiLevelType w:val="singleLevel"/>
    <w:tmpl w:val="084A6179"/>
    <w:lvl w:ilvl="0" w:tentative="0">
      <w:start w:val="1"/>
      <w:numFmt w:val="decimal"/>
      <w:suff w:val="nothing"/>
      <w:lvlText w:val="（%1）"/>
      <w:lvlJc w:val="left"/>
      <w:rPr>
        <w:rFonts w:hint="default"/>
        <w:highlight w:val="none"/>
      </w:rPr>
    </w:lvl>
  </w:abstractNum>
  <w:abstractNum w:abstractNumId="33">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4">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5">
    <w:nsid w:val="167B0BB4"/>
    <w:multiLevelType w:val="singleLevel"/>
    <w:tmpl w:val="167B0BB4"/>
    <w:lvl w:ilvl="0" w:tentative="0">
      <w:start w:val="1"/>
      <w:numFmt w:val="decimal"/>
      <w:suff w:val="nothing"/>
      <w:lvlText w:val="（%1）"/>
      <w:lvlJc w:val="left"/>
    </w:lvl>
  </w:abstractNum>
  <w:abstractNum w:abstractNumId="36">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7">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8">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39">
    <w:nsid w:val="2CB63BE6"/>
    <w:multiLevelType w:val="singleLevel"/>
    <w:tmpl w:val="2CB63BE6"/>
    <w:lvl w:ilvl="0" w:tentative="0">
      <w:start w:val="1"/>
      <w:numFmt w:val="decimal"/>
      <w:suff w:val="nothing"/>
      <w:lvlText w:val="（%1）"/>
      <w:lvlJc w:val="left"/>
      <w:rPr>
        <w:rFonts w:hint="default"/>
        <w:b w:val="0"/>
        <w:bCs w:val="0"/>
      </w:rPr>
    </w:lvl>
  </w:abstractNum>
  <w:abstractNum w:abstractNumId="40">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1">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2">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3">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4">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5">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6">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7">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8">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49">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0">
    <w:nsid w:val="5BA91325"/>
    <w:multiLevelType w:val="singleLevel"/>
    <w:tmpl w:val="5BA91325"/>
    <w:lvl w:ilvl="0" w:tentative="0">
      <w:start w:val="1"/>
      <w:numFmt w:val="decimal"/>
      <w:suff w:val="nothing"/>
      <w:lvlText w:val="（%1）"/>
      <w:lvlJc w:val="left"/>
    </w:lvl>
  </w:abstractNum>
  <w:abstractNum w:abstractNumId="51">
    <w:nsid w:val="61F30F62"/>
    <w:multiLevelType w:val="singleLevel"/>
    <w:tmpl w:val="61F30F62"/>
    <w:lvl w:ilvl="0" w:tentative="0">
      <w:start w:val="1"/>
      <w:numFmt w:val="decimal"/>
      <w:suff w:val="nothing"/>
      <w:lvlText w:val="（%1）"/>
      <w:lvlJc w:val="left"/>
      <w:rPr>
        <w:rFonts w:hint="default"/>
        <w:b w:val="0"/>
        <w:bCs w:val="0"/>
      </w:rPr>
    </w:lvl>
  </w:abstractNum>
  <w:abstractNum w:abstractNumId="52">
    <w:nsid w:val="69C07A9C"/>
    <w:multiLevelType w:val="singleLevel"/>
    <w:tmpl w:val="69C07A9C"/>
    <w:lvl w:ilvl="0" w:tentative="0">
      <w:start w:val="1"/>
      <w:numFmt w:val="lowerLetter"/>
      <w:suff w:val="space"/>
      <w:lvlText w:val="%1."/>
      <w:lvlJc w:val="left"/>
    </w:lvl>
  </w:abstractNum>
  <w:abstractNum w:abstractNumId="53">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48"/>
  </w:num>
  <w:num w:numId="2">
    <w:abstractNumId w:val="44"/>
  </w:num>
  <w:num w:numId="3">
    <w:abstractNumId w:val="29"/>
  </w:num>
  <w:num w:numId="4">
    <w:abstractNumId w:val="26"/>
  </w:num>
  <w:num w:numId="5">
    <w:abstractNumId w:val="33"/>
  </w:num>
  <w:num w:numId="6">
    <w:abstractNumId w:val="25"/>
  </w:num>
  <w:num w:numId="7">
    <w:abstractNumId w:val="16"/>
  </w:num>
  <w:num w:numId="8">
    <w:abstractNumId w:val="10"/>
  </w:num>
  <w:num w:numId="9">
    <w:abstractNumId w:val="13"/>
  </w:num>
  <w:num w:numId="10">
    <w:abstractNumId w:val="7"/>
  </w:num>
  <w:num w:numId="11">
    <w:abstractNumId w:val="8"/>
  </w:num>
  <w:num w:numId="12">
    <w:abstractNumId w:val="6"/>
  </w:num>
  <w:num w:numId="13">
    <w:abstractNumId w:val="30"/>
  </w:num>
  <w:num w:numId="14">
    <w:abstractNumId w:val="43"/>
  </w:num>
  <w:num w:numId="15">
    <w:abstractNumId w:val="28"/>
  </w:num>
  <w:num w:numId="16">
    <w:abstractNumId w:val="45"/>
  </w:num>
  <w:num w:numId="17">
    <w:abstractNumId w:val="50"/>
  </w:num>
  <w:num w:numId="18">
    <w:abstractNumId w:val="52"/>
  </w:num>
  <w:num w:numId="19">
    <w:abstractNumId w:val="38"/>
  </w:num>
  <w:num w:numId="20">
    <w:abstractNumId w:val="15"/>
  </w:num>
  <w:num w:numId="21">
    <w:abstractNumId w:val="37"/>
  </w:num>
  <w:num w:numId="22">
    <w:abstractNumId w:val="18"/>
  </w:num>
  <w:num w:numId="23">
    <w:abstractNumId w:val="5"/>
  </w:num>
  <w:num w:numId="24">
    <w:abstractNumId w:val="47"/>
  </w:num>
  <w:num w:numId="25">
    <w:abstractNumId w:val="4"/>
  </w:num>
  <w:num w:numId="26">
    <w:abstractNumId w:val="32"/>
  </w:num>
  <w:num w:numId="27">
    <w:abstractNumId w:val="36"/>
  </w:num>
  <w:num w:numId="28">
    <w:abstractNumId w:val="53"/>
  </w:num>
  <w:num w:numId="29">
    <w:abstractNumId w:val="31"/>
  </w:num>
  <w:num w:numId="30">
    <w:abstractNumId w:val="17"/>
  </w:num>
  <w:num w:numId="31">
    <w:abstractNumId w:val="40"/>
  </w:num>
  <w:num w:numId="32">
    <w:abstractNumId w:val="0"/>
  </w:num>
  <w:num w:numId="33">
    <w:abstractNumId w:val="20"/>
  </w:num>
  <w:num w:numId="34">
    <w:abstractNumId w:val="42"/>
  </w:num>
  <w:num w:numId="35">
    <w:abstractNumId w:val="2"/>
  </w:num>
  <w:num w:numId="36">
    <w:abstractNumId w:val="21"/>
  </w:num>
  <w:num w:numId="37">
    <w:abstractNumId w:val="23"/>
  </w:num>
  <w:num w:numId="38">
    <w:abstractNumId w:val="46"/>
  </w:num>
  <w:num w:numId="39">
    <w:abstractNumId w:val="34"/>
  </w:num>
  <w:num w:numId="40">
    <w:abstractNumId w:val="14"/>
  </w:num>
  <w:num w:numId="41">
    <w:abstractNumId w:val="27"/>
  </w:num>
  <w:num w:numId="42">
    <w:abstractNumId w:val="22"/>
  </w:num>
  <w:num w:numId="43">
    <w:abstractNumId w:val="24"/>
  </w:num>
  <w:num w:numId="44">
    <w:abstractNumId w:val="51"/>
  </w:num>
  <w:num w:numId="45">
    <w:abstractNumId w:val="39"/>
  </w:num>
  <w:num w:numId="46">
    <w:abstractNumId w:val="1"/>
  </w:num>
  <w:num w:numId="47">
    <w:abstractNumId w:val="49"/>
  </w:num>
  <w:num w:numId="48">
    <w:abstractNumId w:val="11"/>
  </w:num>
  <w:num w:numId="49">
    <w:abstractNumId w:val="9"/>
  </w:num>
  <w:num w:numId="50">
    <w:abstractNumId w:val="12"/>
  </w:num>
  <w:num w:numId="51">
    <w:abstractNumId w:val="35"/>
  </w:num>
  <w:num w:numId="52">
    <w:abstractNumId w:val="19"/>
  </w:num>
  <w:num w:numId="53">
    <w:abstractNumId w:val="3"/>
  </w:num>
  <w:num w:numId="5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EB77D15"/>
    <w:rsid w:val="0F6D2F4F"/>
    <w:rsid w:val="0FFB8BAD"/>
    <w:rsid w:val="102D0195"/>
    <w:rsid w:val="10E7747B"/>
    <w:rsid w:val="10F25E29"/>
    <w:rsid w:val="11FA0C01"/>
    <w:rsid w:val="128B25FE"/>
    <w:rsid w:val="12DA17D8"/>
    <w:rsid w:val="15862C7E"/>
    <w:rsid w:val="164976A9"/>
    <w:rsid w:val="178D1D7E"/>
    <w:rsid w:val="17CFB46B"/>
    <w:rsid w:val="17EA7887"/>
    <w:rsid w:val="18321B09"/>
    <w:rsid w:val="18616AA2"/>
    <w:rsid w:val="191F0F43"/>
    <w:rsid w:val="19E235E1"/>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0E6088"/>
    <w:rsid w:val="27DB5649"/>
    <w:rsid w:val="284E53B8"/>
    <w:rsid w:val="28F73A05"/>
    <w:rsid w:val="290343AE"/>
    <w:rsid w:val="29E223F6"/>
    <w:rsid w:val="2A7A79DE"/>
    <w:rsid w:val="2B5C1F0C"/>
    <w:rsid w:val="2BD054E2"/>
    <w:rsid w:val="2D3FA85E"/>
    <w:rsid w:val="2E16D822"/>
    <w:rsid w:val="2EAD6691"/>
    <w:rsid w:val="2F0D25D9"/>
    <w:rsid w:val="2FA97CB8"/>
    <w:rsid w:val="2FFF877F"/>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5A4B79"/>
    <w:rsid w:val="3BD53B5C"/>
    <w:rsid w:val="3BFFCC6D"/>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988C8"/>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8817556"/>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6D37A2C"/>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6FF5AEDC"/>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A923507"/>
    <w:rsid w:val="7ACB640D"/>
    <w:rsid w:val="7BFF1A29"/>
    <w:rsid w:val="7C044D89"/>
    <w:rsid w:val="7C63442B"/>
    <w:rsid w:val="7C7C3745"/>
    <w:rsid w:val="7D3AA22F"/>
    <w:rsid w:val="7D546952"/>
    <w:rsid w:val="7D56646C"/>
    <w:rsid w:val="7DE35ECA"/>
    <w:rsid w:val="7DEFCC9B"/>
    <w:rsid w:val="7E1A0C5A"/>
    <w:rsid w:val="7E3212D3"/>
    <w:rsid w:val="7E81116B"/>
    <w:rsid w:val="7F365A97"/>
    <w:rsid w:val="7F5E9C1F"/>
    <w:rsid w:val="7F5F887D"/>
    <w:rsid w:val="7FCC7D05"/>
    <w:rsid w:val="7FEF42B8"/>
    <w:rsid w:val="7FF7EB2D"/>
    <w:rsid w:val="7FFF0B3B"/>
    <w:rsid w:val="9FD01BC3"/>
    <w:rsid w:val="AF77296E"/>
    <w:rsid w:val="B3FE25BF"/>
    <w:rsid w:val="B73EB5C4"/>
    <w:rsid w:val="BE6E0F8F"/>
    <w:rsid w:val="C38B20D8"/>
    <w:rsid w:val="C679D4D5"/>
    <w:rsid w:val="CA7F3105"/>
    <w:rsid w:val="D3FFF2E3"/>
    <w:rsid w:val="D4B948F0"/>
    <w:rsid w:val="D4F43AA8"/>
    <w:rsid w:val="D7BE90C3"/>
    <w:rsid w:val="D8BF47B9"/>
    <w:rsid w:val="DAD376E4"/>
    <w:rsid w:val="DB7AB19E"/>
    <w:rsid w:val="DDFE51CF"/>
    <w:rsid w:val="E97E32AA"/>
    <w:rsid w:val="F3C7F184"/>
    <w:rsid w:val="F3F331A4"/>
    <w:rsid w:val="F3FE7E0E"/>
    <w:rsid w:val="F3FF81F7"/>
    <w:rsid w:val="F7FE62B6"/>
    <w:rsid w:val="FA543BA3"/>
    <w:rsid w:val="FAFAB10D"/>
    <w:rsid w:val="FAFDECFA"/>
    <w:rsid w:val="FB3B5DB3"/>
    <w:rsid w:val="FBFDB4E3"/>
    <w:rsid w:val="FBFF3395"/>
    <w:rsid w:val="FD7F9463"/>
    <w:rsid w:val="FDFC361F"/>
    <w:rsid w:val="FDFD5128"/>
    <w:rsid w:val="FDFE6C82"/>
    <w:rsid w:val="FE8FD80F"/>
    <w:rsid w:val="FEAED78B"/>
    <w:rsid w:val="FEFEE1B7"/>
    <w:rsid w:val="FF4BD653"/>
    <w:rsid w:val="FF6C6882"/>
    <w:rsid w:val="FF9B23B1"/>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61</Pages>
  <Words>39146</Words>
  <Characters>41674</Characters>
  <Lines>1</Lines>
  <Paragraphs>1</Paragraphs>
  <TotalTime>1</TotalTime>
  <ScaleCrop>false</ScaleCrop>
  <LinksUpToDate>false</LinksUpToDate>
  <CharactersWithSpaces>42021</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2014-11-05T04:08:00Z</dcterms:created>
  <dc:creator>Administrator</dc:creator>
  <cp:lastModifiedBy>hccb</cp:lastModifiedBy>
  <dcterms:modified xsi:type="dcterms:W3CDTF">2026-01-19T06:17:26Z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7889F179507F99EBDC7D6D690C416968_43</vt:lpwstr>
  </property>
</Properties>
</file>