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杭银理财幸福99</w:t>
      </w:r>
      <w:r>
        <w:rPr>
          <w:rFonts w:hint="eastAsia" w:ascii="宋体" w:hAnsi="宋体" w:cs="宋体"/>
          <w:b/>
          <w:bCs/>
          <w:sz w:val="44"/>
          <w:szCs w:val="44"/>
          <w:highlight w:val="none"/>
          <w:lang w:eastAsia="zh-CN"/>
        </w:rPr>
        <w:t>季添益1911期理财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〖Z700222100028</w:t>
      </w:r>
      <w:r>
        <w:rPr>
          <w:rFonts w:hint="eastAsia" w:ascii="宋体" w:hAnsi="宋体" w:cs="宋体"/>
          <w:bCs/>
          <w:sz w:val="24"/>
          <w:highlight w:val="none"/>
          <w:lang w:val="en-US" w:eastAsia="zh-CN"/>
        </w:rPr>
        <w:t>2</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rPr>
        <w:t>《</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w:t>
      </w:r>
      <w:r>
        <w:rPr>
          <w:rFonts w:hint="eastAsia" w:ascii="宋体" w:hAnsi="宋体" w:cs="宋体"/>
          <w:bCs/>
          <w:sz w:val="24"/>
          <w:highlight w:val="none"/>
        </w:rPr>
        <w:t>《理财计划投资协议书》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rPr>
        <w:t>。</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季添益1911期理财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季添益1911期理财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季添益1911期理财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季添益1911期理财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理财计划销售协议书：</w:t>
      </w:r>
      <w:r>
        <w:rPr>
          <w:rFonts w:hint="eastAsia" w:ascii="宋体" w:hAnsi="宋体" w:cs="宋体"/>
          <w:bCs/>
          <w:color w:val="auto"/>
          <w:kern w:val="2"/>
          <w:highlight w:val="none"/>
          <w:lang w:eastAsia="zh-CN"/>
        </w:rPr>
        <w:t>指作为杭银理财幸福</w:t>
      </w:r>
      <w:r>
        <w:rPr>
          <w:rFonts w:hint="eastAsia" w:ascii="宋体" w:hAnsi="宋体" w:cs="宋体"/>
          <w:bCs/>
          <w:color w:val="auto"/>
          <w:kern w:val="2"/>
          <w:highlight w:val="none"/>
          <w:lang w:val="en-US" w:eastAsia="zh-CN"/>
        </w:rPr>
        <w:t>99</w:t>
      </w:r>
      <w:r>
        <w:rPr>
          <w:rFonts w:hint="eastAsia" w:ascii="宋体" w:hAnsi="宋体" w:cs="宋体"/>
          <w:bCs/>
          <w:highlight w:val="none"/>
          <w:lang w:eastAsia="zh-CN"/>
        </w:rPr>
        <w:t>季添益1911期理财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w:t>
      </w:r>
      <w:r>
        <w:rPr>
          <w:rFonts w:hint="eastAsia" w:ascii="宋体" w:hAnsi="宋体" w:cs="宋体"/>
          <w:bCs/>
          <w:color w:val="auto"/>
          <w:kern w:val="2"/>
          <w:highlight w:val="none"/>
        </w:rPr>
        <w:t>《理财计划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理财计划产品说明书</w:t>
      </w:r>
      <w:r>
        <w:rPr>
          <w:rFonts w:hint="eastAsia" w:ascii="宋体" w:hAnsi="宋体" w:cs="宋体"/>
          <w:bCs/>
          <w:color w:val="auto"/>
          <w:kern w:val="2"/>
          <w:highlight w:val="none"/>
        </w:rPr>
        <w:t>》《投资者权益须知》《理财计划投资协议书》</w:t>
      </w:r>
      <w:r>
        <w:rPr>
          <w:rFonts w:hint="eastAsia" w:ascii="宋体" w:hAnsi="宋体" w:cs="宋体"/>
          <w:bCs/>
          <w:color w:val="auto"/>
          <w:kern w:val="2"/>
          <w:highlight w:val="none"/>
          <w:lang w:eastAsia="zh-CN"/>
        </w:rPr>
        <w:t>《理财计划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季添益1911期理财</w:t>
      </w:r>
      <w:r>
        <w:rPr>
          <w:rFonts w:hint="eastAsia" w:ascii="宋体" w:hAnsi="宋体" w:cs="宋体"/>
          <w:bCs/>
          <w:highlight w:val="none"/>
        </w:rPr>
        <w:t>。</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color w:val="auto"/>
          <w:highlight w:val="none"/>
        </w:rPr>
        <w:t>指理财计划份额的单位净值，即每1份理财计划份额以人民币或外币（以产品说明书交易币种为准）计价的价格。</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8"/>
        <w:numPr>
          <w:ilvl w:val="0"/>
          <w:numId w:val="7"/>
        </w:numPr>
        <w:adjustRightInd/>
        <w:spacing w:line="360" w:lineRule="auto"/>
        <w:ind w:left="-2" w:leftChars="0" w:firstLine="482" w:firstLineChars="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8"/>
        <w:numPr>
          <w:ilvl w:val="0"/>
          <w:numId w:val="7"/>
        </w:numPr>
        <w:adjustRightInd/>
        <w:spacing w:line="360" w:lineRule="auto"/>
        <w:ind w:left="-2" w:leftChars="0" w:firstLine="482" w:firstLineChars="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8"/>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8"/>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8"/>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8"/>
        <w:numPr>
          <w:ilvl w:val="0"/>
          <w:numId w:val="0"/>
        </w:numPr>
        <w:adjustRightInd/>
        <w:spacing w:line="360" w:lineRule="auto"/>
        <w:rPr>
          <w:rFonts w:hint="eastAsia" w:ascii="宋体" w:hAnsi="宋体" w:cs="宋体"/>
          <w:b/>
          <w:color w:val="auto"/>
          <w:kern w:val="2"/>
          <w:highlight w:val="none"/>
        </w:rPr>
      </w:pPr>
    </w:p>
    <w:p>
      <w:pPr>
        <w:pStyle w:val="18"/>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noWrap w:val="0"/>
            <w:vAlign w:val="top"/>
          </w:tcPr>
          <w:p>
            <w:pPr>
              <w:pStyle w:val="18"/>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noWrap w:val="0"/>
            <w:vAlign w:val="top"/>
          </w:tcPr>
          <w:p>
            <w:pPr>
              <w:pStyle w:val="18"/>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8"/>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8"/>
        <w:adjustRightInd/>
        <w:spacing w:line="360" w:lineRule="auto"/>
        <w:rPr>
          <w:rFonts w:hint="eastAsia" w:ascii="宋体" w:hAnsi="宋体" w:cs="宋体"/>
          <w:b/>
          <w:color w:val="auto"/>
          <w:kern w:val="2"/>
          <w:highlight w:val="none"/>
        </w:rPr>
      </w:pPr>
    </w:p>
    <w:p>
      <w:pPr>
        <w:pStyle w:val="18"/>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杭银理财幸福99</w:t>
            </w:r>
            <w:r>
              <w:rPr>
                <w:rFonts w:hint="eastAsia" w:ascii="宋体" w:hAnsi="宋体" w:cs="宋体"/>
                <w:bCs/>
                <w:sz w:val="21"/>
                <w:szCs w:val="21"/>
                <w:highlight w:val="none"/>
                <w:lang w:eastAsia="zh-CN"/>
              </w:rPr>
              <w:t>季添益1911期</w:t>
            </w:r>
            <w:r>
              <w:rPr>
                <w:rFonts w:hint="eastAsia" w:ascii="宋体" w:hAnsi="宋体" w:cs="宋体"/>
                <w:sz w:val="21"/>
                <w:szCs w:val="21"/>
                <w:highlight w:val="none"/>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季添益1911期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TYG3M1911</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本理财计划在全国银行业理财信息登记系统的原登记编码是〖C1092019001018〗</w:t>
            </w:r>
            <w:r>
              <w:rPr>
                <w:rFonts w:hint="eastAsia" w:ascii="宋体" w:hAnsi="宋体" w:cs="宋体"/>
                <w:color w:val="auto"/>
                <w:kern w:val="0"/>
                <w:highlight w:val="none"/>
              </w:rPr>
              <w:t>，</w:t>
            </w:r>
            <w:r>
              <w:rPr>
                <w:rFonts w:hint="eastAsia" w:ascii="宋体" w:hAnsi="宋体" w:cs="宋体"/>
                <w:color w:val="auto"/>
                <w:sz w:val="21"/>
                <w:szCs w:val="21"/>
                <w:highlight w:val="none"/>
              </w:rPr>
              <w:t>变更登记后为〖Z7002221000282〗，投资者可依据该编码在“中国理财网（www.chinawealth.com.cn）”查询本理财计划信息。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widowControl/>
              <w:spacing w:line="360" w:lineRule="auto"/>
              <w:contextualSpacing/>
              <w:rPr>
                <w:rFonts w:hint="eastAsia" w:ascii="宋体" w:hAnsi="宋体" w:cs="宋体"/>
                <w:b/>
                <w:color w:val="auto"/>
                <w:sz w:val="21"/>
                <w:szCs w:val="21"/>
                <w:highlight w:val="none"/>
              </w:rPr>
            </w:pPr>
            <w:r>
              <w:rPr>
                <w:rFonts w:hint="eastAsia" w:ascii="宋体" w:hAnsi="宋体" w:cs="宋体"/>
                <w:color w:val="auto"/>
                <w:sz w:val="21"/>
                <w:szCs w:val="21"/>
                <w:highlight w:val="none"/>
              </w:rPr>
              <w:t>本理财计划适合</w:t>
            </w:r>
            <w:r>
              <w:rPr>
                <w:rFonts w:hint="eastAsia" w:ascii="宋体" w:hAnsi="宋体" w:cs="宋体"/>
                <w:b/>
                <w:color w:val="auto"/>
                <w:sz w:val="21"/>
                <w:szCs w:val="21"/>
                <w:highlight w:val="none"/>
              </w:rPr>
              <w:t>〖机构投资者〗以及〖稳健型、平衡型、成长型、进取型〗的个人投资者。</w:t>
            </w:r>
            <w:r>
              <w:rPr>
                <w:rFonts w:hint="eastAsia" w:ascii="宋体" w:hAnsi="宋体" w:cs="宋体"/>
                <w:bCs/>
                <w:color w:val="auto"/>
                <w:kern w:val="2"/>
                <w:sz w:val="21"/>
                <w:szCs w:val="21"/>
                <w:highlight w:val="none"/>
                <w:lang w:eastAsia="zh-CN"/>
              </w:rPr>
              <w:t>投资者风险承受能力评级水平以销售机构评估为准。</w:t>
            </w:r>
          </w:p>
          <w:p>
            <w:pPr>
              <w:widowControl/>
              <w:spacing w:line="360" w:lineRule="auto"/>
              <w:contextualSpacing/>
              <w:rPr>
                <w:rFonts w:hint="eastAsia" w:ascii="宋体" w:hAnsi="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其中：</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A份额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TYG3M1911</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B份额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TYG3M1911B</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〖高净值等特邀客户专属〗发售</w:t>
            </w:r>
            <w:r>
              <w:rPr>
                <w:rFonts w:hint="eastAsia" w:ascii="宋体" w:hAnsi="宋体" w:cs="宋体"/>
                <w:color w:val="auto"/>
                <w:sz w:val="21"/>
                <w:szCs w:val="21"/>
                <w:highlight w:val="none"/>
                <w:lang w:eastAsia="zh-CN"/>
              </w:rPr>
              <w:t>。</w:t>
            </w:r>
          </w:p>
          <w:p>
            <w:pPr>
              <w:widowControl/>
              <w:spacing w:line="360" w:lineRule="auto"/>
              <w:contextualSpacing/>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C份额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TYG3M1911C</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〖特定客群专属〗发售</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固定收益类</w:t>
            </w:r>
            <w:r>
              <w:rPr>
                <w:rFonts w:hint="eastAsia" w:ascii="宋体" w:hAnsi="宋体" w:cs="宋体"/>
                <w:color w:val="auto"/>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eastAsia="zh-CN"/>
              </w:rPr>
              <w:t>否</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widowControl/>
              <w:spacing w:line="360" w:lineRule="auto"/>
              <w:contextualSpacing/>
              <w:jc w:val="lef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可通过</w:t>
            </w:r>
            <w:r>
              <w:rPr>
                <w:rFonts w:hint="eastAsia" w:ascii="宋体" w:hAnsi="宋体" w:cs="宋体"/>
                <w:color w:val="auto"/>
                <w:sz w:val="21"/>
                <w:szCs w:val="21"/>
                <w:highlight w:val="none"/>
                <w:lang w:eastAsia="zh-CN"/>
              </w:rPr>
              <w:t>杭银理财直销渠道和代理</w:t>
            </w:r>
            <w:r>
              <w:rPr>
                <w:rFonts w:hint="eastAsia" w:ascii="宋体" w:hAnsi="宋体" w:cs="宋体"/>
                <w:color w:val="auto"/>
                <w:sz w:val="21"/>
                <w:szCs w:val="21"/>
                <w:highlight w:val="none"/>
              </w:rPr>
              <w:t>销售机构的〖营业网点、网上银行、手机银行〗等渠道购买</w:t>
            </w:r>
            <w:r>
              <w:rPr>
                <w:rFonts w:hint="eastAsia" w:ascii="宋体" w:hAnsi="宋体" w:cs="宋体"/>
                <w:color w:val="auto"/>
                <w:sz w:val="21"/>
                <w:szCs w:val="21"/>
                <w:highlight w:val="none"/>
                <w:lang w:eastAsia="zh-CN"/>
              </w:rPr>
              <w:t>，通过</w:t>
            </w:r>
            <w:r>
              <w:rPr>
                <w:rFonts w:hint="eastAsia" w:ascii="宋体" w:hAnsi="宋体" w:cs="宋体"/>
                <w:color w:val="auto"/>
                <w:sz w:val="21"/>
                <w:szCs w:val="21"/>
                <w:highlight w:val="none"/>
                <w:lang w:val="en-US" w:eastAsia="zh-CN"/>
              </w:rPr>
              <w:t>代理销售机构购买的，具体销售渠道以代理销售机构披露为准</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〖2019〗年〖</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〗月〖</w:t>
            </w:r>
            <w:r>
              <w:rPr>
                <w:rFonts w:hint="eastAsia" w:ascii="宋体" w:hAnsi="宋体" w:cs="宋体"/>
                <w:color w:val="auto"/>
                <w:kern w:val="2"/>
                <w:sz w:val="21"/>
                <w:szCs w:val="21"/>
                <w:highlight w:val="none"/>
                <w:lang w:val="en-US" w:eastAsia="zh-CN"/>
              </w:rPr>
              <w:t>31</w:t>
            </w:r>
            <w:r>
              <w:rPr>
                <w:rFonts w:hint="eastAsia" w:ascii="宋体" w:hAnsi="宋体" w:cs="宋体"/>
                <w:color w:val="auto"/>
                <w:sz w:val="21"/>
                <w:szCs w:val="21"/>
                <w:highlight w:val="none"/>
              </w:rPr>
              <w:t>〗日-〖2019〗年〖</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〗日</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认购期首日〖9：00〗至认购结束日〖17：00〗</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2019</w:t>
            </w:r>
            <w:r>
              <w:rPr>
                <w:rFonts w:hint="eastAsia" w:ascii="宋体" w:hAnsi="宋体" w:cs="宋体"/>
                <w:color w:val="auto"/>
                <w:sz w:val="21"/>
                <w:szCs w:val="21"/>
                <w:highlight w:val="none"/>
              </w:rPr>
              <w:t>〗年〖</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r>
              <w:rPr>
                <w:rFonts w:hint="eastAsia" w:ascii="宋体" w:hAnsi="宋体" w:cs="宋体"/>
                <w:color w:val="auto"/>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20万</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p>
          <w:p>
            <w:pPr>
              <w:widowControl/>
              <w:spacing w:line="360" w:lineRule="auto"/>
              <w:contextualSpacing/>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kern w:val="0"/>
                <w:sz w:val="21"/>
                <w:szCs w:val="21"/>
                <w:highlight w:val="none"/>
                <w:lang w:val="en-US" w:eastAsia="zh-CN"/>
              </w:rPr>
            </w:pPr>
            <w:r>
              <w:rPr>
                <w:rFonts w:hint="eastAsia" w:ascii="宋体" w:hAnsi="宋体" w:cs="宋体"/>
                <w:color w:val="auto"/>
                <w:kern w:val="2"/>
                <w:sz w:val="21"/>
                <w:szCs w:val="21"/>
                <w:highlight w:val="none"/>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color w:val="auto"/>
                <w:sz w:val="21"/>
                <w:szCs w:val="21"/>
                <w:highlight w:val="none"/>
                <w:lang w:val="en-US" w:eastAsia="zh-CN"/>
              </w:rPr>
              <w:t>2000</w:t>
            </w:r>
            <w:r>
              <w:rPr>
                <w:rFonts w:hint="eastAsia" w:ascii="宋体" w:hAnsi="宋体" w:cs="宋体"/>
                <w:color w:val="auto"/>
                <w:sz w:val="21"/>
                <w:szCs w:val="21"/>
                <w:highlight w:val="none"/>
              </w:rPr>
              <w:t>〗万元，则管理人可宣布本理财计划不成立并在原定理财计划成立日</w:t>
            </w:r>
            <w:r>
              <w:rPr>
                <w:rFonts w:hint="eastAsia" w:ascii="宋体" w:hAnsi="宋体" w:cs="宋体"/>
                <w:color w:val="auto"/>
                <w:sz w:val="21"/>
                <w:szCs w:val="21"/>
                <w:highlight w:val="none"/>
                <w:lang w:val="en-US" w:eastAsia="zh-CN"/>
              </w:rPr>
              <w:t>当日</w:t>
            </w:r>
            <w:r>
              <w:rPr>
                <w:rFonts w:hint="eastAsia" w:ascii="宋体" w:hAnsi="宋体" w:cs="宋体"/>
                <w:color w:val="auto"/>
                <w:sz w:val="21"/>
                <w:szCs w:val="21"/>
                <w:highlight w:val="none"/>
              </w:rPr>
              <w:t>通过管理人或销售机构发布不成立信息，投资者购买的理财资金将在原定成立日后2个工作日内划转至投资者指定理财账户，</w:t>
            </w:r>
            <w:r>
              <w:rPr>
                <w:rFonts w:hint="eastAsia" w:ascii="宋体" w:hAnsi="宋体" w:cs="宋体"/>
                <w:b/>
                <w:color w:val="auto"/>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理财计划</w:t>
            </w:r>
            <w:r>
              <w:rPr>
                <w:rFonts w:hint="eastAsia" w:ascii="宋体" w:hAnsi="宋体" w:cs="宋体"/>
                <w:color w:val="auto"/>
                <w:sz w:val="21"/>
                <w:szCs w:val="21"/>
                <w:highlight w:val="none"/>
                <w:lang w:val="en-US" w:eastAsia="zh-CN"/>
              </w:rPr>
              <w:t>〖每三个月〗开放一次,开放期为〖产品确认日前5-7个工作日〗，具体开放期将以管理人公告为准。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auto"/>
                <w:sz w:val="21"/>
                <w:szCs w:val="21"/>
                <w:highlight w:val="none"/>
              </w:rPr>
            </w:pPr>
            <w:r>
              <w:rPr>
                <w:rFonts w:hint="eastAsia" w:ascii="宋体" w:hAnsi="宋体" w:cs="宋体"/>
                <w:color w:val="auto"/>
                <w:sz w:val="21"/>
                <w:szCs w:val="21"/>
                <w:highlight w:val="none"/>
              </w:rPr>
              <w:t>交易时间</w:t>
            </w:r>
          </w:p>
        </w:tc>
        <w:tc>
          <w:tcPr>
            <w:tcW w:w="7185" w:type="dxa"/>
            <w:noWrap w:val="0"/>
            <w:vAlign w:val="center"/>
          </w:tcPr>
          <w:p>
            <w:pPr>
              <w:widowControl/>
              <w:spacing w:line="360" w:lineRule="auto"/>
              <w:contextualSpacing/>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1.本理财计划在每个开放期的开放日工作时间均可进行申购</w:t>
            </w:r>
            <w:r>
              <w:rPr>
                <w:rFonts w:hint="eastAsia" w:ascii="宋体" w:hAnsi="宋体" w:cs="宋体"/>
                <w:color w:val="auto"/>
                <w:sz w:val="21"/>
                <w:szCs w:val="21"/>
                <w:highlight w:val="none"/>
                <w:lang w:val="en-US" w:eastAsia="zh-CN"/>
              </w:rPr>
              <w:t>和赎回</w:t>
            </w:r>
            <w:r>
              <w:rPr>
                <w:rFonts w:hint="eastAsia" w:ascii="宋体" w:hAnsi="宋体" w:cs="宋体"/>
                <w:color w:val="auto"/>
                <w:sz w:val="21"/>
                <w:szCs w:val="21"/>
                <w:highlight w:val="none"/>
              </w:rPr>
              <w:t>，申购</w:t>
            </w:r>
            <w:r>
              <w:rPr>
                <w:rFonts w:hint="eastAsia" w:ascii="宋体" w:hAnsi="宋体" w:cs="宋体"/>
                <w:color w:val="auto"/>
                <w:sz w:val="21"/>
                <w:szCs w:val="21"/>
                <w:highlight w:val="none"/>
                <w:lang w:val="en-US" w:eastAsia="zh-CN"/>
              </w:rPr>
              <w:t>和赎回</w:t>
            </w:r>
            <w:r>
              <w:rPr>
                <w:rFonts w:hint="eastAsia" w:ascii="宋体" w:hAnsi="宋体" w:cs="宋体"/>
                <w:color w:val="auto"/>
                <w:sz w:val="21"/>
                <w:szCs w:val="21"/>
                <w:highlight w:val="none"/>
              </w:rPr>
              <w:t>申请将在确认日，即开放期后的第〖1〗个</w:t>
            </w:r>
            <w:r>
              <w:rPr>
                <w:rFonts w:hint="eastAsia" w:ascii="宋体" w:hAnsi="宋体" w:cs="宋体"/>
                <w:bCs/>
                <w:color w:val="auto"/>
                <w:sz w:val="21"/>
                <w:szCs w:val="21"/>
                <w:highlight w:val="none"/>
              </w:rPr>
              <w:t>工作日进行确认。</w:t>
            </w:r>
            <w:r>
              <w:rPr>
                <w:rFonts w:hint="eastAsia" w:ascii="宋体" w:hAnsi="宋体" w:cs="宋体"/>
                <w:color w:val="auto"/>
                <w:sz w:val="21"/>
                <w:szCs w:val="21"/>
                <w:highlight w:val="none"/>
              </w:rPr>
              <w:t>确认日如遇非工作日，则顺延至〖下一工作日〗。</w:t>
            </w:r>
          </w:p>
          <w:p>
            <w:pPr>
              <w:widowControl/>
              <w:spacing w:line="360" w:lineRule="auto"/>
              <w:contextualSpacing/>
              <w:rPr>
                <w:rFonts w:hint="eastAsia" w:ascii="宋体" w:hAnsi="宋体" w:cs="宋体"/>
                <w:color w:val="auto"/>
                <w:kern w:val="0"/>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.工作时间为每个工作日上午〖9:00〗至下午〖17:00〗。确认日如遇非工作日，则顺延至〖下一工作日〗。</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认购/开放期内提交的交易申请，在产品成立日/确认日前一日下午17:00之前可以撤单。</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sz w:val="21"/>
                <w:szCs w:val="21"/>
              </w:rPr>
              <w:t>5.</w:t>
            </w:r>
            <w:r>
              <w:rPr>
                <w:rFonts w:hint="eastAsia" w:ascii="宋体" w:hAnsi="宋体" w:cs="宋体"/>
                <w:bCs/>
                <w:color w:val="auto"/>
                <w:kern w:val="2"/>
                <w:sz w:val="21"/>
                <w:szCs w:val="21"/>
              </w:rPr>
              <w:t>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rPr>
              <w:t>单户最高存续份额为〖</w:t>
            </w:r>
            <w:r>
              <w:rPr>
                <w:rFonts w:hint="eastAsia" w:ascii="宋体" w:hAnsi="宋体" w:cs="宋体"/>
                <w:sz w:val="21"/>
                <w:szCs w:val="21"/>
                <w:highlight w:val="none"/>
                <w:lang w:val="en-US" w:eastAsia="zh-CN"/>
              </w:rPr>
              <w:t>1</w:t>
            </w:r>
            <w:r>
              <w:rPr>
                <w:rFonts w:hint="eastAsia" w:ascii="宋体" w:hAnsi="宋体" w:cs="宋体"/>
                <w:sz w:val="21"/>
                <w:szCs w:val="21"/>
                <w:highlight w:val="none"/>
              </w:rPr>
              <w:t>亿份〗</w:t>
            </w:r>
            <w:r>
              <w:rPr>
                <w:rFonts w:hint="eastAsia" w:ascii="宋体" w:hAnsi="宋体" w:cs="宋体"/>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单位净值</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单位净值=理财计划估值日理财计划总净值/理财计划总份额，单位净值〖保留小数点后</w:t>
            </w:r>
            <w:r>
              <w:rPr>
                <w:rFonts w:hint="eastAsia" w:ascii="宋体" w:hAnsi="宋体" w:cs="宋体"/>
                <w:color w:val="auto"/>
                <w:sz w:val="21"/>
                <w:szCs w:val="21"/>
                <w:highlight w:val="none"/>
                <w:lang w:val="en-US" w:eastAsia="zh-CN"/>
              </w:rPr>
              <w:t>四</w:t>
            </w:r>
            <w:r>
              <w:rPr>
                <w:rFonts w:hint="eastAsia" w:ascii="宋体" w:hAnsi="宋体" w:cs="宋体"/>
                <w:color w:val="auto"/>
                <w:sz w:val="21"/>
                <w:szCs w:val="21"/>
                <w:highlight w:val="none"/>
              </w:rPr>
              <w:t>位〗</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四位后去尾</w:t>
            </w:r>
            <w:r>
              <w:rPr>
                <w:rFonts w:hint="eastAsia" w:ascii="宋体" w:hAnsi="宋体" w:cs="宋体"/>
                <w:color w:val="auto"/>
                <w:sz w:val="21"/>
                <w:szCs w:val="21"/>
                <w:highlight w:val="none"/>
              </w:rPr>
              <w:t>。</w:t>
            </w:r>
          </w:p>
          <w:p>
            <w:pPr>
              <w:widowControl/>
              <w:spacing w:line="360" w:lineRule="auto"/>
              <w:contextualSpacing/>
              <w:rPr>
                <w:rFonts w:hint="eastAsia" w:ascii="宋体" w:hAnsi="宋体" w:cs="宋体"/>
                <w:b/>
                <w:color w:val="auto"/>
                <w:sz w:val="21"/>
                <w:szCs w:val="21"/>
                <w:highlight w:val="none"/>
              </w:rPr>
            </w:pPr>
            <w:r>
              <w:rPr>
                <w:rFonts w:hint="eastAsia" w:ascii="宋体" w:hAnsi="宋体" w:cs="宋体"/>
                <w:color w:val="auto"/>
                <w:sz w:val="21"/>
                <w:szCs w:val="21"/>
                <w:highlight w:val="none"/>
              </w:rPr>
              <w:t>理财计划总净值=理财计划认购总额+理财计划所获总收益-理财计划总费用（包括但不限于</w:t>
            </w:r>
            <w:r>
              <w:rPr>
                <w:rFonts w:hint="eastAsia" w:ascii="宋体" w:hAnsi="宋体" w:cs="宋体"/>
                <w:color w:val="auto"/>
                <w:sz w:val="21"/>
                <w:szCs w:val="21"/>
                <w:highlight w:val="none"/>
                <w:lang w:val="en-US" w:eastAsia="zh-CN"/>
              </w:rPr>
              <w:t>固定</w:t>
            </w:r>
            <w:r>
              <w:rPr>
                <w:rFonts w:hint="eastAsia" w:ascii="宋体" w:hAnsi="宋体" w:cs="宋体"/>
                <w:color w:val="auto"/>
                <w:sz w:val="21"/>
                <w:szCs w:val="21"/>
                <w:highlight w:val="none"/>
              </w:rPr>
              <w:t>管理费、托管费、</w:t>
            </w:r>
            <w:r>
              <w:rPr>
                <w:rFonts w:hint="eastAsia" w:ascii="宋体" w:hAnsi="宋体" w:cs="宋体"/>
                <w:color w:val="auto"/>
                <w:sz w:val="21"/>
                <w:szCs w:val="21"/>
                <w:highlight w:val="none"/>
                <w:lang w:eastAsia="zh-CN"/>
              </w:rPr>
              <w:t>销售服务费、</w:t>
            </w:r>
            <w:r>
              <w:rPr>
                <w:rFonts w:hint="eastAsia" w:ascii="宋体" w:hAnsi="宋体" w:cs="宋体"/>
                <w:color w:val="auto"/>
                <w:sz w:val="21"/>
                <w:szCs w:val="21"/>
                <w:highlight w:val="none"/>
                <w:lang w:val="en-US" w:eastAsia="zh-CN"/>
              </w:rPr>
              <w:t>浮动管理费（如有）</w:t>
            </w:r>
            <w:r>
              <w:rPr>
                <w:rFonts w:hint="eastAsia" w:ascii="宋体" w:hAnsi="宋体" w:cs="宋体"/>
                <w:color w:val="auto"/>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资金与收益支付方式</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1.赎回资金确认后，最快〖</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〗个工作日，最晚〖</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2.理财计划到期后，最快〖</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〗个工作日，最晚〖</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各份额</w:t>
            </w:r>
            <w:r>
              <w:rPr>
                <w:rFonts w:hint="eastAsia" w:ascii="宋体" w:hAnsi="宋体" w:cs="宋体"/>
                <w:sz w:val="21"/>
                <w:szCs w:val="21"/>
                <w:highlight w:val="none"/>
              </w:rPr>
              <w:t>业绩比较基准为〖中国人民银行公布的1年期定期存款利率〗（年化）。</w:t>
            </w:r>
          </w:p>
          <w:p>
            <w:pPr>
              <w:widowControl/>
              <w:spacing w:line="360" w:lineRule="auto"/>
              <w:jc w:val="left"/>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rPr>
              <w:t>业绩基准测算依据：</w:t>
            </w:r>
            <w:r>
              <w:rPr>
                <w:rFonts w:hint="eastAsia" w:ascii="宋体" w:hAnsi="宋体" w:cs="宋体"/>
                <w:b/>
                <w:bCs/>
                <w:sz w:val="21"/>
                <w:szCs w:val="21"/>
                <w:highlight w:val="none"/>
                <w:lang w:val="en-US" w:eastAsia="zh-CN"/>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w:t>
            </w:r>
            <w:r>
              <w:rPr>
                <w:rFonts w:hint="eastAsia" w:ascii="宋体" w:hAnsi="宋体" w:cs="宋体"/>
                <w:b/>
                <w:sz w:val="21"/>
                <w:szCs w:val="21"/>
                <w:highlight w:val="none"/>
              </w:rPr>
              <w:t>本理财计划业绩比较基准由管理人根据投资范围及投资策略，结合市场环境因素进行测算而得出。业绩比较基准是管理人基于理财计划收益风险特征、投资策略、过往经验等因素对理财计划业绩设定的投资目标。</w:t>
            </w:r>
            <w:r>
              <w:rPr>
                <w:rFonts w:hint="eastAsia" w:ascii="宋体" w:hAnsi="宋体" w:cs="宋体"/>
                <w:b/>
                <w:sz w:val="21"/>
                <w:szCs w:val="21"/>
                <w:highlight w:val="none"/>
              </w:rPr>
              <w:t>本公司提醒投资者关注，业绩比较基准</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widowControl/>
              <w:numPr>
                <w:ilvl w:val="0"/>
                <w:numId w:val="11"/>
              </w:numPr>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0.25</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eastAsia="宋体" w:cs="宋体"/>
                <w:bCs/>
                <w:color w:val="FF0000"/>
                <w:sz w:val="21"/>
                <w:szCs w:val="21"/>
                <w:highlight w:val="none"/>
                <w:lang w:eastAsia="zh-CN"/>
              </w:rPr>
            </w:pPr>
            <w:r>
              <w:rPr>
                <w:rFonts w:hint="eastAsia" w:ascii="宋体" w:hAnsi="宋体" w:cs="宋体"/>
                <w:color w:val="auto"/>
                <w:sz w:val="21"/>
                <w:szCs w:val="21"/>
                <w:highlight w:val="none"/>
              </w:rPr>
              <w:t>3.固定管理费：〖</w:t>
            </w:r>
            <w:r>
              <w:rPr>
                <w:rFonts w:hint="eastAsia" w:ascii="宋体" w:hAnsi="宋体" w:cs="宋体"/>
                <w:bCs/>
                <w:color w:val="auto"/>
                <w:sz w:val="21"/>
                <w:szCs w:val="21"/>
                <w:highlight w:val="none"/>
                <w:lang w:val="en-US" w:eastAsia="zh-CN"/>
              </w:rPr>
              <w:t>A份额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eastAsia="宋体" w:cs="宋体"/>
                <w:bCs/>
                <w:color w:val="FF0000"/>
                <w:sz w:val="21"/>
                <w:szCs w:val="21"/>
                <w:highlight w:val="none"/>
                <w:lang w:val="en-US" w:eastAsia="zh-CN"/>
              </w:rPr>
            </w:pPr>
            <w:r>
              <w:rPr>
                <w:rFonts w:hint="eastAsia" w:ascii="宋体" w:hAnsi="宋体" w:cs="宋体"/>
                <w:color w:val="000000"/>
                <w:sz w:val="21"/>
                <w:szCs w:val="21"/>
                <w:highlight w:val="none"/>
              </w:rPr>
              <w:t>7.浮动管理费。管理人根据理财计划投资情况计算浮动管理费，</w:t>
            </w:r>
            <w:r>
              <w:rPr>
                <w:rFonts w:hint="eastAsia" w:ascii="宋体" w:hAnsi="宋体" w:cs="宋体"/>
                <w:color w:val="000000"/>
                <w:sz w:val="21"/>
                <w:szCs w:val="21"/>
              </w:rPr>
              <w:t>〖A份额〗客户份额投资周期的〖折合年化收益率超过</w:t>
            </w:r>
            <w:r>
              <w:rPr>
                <w:rFonts w:hint="eastAsia" w:ascii="宋体" w:hAnsi="宋体" w:cs="宋体"/>
                <w:color w:val="000000"/>
                <w:sz w:val="21"/>
                <w:szCs w:val="21"/>
                <w:lang w:val="en-US" w:eastAsia="zh-CN"/>
              </w:rPr>
              <w:t>2.3</w:t>
            </w:r>
            <w:r>
              <w:rPr>
                <w:rFonts w:hint="eastAsia" w:ascii="宋体" w:hAnsi="宋体" w:cs="宋体"/>
                <w:color w:val="000000"/>
                <w:sz w:val="21"/>
                <w:szCs w:val="21"/>
              </w:rPr>
              <w:t>0%〗的部分,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w:t>
            </w:r>
            <w:r>
              <w:rPr>
                <w:rFonts w:hint="eastAsia" w:ascii="宋体" w:hAnsi="宋体" w:cs="宋体"/>
                <w:b/>
                <w:bCs/>
                <w:sz w:val="21"/>
                <w:szCs w:val="21"/>
                <w:highlight w:val="none"/>
                <w:lang w:val="en-US" w:eastAsia="zh-CN"/>
              </w:rPr>
              <w:t>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val="0"/>
                <w:bCs/>
                <w:color w:val="000000"/>
                <w:sz w:val="21"/>
                <w:szCs w:val="21"/>
                <w:highlight w:val="none"/>
                <w:lang w:eastAsia="zh-CN"/>
              </w:rPr>
              <w:t>；</w:t>
            </w:r>
            <w:r>
              <w:rPr>
                <w:rFonts w:hint="eastAsia" w:ascii="宋体" w:hAnsi="宋体" w:cs="宋体"/>
                <w:color w:val="000000"/>
                <w:sz w:val="21"/>
                <w:szCs w:val="21"/>
              </w:rPr>
              <w:t>〖</w:t>
            </w:r>
            <w:r>
              <w:rPr>
                <w:rFonts w:hint="eastAsia" w:ascii="宋体" w:hAnsi="宋体" w:cs="宋体"/>
                <w:color w:val="000000"/>
                <w:sz w:val="21"/>
                <w:szCs w:val="21"/>
                <w:lang w:val="en-US" w:eastAsia="zh-CN"/>
              </w:rPr>
              <w:t>B</w:t>
            </w:r>
            <w:r>
              <w:rPr>
                <w:rFonts w:hint="eastAsia" w:ascii="宋体" w:hAnsi="宋体" w:cs="宋体"/>
                <w:color w:val="000000"/>
                <w:sz w:val="21"/>
                <w:szCs w:val="21"/>
              </w:rPr>
              <w:t>份额〗客户份额投资周期的〖折合年化收益率超过</w:t>
            </w:r>
            <w:r>
              <w:rPr>
                <w:rFonts w:hint="eastAsia" w:ascii="宋体" w:hAnsi="宋体" w:cs="宋体"/>
                <w:color w:val="000000"/>
                <w:sz w:val="21"/>
                <w:szCs w:val="21"/>
                <w:lang w:val="en-US" w:eastAsia="zh-CN"/>
              </w:rPr>
              <w:t>2.35</w:t>
            </w:r>
            <w:r>
              <w:rPr>
                <w:rFonts w:hint="eastAsia" w:ascii="宋体" w:hAnsi="宋体" w:cs="宋体"/>
                <w:color w:val="000000"/>
                <w:sz w:val="21"/>
                <w:szCs w:val="21"/>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val="0"/>
                <w:bCs/>
                <w:color w:val="000000"/>
                <w:sz w:val="21"/>
                <w:szCs w:val="21"/>
                <w:highlight w:val="none"/>
                <w:lang w:eastAsia="zh-CN"/>
              </w:rPr>
              <w:t>；</w:t>
            </w:r>
            <w:r>
              <w:rPr>
                <w:rFonts w:hint="eastAsia" w:ascii="宋体" w:hAnsi="宋体" w:cs="宋体"/>
                <w:color w:val="000000"/>
                <w:sz w:val="21"/>
                <w:szCs w:val="21"/>
              </w:rPr>
              <w:t>〖</w:t>
            </w:r>
            <w:r>
              <w:rPr>
                <w:rFonts w:hint="eastAsia" w:ascii="宋体" w:hAnsi="宋体" w:cs="宋体"/>
                <w:color w:val="000000"/>
                <w:sz w:val="21"/>
                <w:szCs w:val="21"/>
                <w:lang w:val="en-US" w:eastAsia="zh-CN"/>
              </w:rPr>
              <w:t>C</w:t>
            </w:r>
            <w:r>
              <w:rPr>
                <w:rFonts w:hint="eastAsia" w:ascii="宋体" w:hAnsi="宋体" w:cs="宋体"/>
                <w:color w:val="000000"/>
                <w:sz w:val="21"/>
                <w:szCs w:val="21"/>
              </w:rPr>
              <w:t>份额〗客户份额投资周期的〖折合年化收益率超过</w:t>
            </w:r>
            <w:r>
              <w:rPr>
                <w:rFonts w:hint="eastAsia" w:ascii="宋体" w:hAnsi="宋体" w:cs="宋体"/>
                <w:color w:val="000000"/>
                <w:sz w:val="21"/>
                <w:szCs w:val="21"/>
                <w:lang w:val="en-US" w:eastAsia="zh-CN"/>
              </w:rPr>
              <w:t>2.4</w:t>
            </w:r>
            <w:r>
              <w:rPr>
                <w:rFonts w:hint="eastAsia" w:ascii="宋体" w:hAnsi="宋体" w:cs="宋体"/>
                <w:color w:val="000000"/>
                <w:sz w:val="21"/>
                <w:szCs w:val="21"/>
              </w:rPr>
              <w:t>0%〗的部分,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color w:val="000000"/>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spacing w:line="360" w:lineRule="auto"/>
              <w:outlineLvl w:val="0"/>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FF"/>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w:t>
            </w:r>
            <w:r>
              <w:rPr>
                <w:rFonts w:hint="eastAsia" w:ascii="宋体" w:hAnsi="宋体" w:cs="宋体"/>
                <w:color w:val="auto"/>
                <w:sz w:val="21"/>
                <w:szCs w:val="21"/>
                <w:highlight w:val="none"/>
              </w:rPr>
              <w:t>财计划实际终止日）到理财资金返还到账日为还本清算期，还本清算期内不计付利息。</w:t>
            </w:r>
            <w:r>
              <w:rPr>
                <w:rFonts w:hint="eastAsia" w:ascii="宋体" w:hAnsi="宋体" w:cs="宋体"/>
                <w:color w:val="auto"/>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2"/>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4"/>
        </w:numPr>
        <w:spacing w:line="360" w:lineRule="auto"/>
        <w:ind w:firstLine="480" w:firstLineChars="200"/>
        <w:jc w:val="left"/>
        <w:rPr>
          <w:rFonts w:ascii="宋体" w:hAnsi="宋体" w:cs="宋体"/>
          <w:bCs/>
          <w:color w:val="auto"/>
          <w:sz w:val="24"/>
          <w:highlight w:val="none"/>
        </w:rPr>
      </w:pPr>
      <w:r>
        <w:rPr>
          <w:rFonts w:hint="eastAsia" w:ascii="宋体" w:hAnsi="宋体" w:cs="宋体"/>
          <w:bCs/>
          <w:sz w:val="24"/>
          <w:highlight w:val="none"/>
        </w:rPr>
        <w:t>固定收益类资产：包括但不限于各类债券、存款、货币市场金融工具、债券</w:t>
      </w:r>
      <w:r>
        <w:rPr>
          <w:rFonts w:hint="eastAsia" w:ascii="宋体" w:hAnsi="宋体" w:cs="宋体"/>
          <w:bCs/>
          <w:color w:val="auto"/>
          <w:sz w:val="24"/>
          <w:highlight w:val="none"/>
        </w:rPr>
        <w:t>基金、质押式及买断式回购，其他符合监管要求的固定收益类资产及资产管理产品。</w:t>
      </w:r>
    </w:p>
    <w:p>
      <w:pPr>
        <w:numPr>
          <w:ilvl w:val="0"/>
          <w:numId w:val="14"/>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color w:val="000000"/>
          <w:lang w:val="en-US"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noWrap w:val="0"/>
            <w:vAlign w:val="top"/>
          </w:tcPr>
          <w:p>
            <w:pPr>
              <w:spacing w:line="360" w:lineRule="auto"/>
              <w:rPr>
                <w:rFonts w:hint="eastAsia" w:ascii="宋体" w:hAnsi="宋体" w:eastAsia="宋体" w:cs="宋体"/>
                <w:bCs/>
                <w:szCs w:val="21"/>
                <w:highlight w:val="none"/>
                <w:lang w:val="en-US" w:eastAsia="zh-CN"/>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投资资产</w:t>
            </w:r>
          </w:p>
        </w:tc>
        <w:tc>
          <w:tcPr>
            <w:tcW w:w="1996"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大类资产类型</w:t>
            </w: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固定收益类资产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noWrap w:val="0"/>
            <w:vAlign w:val="center"/>
          </w:tcPr>
          <w:p>
            <w:pPr>
              <w:spacing w:line="360" w:lineRule="auto"/>
              <w:jc w:val="left"/>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权益类资产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0%-20%</w:t>
            </w:r>
          </w:p>
        </w:tc>
      </w:tr>
    </w:tbl>
    <w:p>
      <w:pPr>
        <w:pStyle w:val="18"/>
        <w:adjustRightInd/>
        <w:spacing w:line="360" w:lineRule="auto"/>
        <w:ind w:firstLine="480" w:firstLineChars="20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8"/>
        <w:spacing w:line="360" w:lineRule="auto"/>
        <w:ind w:firstLine="480" w:firstLineChars="200"/>
        <w:rPr>
          <w:rFonts w:hint="eastAsia" w:ascii="宋体" w:hAnsi="宋体" w:cs="宋体"/>
          <w:b/>
          <w:sz w:val="24"/>
          <w:highlight w:val="none"/>
        </w:rPr>
      </w:pPr>
      <w:r>
        <w:rPr>
          <w:rFonts w:hint="eastAsia" w:ascii="宋体" w:cs="宋体"/>
          <w:sz w:val="24"/>
          <w:szCs w:val="24"/>
          <w:highlight w:val="none"/>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sz w:val="24"/>
          <w:szCs w:val="24"/>
          <w:highlight w:val="none"/>
        </w:rPr>
        <w:t>本产品还可能根据市场行情，在监管政策允许的范围内，在适当的时机投资不高于理财产品总资产的20%的资金于其他资产。</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Chars="0"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7"/>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流动性限制</w:t>
      </w:r>
    </w:p>
    <w:p>
      <w:pPr>
        <w:numPr>
          <w:ilvl w:val="0"/>
          <w:numId w:val="18"/>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本理财计划直接投资于流动性受限资产的市值在开放日不得超过该理财计划资产净值的15%。</w:t>
      </w:r>
    </w:p>
    <w:p>
      <w:pPr>
        <w:numPr>
          <w:ilvl w:val="0"/>
          <w:numId w:val="18"/>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本理财计划如定期开放周期不低于90天，应当在开放日及开放日前7个工作日内持有不低于该理财计划资产净值5%的现金或者到期日在一年以内的国债、中央银行票据和政策性金融债券；如定期开放周期低于90天，</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18"/>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8"/>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本理财计划如定期开放周期低于90天，计划投资不存在活跃交易市场，并且需要采用估值技术确定公允价值的资产比例不得超过理财产品净资产50%以上。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3"/>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w:t>
      </w:r>
      <w:r>
        <w:rPr>
          <w:rFonts w:hint="eastAsia" w:ascii="宋体" w:hAnsi="宋体" w:cs="宋体"/>
          <w:bCs/>
          <w:lang w:eastAsia="zh-CN"/>
        </w:rPr>
        <w:t>、</w:t>
      </w:r>
      <w:r>
        <w:rPr>
          <w:rFonts w:hint="eastAsia" w:ascii="宋体" w:hAnsi="宋体" w:cs="宋体"/>
          <w:bCs/>
          <w:lang w:val="en-US" w:eastAsia="zh-CN"/>
        </w:rPr>
        <w:t>其他类</w:t>
      </w:r>
      <w:r>
        <w:rPr>
          <w:rFonts w:hint="eastAsia" w:ascii="宋体" w:hAnsi="宋体" w:cs="宋体"/>
          <w:bCs/>
          <w:sz w:val="24"/>
          <w:highlight w:val="none"/>
          <w:lang w:val="en-US" w:eastAsia="zh-CN"/>
        </w:rPr>
        <w:t>资产的可能流动性风险（如有）：权益类</w:t>
      </w:r>
      <w:r>
        <w:rPr>
          <w:rFonts w:hint="eastAsia" w:ascii="宋体" w:hAnsi="宋体" w:cs="宋体"/>
          <w:bCs/>
          <w:lang w:eastAsia="zh-CN"/>
        </w:rPr>
        <w:t>、</w:t>
      </w:r>
      <w:r>
        <w:rPr>
          <w:rFonts w:hint="eastAsia" w:ascii="宋体" w:hAnsi="宋体" w:cs="宋体"/>
          <w:bCs/>
          <w:lang w:val="en-US" w:eastAsia="zh-CN"/>
        </w:rPr>
        <w:t>其他类</w:t>
      </w:r>
      <w:r>
        <w:rPr>
          <w:rFonts w:hint="eastAsia" w:ascii="宋体" w:hAnsi="宋体" w:cs="宋体"/>
          <w:bCs/>
          <w:sz w:val="24"/>
          <w:highlight w:val="none"/>
          <w:lang w:val="en-US" w:eastAsia="zh-CN"/>
        </w:rPr>
        <w:t>资产包括但不限于上市公司普通股、上市公司优先股、股票基金、股票定向增发等，受国家政策、经济周期、利率、汇率、股票发行人经营情况</w:t>
      </w:r>
      <w:r>
        <w:rPr>
          <w:rFonts w:hint="eastAsia" w:ascii="宋体" w:hAnsi="宋体" w:cs="宋体"/>
          <w:bCs/>
          <w:lang w:eastAsia="zh-CN"/>
        </w:rPr>
        <w:t>、</w:t>
      </w:r>
      <w:r>
        <w:rPr>
          <w:rFonts w:hint="eastAsia" w:ascii="宋体" w:hAnsi="宋体" w:cs="宋体"/>
          <w:bCs/>
          <w:lang w:val="en-US" w:eastAsia="zh-CN"/>
        </w:rPr>
        <w:t>大宗商品</w:t>
      </w:r>
      <w:r>
        <w:rPr>
          <w:rFonts w:hint="eastAsia" w:ascii="宋体" w:hAnsi="宋体" w:cs="宋体"/>
          <w:bCs/>
          <w:sz w:val="24"/>
          <w:highlight w:val="none"/>
          <w:lang w:val="en-US" w:eastAsia="zh-CN"/>
        </w:rPr>
        <w:t>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托管人名称</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托管人住所</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托管人职责</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noWrap w:val="0"/>
            <w:vAlign w:val="center"/>
          </w:tcPr>
          <w:p>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销售机构</w:t>
            </w:r>
            <w:r>
              <w:rPr>
                <w:rFonts w:hint="eastAsia" w:ascii="宋体" w:hAnsi="宋体" w:eastAsia="宋体" w:cs="宋体"/>
                <w:bCs/>
                <w:sz w:val="21"/>
                <w:szCs w:val="21"/>
                <w:highlight w:val="none"/>
                <w:lang w:val="en-US" w:eastAsia="zh-CN"/>
              </w:rPr>
              <w:t>信息</w:t>
            </w: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兴业银行股份有限公司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厦门国际银行股份有限公司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富邦华一银行有限公司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宁波鄞州农村商业银行股份有限公司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深圳前海微众银行股份有限公司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吉林亿联银行股份有限公司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重庆富民银行股份有限公司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中信百信银行股份有限公司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lang w:bidi="ar"/>
              </w:rPr>
              <w:t>江苏苏商银行股份有限公司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lang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石嘴山银行股份有限公司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齐鲁银行股份有限公司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广东南粤银行股份有限公司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东莞银行股份有限公司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日照银行股份有限公司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苏州银行股份有限公司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杭银理财有限责任公司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澳门国际银行股份有限公司广州分行</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江苏常熟农村商业银行股份有限公司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九江银行股份有限公司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浙江舟山定海海洋农村商业银行股份有限公司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浙江临安农村商业银行股份有限公司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浙江青田农村商业银行股份有限公司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南洋商业银行（中国）有限公司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中邮邮惠万家银行有限责任公司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cs="宋体"/>
                <w:i w:val="0"/>
                <w:color w:val="000000"/>
                <w:kern w:val="0"/>
                <w:sz w:val="21"/>
                <w:szCs w:val="21"/>
                <w:u w:val="none"/>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温州银行股份有限公司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浙江新昌农村商业银行股份有限公司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浙江永康农村商业银行股份有限公司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绍兴银行股份有限公司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浙江衢州衢江农村商业银行股份有限公司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新韩银行（中国）有限公司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秦皇岛银行股份有限公司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潍坊银行股份有限公司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浙江江山农村商业银行股份有限公司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浙江常山农村商业银行股份有限公司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浙江武义农村商业银行股份有限公司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noWrap w:val="0"/>
            <w:vAlign w:val="center"/>
          </w:tcPr>
          <w:p>
            <w:pPr>
              <w:spacing w:line="240" w:lineRule="auto"/>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销售机构职责</w:t>
            </w:r>
          </w:p>
        </w:tc>
        <w:tc>
          <w:tcPr>
            <w:tcW w:w="6888" w:type="dxa"/>
            <w:gridSpan w:val="3"/>
            <w:noWrap w:val="0"/>
            <w:vAlign w:val="center"/>
          </w:tcPr>
          <w:p>
            <w:pPr>
              <w:spacing w:line="24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主要负责理财计划推广、投资者风险承受能力评估、投资者适当性管理、理财计划份额认购、申购及赎回办理。</w:t>
            </w:r>
            <w:r>
              <w:rPr>
                <w:rFonts w:hint="eastAsia" w:ascii="宋体" w:hAnsi="宋体" w:eastAsia="宋体" w:cs="宋体"/>
                <w:bCs/>
                <w:sz w:val="21"/>
                <w:szCs w:val="21"/>
                <w:highlight w:val="none"/>
              </w:rPr>
              <w:br w:type="textWrapping"/>
            </w:r>
            <w:r>
              <w:rPr>
                <w:rFonts w:hint="eastAsia" w:ascii="宋体" w:hAnsi="宋体" w:eastAsia="宋体" w:cs="宋体"/>
                <w:bCs/>
                <w:sz w:val="21"/>
                <w:szCs w:val="21"/>
                <w:highlight w:val="none"/>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
          <w:color w:val="auto"/>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r>
        <w:rPr>
          <w:rFonts w:hint="eastAsia" w:ascii="宋体" w:hAnsi="宋体" w:cs="宋体"/>
          <w:bCs/>
          <w:color w:val="auto"/>
          <w:sz w:val="24"/>
          <w:highlight w:val="none"/>
        </w:rPr>
        <w:t>。</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8"/>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8"/>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8"/>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8"/>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8"/>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default" w:ascii="宋体" w:hAnsi="宋体" w:cs="宋体"/>
          <w:bCs/>
          <w:color w:val="000000"/>
          <w:sz w:val="24"/>
          <w:highlight w:val="none"/>
          <w:lang w:val="en-US"/>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B份额</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0.25</w:t>
      </w:r>
      <w:r>
        <w:rPr>
          <w:rFonts w:hint="eastAsia" w:ascii="宋体" w:hAnsi="宋体" w:cs="宋体"/>
          <w:bCs/>
          <w:color w:val="000000"/>
          <w:sz w:val="24"/>
          <w:highlight w:val="none"/>
        </w:rPr>
        <w:t>%</w:t>
      </w:r>
      <w:r>
        <w:rPr>
          <w:rFonts w:hint="eastAsia" w:ascii="宋体" w:hAnsi="宋体" w:cs="宋体"/>
          <w:szCs w:val="21"/>
          <w:highlight w:val="none"/>
        </w:rPr>
        <w:t>〗</w:t>
      </w:r>
      <w:r>
        <w:rPr>
          <w:rFonts w:hint="default" w:ascii="宋体" w:hAnsi="宋体" w:cs="宋体"/>
          <w:szCs w:val="21"/>
          <w:highlight w:val="none"/>
          <w:lang w:val="en-US" w:eastAsia="zh-CN"/>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C份额</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0.20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eastAsia="zh-CN"/>
        </w:rPr>
        <w:t>销售服务费</w:t>
      </w:r>
      <w:r>
        <w:rPr>
          <w:rFonts w:hint="eastAsia" w:ascii="宋体" w:hAnsi="宋体" w:cs="宋体"/>
          <w:bCs/>
          <w:color w:val="auto"/>
          <w:sz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B份额</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C份额</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val="en-US"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eastAsia="zh-CN"/>
        </w:rPr>
        <w:t>如理财计划实际运作结果不达业绩比较基准下限时，管理人有权减免固定管理费。</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w:t>
      </w:r>
      <w:r>
        <w:rPr>
          <w:rFonts w:hint="eastAsia" w:ascii="宋体" w:hAnsi="宋体" w:cs="宋体"/>
          <w:bCs/>
          <w:color w:val="000000"/>
          <w:sz w:val="24"/>
          <w:highlight w:val="none"/>
          <w:lang w:val="en-US" w:eastAsia="zh-CN"/>
        </w:rPr>
        <w:t>以A份额为例，</w:t>
      </w:r>
      <w:r>
        <w:rPr>
          <w:rFonts w:hint="eastAsia" w:ascii="宋体" w:hAnsi="宋体" w:cs="宋体"/>
          <w:bCs/>
          <w:color w:val="000000"/>
          <w:sz w:val="24"/>
          <w:highlight w:val="none"/>
        </w:rPr>
        <w:t>本理财计划</w:t>
      </w:r>
      <w:r>
        <w:rPr>
          <w:rFonts w:hint="eastAsia" w:ascii="宋体" w:hAnsi="宋体" w:cs="宋体"/>
          <w:szCs w:val="21"/>
          <w:highlight w:val="none"/>
        </w:rPr>
        <w:t>〖</w:t>
      </w:r>
      <w:r>
        <w:rPr>
          <w:rFonts w:hint="eastAsia" w:ascii="宋体" w:hAnsi="宋体" w:cs="宋体"/>
          <w:bCs/>
          <w:color w:val="000000"/>
          <w:sz w:val="24"/>
          <w:highlight w:val="none"/>
          <w:lang w:val="en-US" w:eastAsia="zh-CN"/>
        </w:rPr>
        <w:t>A份额</w:t>
      </w:r>
      <w:r>
        <w:rPr>
          <w:rFonts w:hint="eastAsia" w:ascii="宋体" w:hAnsi="宋体" w:cs="宋体"/>
          <w:szCs w:val="21"/>
          <w:highlight w:val="none"/>
        </w:rPr>
        <w:t>〗</w:t>
      </w:r>
      <w:r>
        <w:rPr>
          <w:rFonts w:hint="eastAsia" w:ascii="宋体" w:hAnsi="宋体" w:cs="宋体"/>
          <w:bCs/>
          <w:color w:val="000000"/>
          <w:sz w:val="24"/>
          <w:highlight w:val="none"/>
          <w:lang w:val="en-US" w:eastAsia="zh-CN"/>
        </w:rPr>
        <w:t>客户份额</w:t>
      </w:r>
      <w:r>
        <w:rPr>
          <w:rFonts w:hint="eastAsia" w:ascii="宋体" w:hAnsi="宋体" w:cs="宋体"/>
          <w:bCs/>
          <w:color w:val="000000"/>
          <w:sz w:val="24"/>
          <w:highlight w:val="none"/>
        </w:rPr>
        <w:t>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bCs/>
          <w:color w:val="000000"/>
          <w:sz w:val="24"/>
          <w:highlight w:val="none"/>
          <w:lang w:val="en-US" w:eastAsia="zh-CN"/>
        </w:rPr>
        <w:t>2.30%</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作为浮动管理费，每个投资周期结束后收取</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折合年化收益率若小于或等于</w:t>
      </w:r>
      <w:r>
        <w:rPr>
          <w:rFonts w:hint="eastAsia" w:ascii="宋体" w:hAnsi="宋体" w:cs="宋体"/>
          <w:bCs/>
          <w:color w:val="000000"/>
          <w:sz w:val="24"/>
          <w:highlight w:val="none"/>
          <w:lang w:val="en-US" w:eastAsia="zh-CN"/>
        </w:rPr>
        <w:t>2.30%</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浮动管理费原则上按估值日计提，</w:t>
      </w:r>
      <w:r>
        <w:rPr>
          <w:rFonts w:hint="eastAsia" w:ascii="宋体" w:hAnsi="宋体" w:cs="宋体"/>
          <w:bCs/>
          <w:color w:val="000000"/>
          <w:sz w:val="24"/>
          <w:highlight w:val="none"/>
          <w:lang w:val="en-US" w:eastAsia="zh-CN"/>
        </w:rPr>
        <w:t>每个投资周期结束后</w:t>
      </w:r>
      <w:r>
        <w:rPr>
          <w:rFonts w:hint="eastAsia" w:ascii="宋体" w:hAnsi="宋体" w:cs="宋体"/>
          <w:bCs/>
          <w:color w:val="000000"/>
          <w:sz w:val="24"/>
          <w:highlight w:val="none"/>
          <w:lang w:eastAsia="zh-CN"/>
        </w:rPr>
        <w:t>收取。以</w:t>
      </w:r>
      <w:r>
        <w:rPr>
          <w:rFonts w:hint="eastAsia" w:ascii="宋体" w:hAnsi="宋体" w:cs="宋体"/>
          <w:sz w:val="24"/>
          <w:szCs w:val="24"/>
          <w:highlight w:val="none"/>
        </w:rPr>
        <w:t>〖</w:t>
      </w:r>
      <w:r>
        <w:rPr>
          <w:rFonts w:hint="eastAsia" w:ascii="宋体" w:hAnsi="宋体" w:cs="宋体"/>
          <w:sz w:val="24"/>
          <w:szCs w:val="24"/>
          <w:highlight w:val="none"/>
          <w:lang w:val="en-US" w:eastAsia="zh-CN"/>
        </w:rPr>
        <w:t>A</w:t>
      </w:r>
      <w:r>
        <w:rPr>
          <w:rFonts w:hint="eastAsia" w:ascii="宋体" w:hAnsi="宋体" w:cs="宋体"/>
          <w:color w:val="000000"/>
          <w:sz w:val="24"/>
          <w:szCs w:val="24"/>
          <w:highlight w:val="none"/>
          <w:lang w:val="en-US" w:eastAsia="zh-CN"/>
        </w:rPr>
        <w:t>份额</w:t>
      </w:r>
      <w:r>
        <w:rPr>
          <w:rFonts w:hint="eastAsia" w:ascii="宋体" w:hAnsi="宋体" w:cs="宋体"/>
          <w:sz w:val="24"/>
          <w:szCs w:val="24"/>
          <w:highlight w:val="none"/>
        </w:rPr>
        <w:t>〗</w:t>
      </w:r>
      <w:r>
        <w:rPr>
          <w:rFonts w:hint="eastAsia" w:ascii="宋体" w:hAnsi="宋体" w:cs="宋体"/>
          <w:sz w:val="24"/>
          <w:szCs w:val="24"/>
          <w:highlight w:val="none"/>
          <w:lang w:eastAsia="zh-CN"/>
        </w:rPr>
        <w:t>为例，</w:t>
      </w:r>
      <w:r>
        <w:rPr>
          <w:rFonts w:hint="eastAsia" w:ascii="宋体" w:hAnsi="宋体" w:cs="宋体"/>
          <w:bCs/>
          <w:color w:val="000000"/>
          <w:sz w:val="24"/>
          <w:highlight w:val="none"/>
        </w:rPr>
        <w:t>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当前确认日前一日未扣除浮动管理费前的单位净值</w:t>
      </w:r>
    </w:p>
    <w:p>
      <w:pPr>
        <w:spacing w:line="360" w:lineRule="auto"/>
        <w:ind w:firstLine="480" w:firstLineChars="200"/>
        <w:jc w:val="left"/>
        <w:rPr>
          <w:rFonts w:hint="default" w:ascii="宋体" w:hAnsi="宋体" w:cs="宋体"/>
          <w:bCs/>
          <w:color w:val="000000"/>
          <w:sz w:val="24"/>
          <w:highlight w:val="none"/>
          <w:lang w:val="en-US"/>
        </w:rPr>
      </w:pPr>
      <w:r>
        <w:rPr>
          <w:rFonts w:hint="eastAsia" w:ascii="宋体" w:hAnsi="宋体" w:cs="宋体"/>
          <w:bCs/>
          <w:color w:val="000000"/>
          <w:sz w:val="24"/>
          <w:highlight w:val="none"/>
        </w:rPr>
        <w:t>R为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本次投资周期的</w:t>
      </w:r>
      <w:r>
        <w:rPr>
          <w:rFonts w:hint="eastAsia" w:ascii="宋体" w:hAnsi="宋体" w:cs="宋体"/>
          <w:bCs/>
          <w:color w:val="000000"/>
          <w:sz w:val="24"/>
          <w:highlight w:val="none"/>
          <w:lang w:val="en-US" w:eastAsia="zh-CN"/>
        </w:rPr>
        <w:t>浮动管理费计提基准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auto"/>
          <w:sz w:val="24"/>
          <w:highlight w:val="none"/>
        </w:rPr>
        <w:t>T为</w:t>
      </w:r>
      <w:r>
        <w:rPr>
          <w:rFonts w:hint="eastAsia" w:ascii="宋体" w:hAnsi="宋体" w:cs="宋体"/>
          <w:bCs/>
          <w:color w:val="auto"/>
          <w:sz w:val="24"/>
          <w:highlight w:val="none"/>
        </w:rPr>
        <w:t>〖</w:t>
      </w:r>
      <w:r>
        <w:rPr>
          <w:rFonts w:hint="eastAsia" w:ascii="宋体" w:hAnsi="宋体" w:cs="宋体"/>
          <w:bCs/>
          <w:color w:val="auto"/>
          <w:sz w:val="24"/>
          <w:highlight w:val="none"/>
          <w:lang w:val="en-US" w:eastAsia="zh-CN"/>
        </w:rPr>
        <w:t>A份额</w:t>
      </w:r>
      <w:r>
        <w:rPr>
          <w:rFonts w:hint="eastAsia" w:ascii="宋体" w:hAnsi="宋体" w:cs="宋体"/>
          <w:bCs/>
          <w:color w:val="auto"/>
          <w:sz w:val="24"/>
          <w:highlight w:val="none"/>
        </w:rPr>
        <w:t>〗</w:t>
      </w:r>
      <w:r>
        <w:rPr>
          <w:rFonts w:hint="eastAsia" w:ascii="宋体" w:hAnsi="宋体" w:cs="宋体"/>
          <w:bCs/>
          <w:color w:val="auto"/>
          <w:sz w:val="24"/>
          <w:highlight w:val="none"/>
        </w:rPr>
        <w:t>当</w:t>
      </w:r>
      <w:r>
        <w:rPr>
          <w:rFonts w:hint="eastAsia" w:ascii="宋体" w:hAnsi="宋体" w:cs="宋体"/>
          <w:bCs/>
          <w:color w:val="000000"/>
          <w:sz w:val="24"/>
          <w:highlight w:val="none"/>
        </w:rPr>
        <w:t>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w:t>
      </w:r>
      <w:r>
        <w:rPr>
          <w:rFonts w:hint="eastAsia" w:ascii="宋体" w:hAnsi="宋体" w:cs="宋体"/>
          <w:bCs/>
          <w:color w:val="000000"/>
          <w:sz w:val="24"/>
          <w:highlight w:val="none"/>
        </w:rPr>
        <w:t>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浮动管理费计提基准</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浮动管理费计提基准</w:t>
      </w:r>
      <w:r>
        <w:rPr>
          <w:rFonts w:hint="eastAsia" w:ascii="宋体" w:hAnsi="宋体" w:cs="宋体"/>
          <w:bCs/>
          <w:color w:val="000000"/>
          <w:sz w:val="24"/>
          <w:highlight w:val="none"/>
        </w:rPr>
        <w:t>为5.00%</w:t>
      </w:r>
      <w:r>
        <w:rPr>
          <w:rFonts w:hint="eastAsia" w:ascii="宋体" w:hAnsi="宋体" w:cs="宋体"/>
          <w:bCs/>
          <w:color w:val="000000"/>
          <w:sz w:val="24"/>
          <w:highlight w:val="none"/>
          <w:lang w:val="en-US" w:eastAsia="zh-CN"/>
        </w:rPr>
        <w:t>，期间无分红。赎回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（如有）后，如理财计划净值为1.0615，此时，(1.0615/1.00-1)×365/362=6.20%&gt;5.00%，即投资收益超过〖5.00%〗，则投资管理人对超过〖5.00%〗部分收益收取浮动管理费，浮动管理费为：</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100,000.00×1.0615-100,000.00×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 xml:space="preserve"> =5,55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w:t>
      </w:r>
      <w:r>
        <w:rPr>
          <w:rFonts w:hint="eastAsia" w:ascii="宋体" w:hAnsi="宋体" w:cs="宋体"/>
          <w:bCs/>
          <w:color w:val="000000"/>
          <w:sz w:val="24"/>
          <w:highlight w:val="none"/>
        </w:rPr>
        <w:t>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/100,000.00×365/362=5.60%。</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浮动管理费计提基准</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的50%作为浮动管理费，</w:t>
      </w:r>
      <w:r>
        <w:rPr>
          <w:rFonts w:hint="eastAsia" w:ascii="宋体" w:hAnsi="宋体" w:cs="宋体"/>
          <w:b w:val="0"/>
          <w:bCs/>
          <w:sz w:val="24"/>
          <w:lang w:val="en-US" w:eastAsia="zh-CN"/>
        </w:rPr>
        <w:t>浮动管理费计提基准</w:t>
      </w:r>
      <w:r>
        <w:rPr>
          <w:rFonts w:hint="eastAsia" w:ascii="宋体" w:hAnsi="宋体" w:cs="宋体"/>
          <w:bCs/>
        </w:rPr>
        <w:t>为5.00%</w:t>
      </w:r>
      <w:r>
        <w:rPr>
          <w:rFonts w:hint="eastAsia" w:ascii="宋体" w:hAnsi="宋体" w:cs="宋体"/>
          <w:bCs/>
          <w:color w:val="000000"/>
          <w:sz w:val="24"/>
          <w:highlight w:val="none"/>
          <w:lang w:val="en-US" w:eastAsia="zh-CN"/>
        </w:rPr>
        <w:t>，期间无分红。赎回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（如有）后，如理财计划净值为1.0426，此时，(1.0426/1.00-1)×365/362=4.30%&lt;5.00%，即投资收益未达到〖5.00%〗，则投资管理人不收取浮动管理费，投资者最终收益为：100,000.00×(1.0426-1.00）=4,260.00（元）</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的50%作为浮动管理费，</w:t>
      </w:r>
      <w:r>
        <w:rPr>
          <w:rFonts w:hint="eastAsia" w:ascii="宋体" w:hAnsi="宋体" w:cs="宋体"/>
          <w:b w:val="0"/>
          <w:bCs/>
          <w:sz w:val="24"/>
          <w:lang w:val="en-US" w:eastAsia="zh-CN"/>
        </w:rPr>
        <w:t>浮动管理费计提基准</w:t>
      </w:r>
      <w:r>
        <w:rPr>
          <w:rFonts w:hint="eastAsia" w:ascii="宋体" w:hAnsi="宋体" w:cs="宋体"/>
          <w:bCs/>
        </w:rPr>
        <w:t>为5.00%</w:t>
      </w:r>
      <w:r>
        <w:rPr>
          <w:rFonts w:hint="eastAsia" w:ascii="宋体" w:hAnsi="宋体" w:cs="宋体"/>
          <w:bCs/>
          <w:color w:val="000000"/>
          <w:sz w:val="24"/>
          <w:highlight w:val="none"/>
          <w:lang w:val="en-US" w:eastAsia="zh-CN"/>
        </w:rPr>
        <w:t>，期间无分红。赎回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val="en-US"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lang w:eastAsia="zh-CN"/>
        </w:rPr>
        <w:t>（</w:t>
      </w:r>
      <w:r>
        <w:rPr>
          <w:rFonts w:hint="eastAsia" w:ascii="宋体" w:hAnsi="宋体" w:cs="宋体"/>
          <w:bCs/>
          <w:color w:val="000000"/>
        </w:rPr>
        <w:t>具体以销售机构要求为准</w:t>
      </w:r>
      <w:r>
        <w:rPr>
          <w:rFonts w:hint="eastAsia" w:ascii="宋体" w:hAnsi="宋体" w:cs="宋体"/>
          <w:bCs/>
          <w:color w:val="000000"/>
          <w:lang w:eastAsia="zh-CN"/>
        </w:rPr>
        <w:t>）</w:t>
      </w:r>
      <w:r>
        <w:rPr>
          <w:rFonts w:hint="eastAsia" w:ascii="宋体" w:hAnsi="宋体" w:cs="宋体"/>
          <w:bCs/>
          <w:color w:val="000000"/>
          <w:sz w:val="24"/>
          <w:highlight w:val="none"/>
        </w:rPr>
        <w:t>。</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申请将在确认日进行确认，即开放期后的第〖1〗个工作日进行确认。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〗个工作日内（遇节假日顺延）理财资金与收益将一次性支付。如遇资金在途或法定工作日调整，实际资金到账日以公告为准。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如连续2日（含）以上开放日发生巨额赎回，对于已经接受的赎回申请，管理人可以延缓支付赎回款项，但延缓期限不得超过5个工作日。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sz w:val="24"/>
          <w:szCs w:val="24"/>
          <w:highlight w:val="none"/>
          <w:lang w:val="en-US" w:eastAsia="zh-CN"/>
        </w:rPr>
        <w:t>1</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市场收益率大幅波动，可能或实质影响理财计划投资收益的。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highlight w:val="none"/>
        </w:rPr>
        <w:t>理财产品成立不足90个工作日或者存续期不超过90个工作日的，不编制理财产品当期的季度、半年和年度报告。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eastAsia="zh-CN"/>
        </w:rPr>
        <w:t>销售机构或</w:t>
      </w:r>
      <w:r>
        <w:rPr>
          <w:rFonts w:hint="eastAsia" w:ascii="宋体" w:hAnsi="宋体" w:cs="宋体"/>
          <w:bCs/>
          <w:color w:val="000000"/>
          <w:sz w:val="24"/>
          <w:highlight w:val="none"/>
        </w:rPr>
        <w:t>管理人所在地有管辖权的人民法院诉讼解决。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A61C70B"/>
    <w:multiLevelType w:val="singleLevel"/>
    <w:tmpl w:val="8A61C70B"/>
    <w:lvl w:ilvl="0" w:tentative="0">
      <w:start w:val="1"/>
      <w:numFmt w:val="decimal"/>
      <w:lvlText w:val="%1."/>
      <w:lvlJc w:val="left"/>
      <w:pPr>
        <w:tabs>
          <w:tab w:val="left" w:pos="312"/>
        </w:tabs>
      </w:pPr>
    </w:lvl>
  </w:abstractNum>
  <w:abstractNum w:abstractNumId="6">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7">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8">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9">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1">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2">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3">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4">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5">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6">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7">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8">
    <w:nsid w:val="D51C2339"/>
    <w:multiLevelType w:val="singleLevel"/>
    <w:tmpl w:val="D51C2339"/>
    <w:lvl w:ilvl="0" w:tentative="0">
      <w:start w:val="1"/>
      <w:numFmt w:val="decimal"/>
      <w:suff w:val="nothing"/>
      <w:lvlText w:val="%1．"/>
      <w:lvlJc w:val="left"/>
      <w:pPr>
        <w:ind w:left="-2" w:firstLine="400"/>
      </w:pPr>
      <w:rPr>
        <w:rFonts w:hint="default" w:ascii="宋体" w:hAnsi="宋体" w:eastAsia="宋体" w:cs="宋体"/>
        <w:b/>
        <w:bCs/>
      </w:rPr>
    </w:lvl>
  </w:abstractNum>
  <w:abstractNum w:abstractNumId="19">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20">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1">
    <w:nsid w:val="D8D75090"/>
    <w:multiLevelType w:val="singleLevel"/>
    <w:tmpl w:val="D8D75090"/>
    <w:lvl w:ilvl="0" w:tentative="0">
      <w:start w:val="1"/>
      <w:numFmt w:val="decimal"/>
      <w:suff w:val="nothing"/>
      <w:lvlText w:val="（%1）"/>
      <w:lvlJc w:val="left"/>
      <w:rPr>
        <w:rFonts w:hint="default"/>
        <w:b w:val="0"/>
        <w:bCs w:val="0"/>
      </w:rPr>
    </w:lvl>
  </w:abstractNum>
  <w:abstractNum w:abstractNumId="22">
    <w:nsid w:val="DD2251DF"/>
    <w:multiLevelType w:val="singleLevel"/>
    <w:tmpl w:val="DD2251DF"/>
    <w:lvl w:ilvl="0" w:tentative="0">
      <w:start w:val="1"/>
      <w:numFmt w:val="decimal"/>
      <w:suff w:val="nothing"/>
      <w:lvlText w:val="（%1）"/>
      <w:lvlJc w:val="left"/>
      <w:rPr>
        <w:rFonts w:hint="default"/>
        <w:b w:val="0"/>
        <w:bCs w:val="0"/>
      </w:rPr>
    </w:lvl>
  </w:abstractNum>
  <w:abstractNum w:abstractNumId="23">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4">
    <w:nsid w:val="E70DF796"/>
    <w:multiLevelType w:val="singleLevel"/>
    <w:tmpl w:val="E70DF796"/>
    <w:lvl w:ilvl="0" w:tentative="0">
      <w:start w:val="1"/>
      <w:numFmt w:val="decimal"/>
      <w:suff w:val="nothing"/>
      <w:lvlText w:val="（%1）"/>
      <w:lvlJc w:val="left"/>
    </w:lvl>
  </w:abstractNum>
  <w:abstractNum w:abstractNumId="25">
    <w:nsid w:val="EFF37F09"/>
    <w:multiLevelType w:val="singleLevel"/>
    <w:tmpl w:val="EFF37F09"/>
    <w:lvl w:ilvl="0" w:tentative="0">
      <w:start w:val="1"/>
      <w:numFmt w:val="decimal"/>
      <w:suff w:val="nothing"/>
      <w:lvlText w:val="（%1）"/>
      <w:lvlJc w:val="left"/>
      <w:rPr>
        <w:rFonts w:hint="default"/>
        <w:b w:val="0"/>
        <w:bCs w:val="0"/>
      </w:rPr>
    </w:lvl>
  </w:abstractNum>
  <w:abstractNum w:abstractNumId="26">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7">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8">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9">
    <w:nsid w:val="F574F5B6"/>
    <w:multiLevelType w:val="singleLevel"/>
    <w:tmpl w:val="F574F5B6"/>
    <w:lvl w:ilvl="0" w:tentative="0">
      <w:start w:val="1"/>
      <w:numFmt w:val="decimal"/>
      <w:suff w:val="nothing"/>
      <w:lvlText w:val="（%1）"/>
      <w:lvlJc w:val="left"/>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9"/>
  </w:num>
  <w:num w:numId="2">
    <w:abstractNumId w:val="45"/>
  </w:num>
  <w:num w:numId="3">
    <w:abstractNumId w:val="30"/>
  </w:num>
  <w:num w:numId="4">
    <w:abstractNumId w:val="27"/>
  </w:num>
  <w:num w:numId="5">
    <w:abstractNumId w:val="34"/>
  </w:num>
  <w:num w:numId="6">
    <w:abstractNumId w:val="26"/>
  </w:num>
  <w:num w:numId="7">
    <w:abstractNumId w:val="18"/>
  </w:num>
  <w:num w:numId="8">
    <w:abstractNumId w:val="11"/>
  </w:num>
  <w:num w:numId="9">
    <w:abstractNumId w:val="15"/>
  </w:num>
  <w:num w:numId="10">
    <w:abstractNumId w:val="8"/>
  </w:num>
  <w:num w:numId="11">
    <w:abstractNumId w:val="5"/>
  </w:num>
  <w:num w:numId="12">
    <w:abstractNumId w:val="9"/>
  </w:num>
  <w:num w:numId="13">
    <w:abstractNumId w:val="7"/>
  </w:num>
  <w:num w:numId="14">
    <w:abstractNumId w:val="33"/>
  </w:num>
  <w:num w:numId="15">
    <w:abstractNumId w:val="44"/>
  </w:num>
  <w:num w:numId="16">
    <w:abstractNumId w:val="29"/>
  </w:num>
  <w:num w:numId="17">
    <w:abstractNumId w:val="46"/>
  </w:num>
  <w:num w:numId="18">
    <w:abstractNumId w:val="51"/>
  </w:num>
  <w:num w:numId="19">
    <w:abstractNumId w:val="39"/>
  </w:num>
  <w:num w:numId="20">
    <w:abstractNumId w:val="17"/>
  </w:num>
  <w:num w:numId="21">
    <w:abstractNumId w:val="38"/>
  </w:num>
  <w:num w:numId="22">
    <w:abstractNumId w:val="20"/>
  </w:num>
  <w:num w:numId="23">
    <w:abstractNumId w:val="6"/>
  </w:num>
  <w:num w:numId="24">
    <w:abstractNumId w:val="48"/>
  </w:num>
  <w:num w:numId="25">
    <w:abstractNumId w:val="4"/>
  </w:num>
  <w:num w:numId="26">
    <w:abstractNumId w:val="32"/>
  </w:num>
  <w:num w:numId="27">
    <w:abstractNumId w:val="37"/>
  </w:num>
  <w:num w:numId="28">
    <w:abstractNumId w:val="53"/>
  </w:num>
  <w:num w:numId="29">
    <w:abstractNumId w:val="31"/>
  </w:num>
  <w:num w:numId="30">
    <w:abstractNumId w:val="19"/>
  </w:num>
  <w:num w:numId="31">
    <w:abstractNumId w:val="41"/>
  </w:num>
  <w:num w:numId="32">
    <w:abstractNumId w:val="0"/>
  </w:num>
  <w:num w:numId="33">
    <w:abstractNumId w:val="22"/>
  </w:num>
  <w:num w:numId="34">
    <w:abstractNumId w:val="43"/>
  </w:num>
  <w:num w:numId="35">
    <w:abstractNumId w:val="2"/>
  </w:num>
  <w:num w:numId="36">
    <w:abstractNumId w:val="23"/>
  </w:num>
  <w:num w:numId="37">
    <w:abstractNumId w:val="14"/>
  </w:num>
  <w:num w:numId="38">
    <w:abstractNumId w:val="47"/>
  </w:num>
  <w:num w:numId="39">
    <w:abstractNumId w:val="35"/>
  </w:num>
  <w:num w:numId="40">
    <w:abstractNumId w:val="16"/>
  </w:num>
  <w:num w:numId="41">
    <w:abstractNumId w:val="28"/>
  </w:num>
  <w:num w:numId="42">
    <w:abstractNumId w:val="24"/>
  </w:num>
  <w:num w:numId="43">
    <w:abstractNumId w:val="25"/>
  </w:num>
  <w:num w:numId="44">
    <w:abstractNumId w:val="52"/>
  </w:num>
  <w:num w:numId="45">
    <w:abstractNumId w:val="40"/>
  </w:num>
  <w:num w:numId="46">
    <w:abstractNumId w:val="1"/>
  </w:num>
  <w:num w:numId="47">
    <w:abstractNumId w:val="50"/>
  </w:num>
  <w:num w:numId="48">
    <w:abstractNumId w:val="12"/>
  </w:num>
  <w:num w:numId="49">
    <w:abstractNumId w:val="10"/>
  </w:num>
  <w:num w:numId="50">
    <w:abstractNumId w:val="13"/>
  </w:num>
  <w:num w:numId="51">
    <w:abstractNumId w:val="36"/>
  </w:num>
  <w:num w:numId="52">
    <w:abstractNumId w:val="21"/>
  </w:num>
  <w:num w:numId="53">
    <w:abstractNumId w:val="3"/>
  </w:num>
  <w:num w:numId="5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0FB6340"/>
    <w:rsid w:val="01364432"/>
    <w:rsid w:val="01523B8E"/>
    <w:rsid w:val="01AD4868"/>
    <w:rsid w:val="01E60817"/>
    <w:rsid w:val="01FD241C"/>
    <w:rsid w:val="03A32FCF"/>
    <w:rsid w:val="046454B7"/>
    <w:rsid w:val="046C4318"/>
    <w:rsid w:val="05E05E4D"/>
    <w:rsid w:val="06420CFA"/>
    <w:rsid w:val="06503B59"/>
    <w:rsid w:val="06F301FD"/>
    <w:rsid w:val="0752555A"/>
    <w:rsid w:val="07E45984"/>
    <w:rsid w:val="080D1A7C"/>
    <w:rsid w:val="0828699A"/>
    <w:rsid w:val="087D4021"/>
    <w:rsid w:val="08C42CBB"/>
    <w:rsid w:val="09155E8F"/>
    <w:rsid w:val="097E3F67"/>
    <w:rsid w:val="097E4163"/>
    <w:rsid w:val="09FE573C"/>
    <w:rsid w:val="0A0C6349"/>
    <w:rsid w:val="0A1347F5"/>
    <w:rsid w:val="0A1F3796"/>
    <w:rsid w:val="0A2A32B9"/>
    <w:rsid w:val="0A3B1BA8"/>
    <w:rsid w:val="0B8E27E3"/>
    <w:rsid w:val="0BF71AE2"/>
    <w:rsid w:val="0C9C7394"/>
    <w:rsid w:val="0CA6603D"/>
    <w:rsid w:val="0CB44C8B"/>
    <w:rsid w:val="0D0B1B00"/>
    <w:rsid w:val="0D3F210A"/>
    <w:rsid w:val="0E36795A"/>
    <w:rsid w:val="0E4A4B6F"/>
    <w:rsid w:val="0E9465E2"/>
    <w:rsid w:val="0EAE473F"/>
    <w:rsid w:val="0EF65480"/>
    <w:rsid w:val="0F322F5F"/>
    <w:rsid w:val="0F3349D0"/>
    <w:rsid w:val="10450483"/>
    <w:rsid w:val="10776FA2"/>
    <w:rsid w:val="10E7087B"/>
    <w:rsid w:val="10FA5463"/>
    <w:rsid w:val="11BA058F"/>
    <w:rsid w:val="12081858"/>
    <w:rsid w:val="12B62B3B"/>
    <w:rsid w:val="12F57C75"/>
    <w:rsid w:val="12F96486"/>
    <w:rsid w:val="13031153"/>
    <w:rsid w:val="13181417"/>
    <w:rsid w:val="135A629F"/>
    <w:rsid w:val="13CF7B8E"/>
    <w:rsid w:val="14170C03"/>
    <w:rsid w:val="14B80FF2"/>
    <w:rsid w:val="14C57FED"/>
    <w:rsid w:val="150C5665"/>
    <w:rsid w:val="15485BE1"/>
    <w:rsid w:val="158A4BA4"/>
    <w:rsid w:val="15C56302"/>
    <w:rsid w:val="160940BB"/>
    <w:rsid w:val="1659752C"/>
    <w:rsid w:val="16E43A7F"/>
    <w:rsid w:val="175F7C56"/>
    <w:rsid w:val="17D66731"/>
    <w:rsid w:val="18400678"/>
    <w:rsid w:val="185A3DA1"/>
    <w:rsid w:val="198C4B50"/>
    <w:rsid w:val="19BB4557"/>
    <w:rsid w:val="19DA4F78"/>
    <w:rsid w:val="19F13F4F"/>
    <w:rsid w:val="1A102675"/>
    <w:rsid w:val="1A276601"/>
    <w:rsid w:val="1A5F6E5F"/>
    <w:rsid w:val="1AFA5FFE"/>
    <w:rsid w:val="1B280245"/>
    <w:rsid w:val="1B581220"/>
    <w:rsid w:val="1B843575"/>
    <w:rsid w:val="1BBE4697"/>
    <w:rsid w:val="1C5A22BD"/>
    <w:rsid w:val="1D177BAB"/>
    <w:rsid w:val="1D4D5B7F"/>
    <w:rsid w:val="1D5076C2"/>
    <w:rsid w:val="1D552DD9"/>
    <w:rsid w:val="1DAB6D83"/>
    <w:rsid w:val="1E2550C6"/>
    <w:rsid w:val="1E3173A3"/>
    <w:rsid w:val="1E792E51"/>
    <w:rsid w:val="1EAF3BD1"/>
    <w:rsid w:val="1EBF7C0A"/>
    <w:rsid w:val="1F0F5A19"/>
    <w:rsid w:val="1F1D6E1F"/>
    <w:rsid w:val="1F3E7F7D"/>
    <w:rsid w:val="1F51312D"/>
    <w:rsid w:val="1FC9553A"/>
    <w:rsid w:val="204D3B12"/>
    <w:rsid w:val="205A2AB3"/>
    <w:rsid w:val="20B6224D"/>
    <w:rsid w:val="21025026"/>
    <w:rsid w:val="21036497"/>
    <w:rsid w:val="21CE3241"/>
    <w:rsid w:val="220D1BEF"/>
    <w:rsid w:val="222B5013"/>
    <w:rsid w:val="22A04AF7"/>
    <w:rsid w:val="22A73C8E"/>
    <w:rsid w:val="22D3594B"/>
    <w:rsid w:val="22F12819"/>
    <w:rsid w:val="234F46D7"/>
    <w:rsid w:val="23753F06"/>
    <w:rsid w:val="238E1AAE"/>
    <w:rsid w:val="239D7AE4"/>
    <w:rsid w:val="24030B6D"/>
    <w:rsid w:val="24345B9A"/>
    <w:rsid w:val="245517BD"/>
    <w:rsid w:val="2483647E"/>
    <w:rsid w:val="256F076F"/>
    <w:rsid w:val="25AF7681"/>
    <w:rsid w:val="26820AF7"/>
    <w:rsid w:val="26C12605"/>
    <w:rsid w:val="26FC4639"/>
    <w:rsid w:val="27947E62"/>
    <w:rsid w:val="27EB2573"/>
    <w:rsid w:val="292668E3"/>
    <w:rsid w:val="29361BBD"/>
    <w:rsid w:val="29AC2F45"/>
    <w:rsid w:val="2A124404"/>
    <w:rsid w:val="2A1B5D68"/>
    <w:rsid w:val="2A5975B6"/>
    <w:rsid w:val="2A991D32"/>
    <w:rsid w:val="2AB92324"/>
    <w:rsid w:val="2AD6555A"/>
    <w:rsid w:val="2B376BE0"/>
    <w:rsid w:val="2B5B0398"/>
    <w:rsid w:val="2C1B1E9D"/>
    <w:rsid w:val="2CAB68C5"/>
    <w:rsid w:val="2E354AE5"/>
    <w:rsid w:val="2EBC6D03"/>
    <w:rsid w:val="2F196945"/>
    <w:rsid w:val="2F1F666C"/>
    <w:rsid w:val="2FD32A37"/>
    <w:rsid w:val="30551FFC"/>
    <w:rsid w:val="311F702A"/>
    <w:rsid w:val="31A82883"/>
    <w:rsid w:val="320E3E15"/>
    <w:rsid w:val="327B27BD"/>
    <w:rsid w:val="32B15B31"/>
    <w:rsid w:val="32C937E9"/>
    <w:rsid w:val="333F6AA7"/>
    <w:rsid w:val="3480359E"/>
    <w:rsid w:val="34BE4ED5"/>
    <w:rsid w:val="35476F5E"/>
    <w:rsid w:val="354D3F58"/>
    <w:rsid w:val="359A216E"/>
    <w:rsid w:val="35CB65AD"/>
    <w:rsid w:val="36631FD8"/>
    <w:rsid w:val="36C419F2"/>
    <w:rsid w:val="36E72D9B"/>
    <w:rsid w:val="36FD7080"/>
    <w:rsid w:val="379F2ED6"/>
    <w:rsid w:val="37CA172C"/>
    <w:rsid w:val="37DC2068"/>
    <w:rsid w:val="38071350"/>
    <w:rsid w:val="38224FD0"/>
    <w:rsid w:val="39775E90"/>
    <w:rsid w:val="39AC0F1B"/>
    <w:rsid w:val="39B95084"/>
    <w:rsid w:val="3A3E2041"/>
    <w:rsid w:val="3B131EF6"/>
    <w:rsid w:val="3B490D86"/>
    <w:rsid w:val="3BD74075"/>
    <w:rsid w:val="3C2F2290"/>
    <w:rsid w:val="3C8F4F01"/>
    <w:rsid w:val="3EA67C14"/>
    <w:rsid w:val="3EAD1B36"/>
    <w:rsid w:val="3F056B9E"/>
    <w:rsid w:val="3F354A62"/>
    <w:rsid w:val="3FB01289"/>
    <w:rsid w:val="3FE233B8"/>
    <w:rsid w:val="3FF54C55"/>
    <w:rsid w:val="40181F9C"/>
    <w:rsid w:val="406370BC"/>
    <w:rsid w:val="40FB7670"/>
    <w:rsid w:val="41B60000"/>
    <w:rsid w:val="423C06E2"/>
    <w:rsid w:val="42815397"/>
    <w:rsid w:val="42C94634"/>
    <w:rsid w:val="439F39AE"/>
    <w:rsid w:val="45540446"/>
    <w:rsid w:val="458F3937"/>
    <w:rsid w:val="459F641E"/>
    <w:rsid w:val="45A93DC9"/>
    <w:rsid w:val="45BB5620"/>
    <w:rsid w:val="45EC58A2"/>
    <w:rsid w:val="45F127ED"/>
    <w:rsid w:val="46263D02"/>
    <w:rsid w:val="46CD66A0"/>
    <w:rsid w:val="472803B7"/>
    <w:rsid w:val="478411E4"/>
    <w:rsid w:val="488B59A4"/>
    <w:rsid w:val="48CC5267"/>
    <w:rsid w:val="494502E1"/>
    <w:rsid w:val="494C4325"/>
    <w:rsid w:val="4A010AC9"/>
    <w:rsid w:val="4A7F0ADF"/>
    <w:rsid w:val="4AA612F0"/>
    <w:rsid w:val="4B0D3113"/>
    <w:rsid w:val="4C1A730D"/>
    <w:rsid w:val="4C6B0DDA"/>
    <w:rsid w:val="4C6E1306"/>
    <w:rsid w:val="4C7368E1"/>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70265F"/>
    <w:rsid w:val="54E91D9C"/>
    <w:rsid w:val="55A47BB4"/>
    <w:rsid w:val="56B44788"/>
    <w:rsid w:val="57133844"/>
    <w:rsid w:val="57481AEB"/>
    <w:rsid w:val="57B655F7"/>
    <w:rsid w:val="57BB6218"/>
    <w:rsid w:val="57FF3AAA"/>
    <w:rsid w:val="58DD2EEE"/>
    <w:rsid w:val="58E96C7A"/>
    <w:rsid w:val="59263C31"/>
    <w:rsid w:val="59AD3C67"/>
    <w:rsid w:val="5A1A48EE"/>
    <w:rsid w:val="5A4B183F"/>
    <w:rsid w:val="5B0D630F"/>
    <w:rsid w:val="5B602150"/>
    <w:rsid w:val="5B9919B4"/>
    <w:rsid w:val="5BB70148"/>
    <w:rsid w:val="5C107127"/>
    <w:rsid w:val="5C3C3DDC"/>
    <w:rsid w:val="5CD41552"/>
    <w:rsid w:val="5D160516"/>
    <w:rsid w:val="5D623A8F"/>
    <w:rsid w:val="5D713BC5"/>
    <w:rsid w:val="5D7D0F36"/>
    <w:rsid w:val="5DB61BFF"/>
    <w:rsid w:val="5DEF454B"/>
    <w:rsid w:val="5E5A6C63"/>
    <w:rsid w:val="5F3C6712"/>
    <w:rsid w:val="5F4B58F3"/>
    <w:rsid w:val="6053481F"/>
    <w:rsid w:val="60553A8D"/>
    <w:rsid w:val="606E0DED"/>
    <w:rsid w:val="60AB2000"/>
    <w:rsid w:val="61BE3E8C"/>
    <w:rsid w:val="61C97391"/>
    <w:rsid w:val="61D85325"/>
    <w:rsid w:val="62860AAA"/>
    <w:rsid w:val="628B7CEE"/>
    <w:rsid w:val="629D5796"/>
    <w:rsid w:val="6382523F"/>
    <w:rsid w:val="63FA4C5C"/>
    <w:rsid w:val="64102A52"/>
    <w:rsid w:val="64623037"/>
    <w:rsid w:val="64BC6713"/>
    <w:rsid w:val="65A27BE8"/>
    <w:rsid w:val="66F54088"/>
    <w:rsid w:val="671E2162"/>
    <w:rsid w:val="67C2281F"/>
    <w:rsid w:val="680C1A56"/>
    <w:rsid w:val="684F0C72"/>
    <w:rsid w:val="68576AA6"/>
    <w:rsid w:val="688637DD"/>
    <w:rsid w:val="68D8721E"/>
    <w:rsid w:val="6A47212E"/>
    <w:rsid w:val="6A831914"/>
    <w:rsid w:val="6B610D05"/>
    <w:rsid w:val="6BAC21D5"/>
    <w:rsid w:val="6CED1CB3"/>
    <w:rsid w:val="6D3B42C3"/>
    <w:rsid w:val="6D5A3D63"/>
    <w:rsid w:val="6D9A4080"/>
    <w:rsid w:val="6DFD5353"/>
    <w:rsid w:val="6DFD5ABC"/>
    <w:rsid w:val="6E7E575F"/>
    <w:rsid w:val="6E8A3571"/>
    <w:rsid w:val="6EC27507"/>
    <w:rsid w:val="6EF15941"/>
    <w:rsid w:val="6F926461"/>
    <w:rsid w:val="6F9921A1"/>
    <w:rsid w:val="6FA453FA"/>
    <w:rsid w:val="705D7F07"/>
    <w:rsid w:val="720B7A64"/>
    <w:rsid w:val="720F6016"/>
    <w:rsid w:val="73407EBD"/>
    <w:rsid w:val="73932176"/>
    <w:rsid w:val="73EF4563"/>
    <w:rsid w:val="74037319"/>
    <w:rsid w:val="74175679"/>
    <w:rsid w:val="744124AA"/>
    <w:rsid w:val="74664F47"/>
    <w:rsid w:val="756E538F"/>
    <w:rsid w:val="75A93C51"/>
    <w:rsid w:val="75D950C9"/>
    <w:rsid w:val="76F41323"/>
    <w:rsid w:val="77100360"/>
    <w:rsid w:val="778222EA"/>
    <w:rsid w:val="77A30DC4"/>
    <w:rsid w:val="77E0572E"/>
    <w:rsid w:val="77ED4104"/>
    <w:rsid w:val="78EF4372"/>
    <w:rsid w:val="79771B00"/>
    <w:rsid w:val="7980282D"/>
    <w:rsid w:val="798F6426"/>
    <w:rsid w:val="79B94653"/>
    <w:rsid w:val="7ACA272A"/>
    <w:rsid w:val="7B0E7C70"/>
    <w:rsid w:val="7B2E004A"/>
    <w:rsid w:val="7B76641B"/>
    <w:rsid w:val="7B983353"/>
    <w:rsid w:val="7BBF1397"/>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9"/>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3"/>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4"/>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0"/>
    <w:uiPriority w:val="0"/>
    <w:pPr>
      <w:jc w:val="left"/>
    </w:pPr>
  </w:style>
  <w:style w:type="paragraph" w:styleId="6">
    <w:name w:val="Balloon Text"/>
    <w:basedOn w:val="1"/>
    <w:link w:val="21"/>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2"/>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样式1"/>
    <w:basedOn w:val="1"/>
    <w:next w:val="1"/>
    <w:uiPriority w:val="0"/>
    <w:pPr>
      <w:keepNext/>
      <w:keepLines/>
      <w:spacing w:before="340" w:beforeLines="0" w:after="330" w:afterLines="0" w:line="576" w:lineRule="auto"/>
      <w:outlineLvl w:val="0"/>
    </w:pPr>
    <w:rPr>
      <w:rFonts w:hint="eastAsia"/>
      <w:b/>
      <w:kern w:val="44"/>
      <w:sz w:val="44"/>
    </w:rPr>
  </w:style>
  <w:style w:type="paragraph" w:customStyle="1" w:styleId="17">
    <w:name w:val="List Paragraph"/>
    <w:basedOn w:val="1"/>
    <w:unhideWhenUsed/>
    <w:uiPriority w:val="99"/>
    <w:pPr>
      <w:ind w:firstLine="420" w:firstLineChars="200"/>
    </w:pPr>
  </w:style>
  <w:style w:type="paragraph" w:customStyle="1" w:styleId="18">
    <w:name w:val="Default"/>
    <w:qFormat/>
    <w:uiPriority w:val="0"/>
    <w:pPr>
      <w:widowControl w:val="0"/>
      <w:autoSpaceDE w:val="0"/>
      <w:autoSpaceDN w:val="0"/>
      <w:adjustRightInd w:val="0"/>
    </w:pPr>
    <w:rPr>
      <w:color w:val="000000"/>
      <w:sz w:val="24"/>
      <w:szCs w:val="24"/>
      <w:lang w:val="en-US" w:eastAsia="zh-CN" w:bidi="ar-SA"/>
    </w:rPr>
  </w:style>
  <w:style w:type="character" w:customStyle="1" w:styleId="19">
    <w:name w:val="标题 1 Char"/>
    <w:link w:val="2"/>
    <w:uiPriority w:val="0"/>
    <w:rPr>
      <w:rFonts w:eastAsia="宋体"/>
      <w:b/>
      <w:kern w:val="44"/>
      <w:sz w:val="44"/>
    </w:rPr>
  </w:style>
  <w:style w:type="character" w:customStyle="1" w:styleId="20">
    <w:name w:val="批注文字 Char"/>
    <w:link w:val="5"/>
    <w:uiPriority w:val="0"/>
    <w:rPr>
      <w:rFonts w:ascii="Calibri" w:hAnsi="Calibri" w:cs="黑体"/>
      <w:kern w:val="2"/>
      <w:sz w:val="21"/>
      <w:szCs w:val="24"/>
    </w:rPr>
  </w:style>
  <w:style w:type="character" w:customStyle="1" w:styleId="21">
    <w:name w:val="批注框文本 Char"/>
    <w:link w:val="6"/>
    <w:uiPriority w:val="0"/>
    <w:rPr>
      <w:rFonts w:ascii="Calibri" w:hAnsi="Calibri" w:cs="黑体"/>
      <w:kern w:val="2"/>
      <w:sz w:val="18"/>
      <w:szCs w:val="18"/>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标题 2 Char"/>
    <w:link w:val="3"/>
    <w:uiPriority w:val="0"/>
    <w:rPr>
      <w:rFonts w:ascii="Arial" w:hAnsi="Arial" w:eastAsia="宋体"/>
      <w:b/>
      <w:sz w:val="24"/>
    </w:rPr>
  </w:style>
  <w:style w:type="character" w:customStyle="1" w:styleId="24">
    <w:name w:val="标题 3 Char"/>
    <w:link w:val="4"/>
    <w:uiPriority w:val="0"/>
    <w:rPr>
      <w:rFonts w:hAnsi="Calibri"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36603</Words>
  <Characters>39002</Characters>
  <Lines>1</Lines>
  <Paragraphs>1</Paragraphs>
  <TotalTime>2</TotalTime>
  <ScaleCrop>false</ScaleCrop>
  <LinksUpToDate>false</LinksUpToDate>
  <CharactersWithSpaces>39229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2025-09-01T07:54:35Z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