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eastAsia="宋体" w:cs="宋体"/>
          <w:b/>
          <w:highlight w:val="none"/>
        </w:rPr>
        <w:t>杭银理财幸福99</w:t>
      </w:r>
      <w:r>
        <w:rPr>
          <w:rFonts w:hint="eastAsia" w:ascii="宋体" w:hAnsi="宋体" w:cs="宋体"/>
          <w:b/>
          <w:highlight w:val="none"/>
          <w:lang w:eastAsia="zh-CN"/>
        </w:rPr>
        <w:t>半年添益1907期理财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numPr>
          <w:ilvl w:val="0"/>
          <w:numId w:val="2"/>
        </w:numPr>
        <w:bidi w:val="0"/>
        <w:ind w:firstLine="480" w:firstLineChars="200"/>
        <w:rPr>
          <w:highlight w:val="none"/>
        </w:rPr>
      </w:pPr>
      <w:r>
        <w:rPr>
          <w:rStyle w:val="21"/>
          <w:rFonts w:hint="eastAsia"/>
          <w:b w:val="0"/>
          <w:vanish w:val="0"/>
          <w:highlight w:val="none"/>
        </w:rPr>
        <w:t>信用风险：</w:t>
      </w:r>
      <w:r>
        <w:rPr>
          <w:rFonts w:hint="eastAsia"/>
          <w:vanish w:val="0"/>
          <w:highlight w:val="none"/>
        </w:rPr>
        <w:t>理财计划所投资产的相关义务人信用状况恶化，出现信用违约情形，则理财计划本金或收益蒙受部分或全部损失的风险。</w:t>
      </w:r>
    </w:p>
    <w:p>
      <w:pPr>
        <w:pStyle w:val="4"/>
        <w:numPr>
          <w:ilvl w:val="0"/>
          <w:numId w:val="2"/>
        </w:numPr>
        <w:bidi w:val="0"/>
        <w:ind w:firstLine="482" w:firstLineChars="200"/>
        <w:rPr>
          <w:rFonts w:hint="eastAsia"/>
          <w:highlight w:val="none"/>
        </w:rPr>
      </w:pPr>
      <w:r>
        <w:rPr>
          <w:rFonts w:hint="eastAsia"/>
          <w:b/>
          <w:highlight w:val="none"/>
        </w:rPr>
        <w:t>市场风险：</w:t>
      </w:r>
      <w:r>
        <w:rPr>
          <w:rFonts w:hint="eastAsia"/>
          <w:vanish w:val="0"/>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19"/>
          <w:rFonts w:hint="eastAsia"/>
          <w:vanish w:val="0"/>
          <w:highlight w:val="none"/>
          <w:lang w:val="en-US" w:eastAsia="zh-CN"/>
        </w:rPr>
        <w:t>信息传递风险：</w:t>
      </w:r>
      <w:r>
        <w:rPr>
          <w:rFonts w:hint="eastAsia"/>
          <w:b/>
          <w:bCs/>
          <w:vanish w:val="0"/>
          <w:highlight w:val="none"/>
          <w:lang w:val="en-US" w:eastAsia="zh-CN"/>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ascii="宋体" w:hAnsi="宋体" w:cs="宋体"/>
          <w:b/>
          <w:sz w:val="24"/>
          <w:highlight w:val="none"/>
        </w:rPr>
        <w:t>关联关系风险：本理财</w:t>
      </w:r>
      <w:r>
        <w:rPr>
          <w:rFonts w:hint="eastAsia" w:ascii="宋体" w:hAnsi="宋体" w:cs="宋体"/>
          <w:b/>
          <w:sz w:val="24"/>
          <w:highlight w:val="none"/>
          <w:lang w:eastAsia="zh-CN"/>
        </w:rPr>
        <w:t>计划</w:t>
      </w:r>
      <w:r>
        <w:rPr>
          <w:rFonts w:ascii="宋体" w:hAnsi="宋体" w:cs="宋体"/>
          <w:b/>
          <w:sz w:val="24"/>
          <w:highlight w:val="none"/>
        </w:rPr>
        <w:t>销售机构</w:t>
      </w:r>
      <w:r>
        <w:rPr>
          <w:rFonts w:hint="eastAsia" w:ascii="宋体" w:hAnsi="宋体" w:cs="宋体"/>
          <w:b/>
          <w:sz w:val="24"/>
          <w:highlight w:val="none"/>
          <w:lang w:eastAsia="zh-CN"/>
        </w:rPr>
        <w:t>之一</w:t>
      </w:r>
      <w:r>
        <w:rPr>
          <w:rFonts w:ascii="宋体" w:hAnsi="宋体" w:cs="宋体"/>
          <w:b/>
          <w:sz w:val="24"/>
          <w:highlight w:val="none"/>
        </w:rPr>
        <w:t>为杭州银行股份有限公司，杭银理财系杭州银行全资子公司，双方存在关联关系。杭州银行作为本理财</w:t>
      </w:r>
      <w:r>
        <w:rPr>
          <w:rFonts w:hint="eastAsia" w:ascii="宋体" w:hAnsi="宋体" w:cs="宋体"/>
          <w:b/>
          <w:sz w:val="24"/>
          <w:highlight w:val="none"/>
          <w:lang w:eastAsia="zh-CN"/>
        </w:rPr>
        <w:t>计划</w:t>
      </w:r>
      <w:r>
        <w:rPr>
          <w:rFonts w:ascii="宋体" w:hAnsi="宋体" w:cs="宋体"/>
          <w:b/>
          <w:sz w:val="24"/>
          <w:highlight w:val="none"/>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sz w:val="24"/>
          <w:highlight w:val="none"/>
          <w:lang w:eastAsia="zh-CN"/>
        </w:rPr>
        <w:t>理财计划</w:t>
      </w:r>
      <w:r>
        <w:rPr>
          <w:rFonts w:ascii="宋体" w:hAnsi="宋体" w:cs="宋体"/>
          <w:b/>
          <w:sz w:val="24"/>
          <w:highlight w:val="none"/>
        </w:rPr>
        <w:t>收益，不承担</w:t>
      </w:r>
      <w:r>
        <w:rPr>
          <w:rFonts w:hint="eastAsia" w:ascii="宋体" w:hAnsi="宋体" w:cs="宋体"/>
          <w:b/>
          <w:sz w:val="24"/>
          <w:highlight w:val="none"/>
          <w:lang w:eastAsia="zh-CN"/>
        </w:rPr>
        <w:t>理财计划</w:t>
      </w:r>
      <w:r>
        <w:rPr>
          <w:rFonts w:ascii="宋体" w:hAnsi="宋体" w:cs="宋体"/>
          <w:b/>
          <w:sz w:val="24"/>
          <w:highlight w:val="none"/>
        </w:rPr>
        <w:t>的投资、兑付和风险管理责任。</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资金流动性风险：本理财</w:t>
      </w:r>
      <w:r>
        <w:rPr>
          <w:rFonts w:hint="eastAsia" w:ascii="宋体" w:hAnsi="宋体" w:cs="宋体"/>
          <w:b/>
          <w:sz w:val="24"/>
          <w:highlight w:val="none"/>
          <w:lang w:val="en-US" w:eastAsia="zh-CN"/>
        </w:rPr>
        <w:t>计划</w:t>
      </w:r>
      <w:r>
        <w:rPr>
          <w:rFonts w:hint="eastAsia" w:ascii="宋体" w:hAnsi="宋体" w:cs="宋体"/>
          <w:b/>
          <w:sz w:val="24"/>
          <w:highlight w:val="none"/>
        </w:rPr>
        <w:t>定期开放申购、赎回，非开放期内投资者不得提前交易。</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收益不达业绩比较基准风险：业绩比较基准并非预测收益，不代表产品的未来表现和实际收益；本理财</w:t>
      </w:r>
      <w:r>
        <w:rPr>
          <w:rFonts w:hint="eastAsia" w:ascii="宋体" w:hAnsi="宋体" w:cs="宋体"/>
          <w:b/>
          <w:sz w:val="24"/>
          <w:highlight w:val="none"/>
          <w:lang w:val="en-US" w:eastAsia="zh-CN"/>
        </w:rPr>
        <w:t>计划</w:t>
      </w:r>
      <w:r>
        <w:rPr>
          <w:rFonts w:hint="eastAsia" w:ascii="宋体" w:hAnsi="宋体" w:cs="宋体"/>
          <w:b/>
          <w:sz w:val="24"/>
          <w:highlight w:val="none"/>
        </w:rPr>
        <w:t>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本理财计划为公募、开放式、〖</w:t>
      </w:r>
      <w:r>
        <w:rPr>
          <w:rFonts w:hint="eastAsia" w:ascii="宋体" w:hAnsi="宋体" w:cs="宋体"/>
          <w:b/>
          <w:sz w:val="24"/>
          <w:highlight w:val="none"/>
          <w:lang w:val="en-US" w:eastAsia="zh-CN"/>
        </w:rPr>
        <w:t>固定收益</w:t>
      </w:r>
      <w:r>
        <w:rPr>
          <w:rFonts w:hint="eastAsia" w:ascii="宋体" w:hAnsi="宋体" w:cs="宋体"/>
          <w:b/>
          <w:sz w:val="24"/>
          <w:highlight w:val="none"/>
        </w:rPr>
        <w:t>类〗净值型理财计划，〖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〗，不保证本金与收益。根据本公司理财产品内部风险评级，该理财计划风险评级结果为〖R</w:t>
      </w:r>
      <w:r>
        <w:rPr>
          <w:rFonts w:hint="eastAsia" w:ascii="宋体" w:hAnsi="宋体" w:cs="宋体"/>
          <w:b/>
          <w:sz w:val="24"/>
          <w:highlight w:val="none"/>
          <w:lang w:val="en-US" w:eastAsia="zh-CN"/>
        </w:rPr>
        <w:t>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spacing w:line="360" w:lineRule="auto"/>
        <w:jc w:val="both"/>
        <w:rPr>
          <w:rFonts w:hint="eastAsia" w:ascii="宋体" w:hAnsi="宋体" w:cs="宋体"/>
          <w:bCs/>
          <w:sz w:val="24"/>
          <w:highlight w:val="none"/>
        </w:rPr>
      </w:pPr>
    </w:p>
    <w:p>
      <w:pPr>
        <w:pStyle w:val="24"/>
        <w:spacing w:line="360" w:lineRule="auto"/>
        <w:jc w:val="both"/>
        <w:rPr>
          <w:rFonts w:hint="eastAsia" w:ascii="宋体" w:hAnsi="宋体" w:cs="宋体"/>
          <w:b/>
          <w:color w:val="auto"/>
          <w:highlight w:val="none"/>
        </w:rPr>
      </w:pPr>
    </w:p>
    <w:p>
      <w:pPr>
        <w:pStyle w:val="24"/>
        <w:spacing w:line="360" w:lineRule="auto"/>
        <w:ind w:firstLine="482" w:firstLineChars="200"/>
        <w:jc w:val="center"/>
        <w:outlineLvl w:val="1"/>
        <w:rPr>
          <w:rFonts w:hint="eastAsia" w:ascii="宋体" w:hAnsi="宋体" w:cs="宋体"/>
          <w:b/>
          <w:color w:val="auto"/>
          <w:highlight w:val="none"/>
        </w:rPr>
      </w:pPr>
    </w:p>
    <w:p>
      <w:pPr>
        <w:pStyle w:val="24"/>
        <w:spacing w:line="360" w:lineRule="auto"/>
        <w:ind w:firstLine="482" w:firstLineChars="200"/>
        <w:jc w:val="center"/>
        <w:outlineLvl w:val="1"/>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4"/>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4"/>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4"/>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4"/>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4"/>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4"/>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4"/>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4"/>
        <w:spacing w:line="360" w:lineRule="auto"/>
        <w:ind w:firstLine="482" w:firstLineChars="200"/>
        <w:jc w:val="center"/>
        <w:rPr>
          <w:rFonts w:hint="eastAsia" w:ascii="宋体" w:hAnsi="宋体" w:eastAsia="宋体" w:cs="宋体"/>
          <w:b/>
          <w:bCs/>
          <w:color w:val="auto"/>
          <w:highlight w:val="none"/>
          <w:u w:val="none"/>
        </w:rPr>
      </w:pPr>
    </w:p>
    <w:p>
      <w:pPr>
        <w:pStyle w:val="24"/>
        <w:spacing w:line="360" w:lineRule="auto"/>
        <w:ind w:firstLine="482" w:firstLineChars="200"/>
        <w:jc w:val="center"/>
        <w:rPr>
          <w:rFonts w:hint="eastAsia" w:ascii="宋体" w:hAnsi="宋体" w:eastAsia="宋体" w:cs="宋体"/>
          <w:b/>
          <w:bCs/>
          <w:color w:val="auto"/>
          <w:highlight w:val="none"/>
          <w:u w:val="none"/>
        </w:rPr>
      </w:pPr>
    </w:p>
    <w:p>
      <w:pPr>
        <w:pStyle w:val="24"/>
        <w:spacing w:line="360" w:lineRule="auto"/>
        <w:ind w:firstLine="482" w:firstLineChars="200"/>
        <w:jc w:val="center"/>
        <w:rPr>
          <w:rFonts w:hint="eastAsia" w:ascii="宋体" w:hAnsi="宋体" w:eastAsia="宋体" w:cs="宋体"/>
          <w:b/>
          <w:bCs/>
          <w:color w:val="auto"/>
          <w:highlight w:val="none"/>
          <w:u w:val="none"/>
        </w:rPr>
      </w:pPr>
    </w:p>
    <w:p>
      <w:pPr>
        <w:pStyle w:val="24"/>
        <w:spacing w:line="360" w:lineRule="auto"/>
        <w:ind w:firstLine="482" w:firstLineChars="200"/>
        <w:jc w:val="center"/>
        <w:rPr>
          <w:rFonts w:hint="eastAsia" w:ascii="宋体" w:hAnsi="宋体" w:eastAsia="宋体" w:cs="宋体"/>
          <w:b/>
          <w:bCs/>
          <w:color w:val="auto"/>
          <w:highlight w:val="none"/>
          <w:u w:val="none"/>
        </w:rPr>
      </w:pPr>
    </w:p>
    <w:p>
      <w:pPr>
        <w:pStyle w:val="24"/>
        <w:spacing w:line="360" w:lineRule="auto"/>
        <w:ind w:firstLine="482" w:firstLineChars="200"/>
        <w:jc w:val="center"/>
        <w:rPr>
          <w:rFonts w:hint="eastAsia" w:ascii="宋体" w:hAnsi="宋体" w:eastAsia="宋体" w:cs="宋体"/>
          <w:b/>
          <w:bCs/>
          <w:color w:val="auto"/>
          <w:highlight w:val="none"/>
          <w:u w:val="none"/>
        </w:rPr>
      </w:pPr>
    </w:p>
    <w:p>
      <w:pPr>
        <w:pStyle w:val="24"/>
        <w:spacing w:line="360" w:lineRule="auto"/>
        <w:ind w:firstLine="482" w:firstLineChars="200"/>
        <w:jc w:val="center"/>
        <w:rPr>
          <w:rFonts w:hint="eastAsia" w:ascii="宋体" w:hAnsi="宋体" w:eastAsia="宋体" w:cs="宋体"/>
          <w:b/>
          <w:bCs/>
          <w:color w:val="auto"/>
          <w:highlight w:val="none"/>
          <w:u w:val="none"/>
        </w:rPr>
      </w:pPr>
    </w:p>
    <w:p>
      <w:pPr>
        <w:pStyle w:val="24"/>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4"/>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4"/>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4"/>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4"/>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24"/>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24"/>
        <w:spacing w:line="360" w:lineRule="auto"/>
        <w:ind w:firstLine="482" w:firstLineChars="200"/>
        <w:jc w:val="both"/>
        <w:rPr>
          <w:rFonts w:hint="eastAsia" w:ascii="宋体" w:hAnsi="宋体" w:eastAsia="宋体" w:cs="宋体"/>
          <w:b/>
          <w:bCs/>
          <w:color w:val="auto"/>
          <w:highlight w:val="none"/>
          <w:u w:val="single"/>
          <w:lang w:val="en-US" w:eastAsia="zh-CN"/>
        </w:rPr>
      </w:pPr>
    </w:p>
    <w:p>
      <w:pPr>
        <w:jc w:val="both"/>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cumentProtection w:enforcement="0"/>
  <w:defaultTabStop w:val="420"/>
  <w:drawingGridHorizontalSpacing w:val="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1FE2FD8"/>
    <w:rsid w:val="03F1228C"/>
    <w:rsid w:val="046C4318"/>
    <w:rsid w:val="05165B63"/>
    <w:rsid w:val="05E05E4D"/>
    <w:rsid w:val="05ED7265"/>
    <w:rsid w:val="06420CFA"/>
    <w:rsid w:val="06503B59"/>
    <w:rsid w:val="065B6789"/>
    <w:rsid w:val="06F301FD"/>
    <w:rsid w:val="0752555A"/>
    <w:rsid w:val="07E45984"/>
    <w:rsid w:val="07EA04B8"/>
    <w:rsid w:val="0828699A"/>
    <w:rsid w:val="087D4021"/>
    <w:rsid w:val="08E1077C"/>
    <w:rsid w:val="09155E8F"/>
    <w:rsid w:val="097E3F67"/>
    <w:rsid w:val="09D9368A"/>
    <w:rsid w:val="09FE573C"/>
    <w:rsid w:val="0A0C6349"/>
    <w:rsid w:val="0A1347F5"/>
    <w:rsid w:val="0A1F3796"/>
    <w:rsid w:val="0A2A32B9"/>
    <w:rsid w:val="0B2A3F24"/>
    <w:rsid w:val="0B8E27E3"/>
    <w:rsid w:val="0BF71AE2"/>
    <w:rsid w:val="0C9C7394"/>
    <w:rsid w:val="0CA6603D"/>
    <w:rsid w:val="0D0B1B00"/>
    <w:rsid w:val="0D3F210A"/>
    <w:rsid w:val="0E36795A"/>
    <w:rsid w:val="0E4A4B6F"/>
    <w:rsid w:val="0E9465E2"/>
    <w:rsid w:val="0EAE473F"/>
    <w:rsid w:val="0EF65480"/>
    <w:rsid w:val="0F3349D0"/>
    <w:rsid w:val="10776FA2"/>
    <w:rsid w:val="10E7087B"/>
    <w:rsid w:val="10FA5463"/>
    <w:rsid w:val="11BA058F"/>
    <w:rsid w:val="12081858"/>
    <w:rsid w:val="12B62B3B"/>
    <w:rsid w:val="12F57C75"/>
    <w:rsid w:val="12F65E46"/>
    <w:rsid w:val="12F96486"/>
    <w:rsid w:val="13031153"/>
    <w:rsid w:val="13181417"/>
    <w:rsid w:val="135A629F"/>
    <w:rsid w:val="13CF7B8E"/>
    <w:rsid w:val="141523A9"/>
    <w:rsid w:val="14B80FF2"/>
    <w:rsid w:val="14C57FED"/>
    <w:rsid w:val="150C5665"/>
    <w:rsid w:val="15485BE1"/>
    <w:rsid w:val="15676B0A"/>
    <w:rsid w:val="15C56302"/>
    <w:rsid w:val="160940BB"/>
    <w:rsid w:val="160D3B96"/>
    <w:rsid w:val="1659752C"/>
    <w:rsid w:val="16CE5BE1"/>
    <w:rsid w:val="16E43A7F"/>
    <w:rsid w:val="175F7C56"/>
    <w:rsid w:val="185A3DA1"/>
    <w:rsid w:val="198C4B50"/>
    <w:rsid w:val="19BB4557"/>
    <w:rsid w:val="19DA4F78"/>
    <w:rsid w:val="19F13F4F"/>
    <w:rsid w:val="1A102675"/>
    <w:rsid w:val="1A3B5FB6"/>
    <w:rsid w:val="1A6560C3"/>
    <w:rsid w:val="1B280245"/>
    <w:rsid w:val="1B581220"/>
    <w:rsid w:val="1B843575"/>
    <w:rsid w:val="1BBE4697"/>
    <w:rsid w:val="1CD6762A"/>
    <w:rsid w:val="1D4D5B7F"/>
    <w:rsid w:val="1D5076C2"/>
    <w:rsid w:val="1D552DD9"/>
    <w:rsid w:val="1DA07D45"/>
    <w:rsid w:val="1DAB6D83"/>
    <w:rsid w:val="1E3173A3"/>
    <w:rsid w:val="1E792E51"/>
    <w:rsid w:val="1F0F5A19"/>
    <w:rsid w:val="1F1D6E1F"/>
    <w:rsid w:val="1F3E7F7D"/>
    <w:rsid w:val="1F51312D"/>
    <w:rsid w:val="1FC9553A"/>
    <w:rsid w:val="204D3B12"/>
    <w:rsid w:val="205A2AB3"/>
    <w:rsid w:val="20B6224D"/>
    <w:rsid w:val="21025026"/>
    <w:rsid w:val="21036497"/>
    <w:rsid w:val="21CE3241"/>
    <w:rsid w:val="22A04AF7"/>
    <w:rsid w:val="22A73C8E"/>
    <w:rsid w:val="22D3594B"/>
    <w:rsid w:val="22F12819"/>
    <w:rsid w:val="22F16CBB"/>
    <w:rsid w:val="234F46D7"/>
    <w:rsid w:val="237062CD"/>
    <w:rsid w:val="23753F06"/>
    <w:rsid w:val="238E1AAE"/>
    <w:rsid w:val="239D57D0"/>
    <w:rsid w:val="23DF60A6"/>
    <w:rsid w:val="24030B6D"/>
    <w:rsid w:val="24345B9A"/>
    <w:rsid w:val="245517BD"/>
    <w:rsid w:val="2483647E"/>
    <w:rsid w:val="256F076F"/>
    <w:rsid w:val="25AF7681"/>
    <w:rsid w:val="26820AF7"/>
    <w:rsid w:val="268D46D2"/>
    <w:rsid w:val="27947E62"/>
    <w:rsid w:val="27EB2573"/>
    <w:rsid w:val="28306E3E"/>
    <w:rsid w:val="28C67DC6"/>
    <w:rsid w:val="292668E3"/>
    <w:rsid w:val="29361BBD"/>
    <w:rsid w:val="2A124404"/>
    <w:rsid w:val="2A1B5D68"/>
    <w:rsid w:val="2A5975B6"/>
    <w:rsid w:val="2A991D32"/>
    <w:rsid w:val="2AB92324"/>
    <w:rsid w:val="2AD6555A"/>
    <w:rsid w:val="2B376BE0"/>
    <w:rsid w:val="2B5B0398"/>
    <w:rsid w:val="2C1B1E9D"/>
    <w:rsid w:val="2CAB68C5"/>
    <w:rsid w:val="2E354AE5"/>
    <w:rsid w:val="2E55749E"/>
    <w:rsid w:val="2EBC6D03"/>
    <w:rsid w:val="2F196945"/>
    <w:rsid w:val="2F1F666C"/>
    <w:rsid w:val="2FD32A37"/>
    <w:rsid w:val="30111202"/>
    <w:rsid w:val="30551FFC"/>
    <w:rsid w:val="311F702A"/>
    <w:rsid w:val="31331DE0"/>
    <w:rsid w:val="31A82883"/>
    <w:rsid w:val="320E3E15"/>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8E31C93"/>
    <w:rsid w:val="39775E90"/>
    <w:rsid w:val="39AC0F1B"/>
    <w:rsid w:val="39B95084"/>
    <w:rsid w:val="3A3E2041"/>
    <w:rsid w:val="3B131EF6"/>
    <w:rsid w:val="3B490D86"/>
    <w:rsid w:val="3BD74075"/>
    <w:rsid w:val="3C11318E"/>
    <w:rsid w:val="3C2F2290"/>
    <w:rsid w:val="3CF32E7A"/>
    <w:rsid w:val="3EA67C14"/>
    <w:rsid w:val="3EAD1B36"/>
    <w:rsid w:val="3F056B9E"/>
    <w:rsid w:val="3F354A62"/>
    <w:rsid w:val="3FB01289"/>
    <w:rsid w:val="3FE233B8"/>
    <w:rsid w:val="3FF54C55"/>
    <w:rsid w:val="40181F9C"/>
    <w:rsid w:val="406370BC"/>
    <w:rsid w:val="40DF388D"/>
    <w:rsid w:val="40FB7670"/>
    <w:rsid w:val="41B60000"/>
    <w:rsid w:val="423C06E2"/>
    <w:rsid w:val="42815397"/>
    <w:rsid w:val="42C94634"/>
    <w:rsid w:val="45540446"/>
    <w:rsid w:val="458F3937"/>
    <w:rsid w:val="459F641E"/>
    <w:rsid w:val="45A93DC9"/>
    <w:rsid w:val="45BB5620"/>
    <w:rsid w:val="45EC58A2"/>
    <w:rsid w:val="45F127ED"/>
    <w:rsid w:val="46263D02"/>
    <w:rsid w:val="46CD66A0"/>
    <w:rsid w:val="472803B7"/>
    <w:rsid w:val="478411E4"/>
    <w:rsid w:val="48021DEB"/>
    <w:rsid w:val="48204655"/>
    <w:rsid w:val="488B59A4"/>
    <w:rsid w:val="48CC5267"/>
    <w:rsid w:val="494502E1"/>
    <w:rsid w:val="494C4325"/>
    <w:rsid w:val="49BB2867"/>
    <w:rsid w:val="4A010AC9"/>
    <w:rsid w:val="4A5A3F8B"/>
    <w:rsid w:val="4A7F0ADF"/>
    <w:rsid w:val="4AA612F0"/>
    <w:rsid w:val="4B0D3113"/>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1216FC"/>
    <w:rsid w:val="50453627"/>
    <w:rsid w:val="50B73634"/>
    <w:rsid w:val="51434E1B"/>
    <w:rsid w:val="51504FE6"/>
    <w:rsid w:val="517B2B7B"/>
    <w:rsid w:val="52DD70AD"/>
    <w:rsid w:val="54E90CED"/>
    <w:rsid w:val="54E91D9C"/>
    <w:rsid w:val="55A47BB4"/>
    <w:rsid w:val="5625142C"/>
    <w:rsid w:val="56B44788"/>
    <w:rsid w:val="570528AC"/>
    <w:rsid w:val="57141583"/>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D160516"/>
    <w:rsid w:val="5D713BC5"/>
    <w:rsid w:val="5D7D0F36"/>
    <w:rsid w:val="5DB61BFF"/>
    <w:rsid w:val="5DEF454B"/>
    <w:rsid w:val="5E076A27"/>
    <w:rsid w:val="5E5A6C63"/>
    <w:rsid w:val="5F3C6712"/>
    <w:rsid w:val="5F4B58F3"/>
    <w:rsid w:val="6053481F"/>
    <w:rsid w:val="60553A8D"/>
    <w:rsid w:val="606E0DED"/>
    <w:rsid w:val="60AB2000"/>
    <w:rsid w:val="60F2599C"/>
    <w:rsid w:val="61C97391"/>
    <w:rsid w:val="61D85325"/>
    <w:rsid w:val="62860AAA"/>
    <w:rsid w:val="628B7CEE"/>
    <w:rsid w:val="629D5796"/>
    <w:rsid w:val="62B8299F"/>
    <w:rsid w:val="63FA4C5C"/>
    <w:rsid w:val="64102A52"/>
    <w:rsid w:val="64BC6713"/>
    <w:rsid w:val="659B5FFB"/>
    <w:rsid w:val="667B2171"/>
    <w:rsid w:val="66F54088"/>
    <w:rsid w:val="671E2162"/>
    <w:rsid w:val="67C2281F"/>
    <w:rsid w:val="680C1A56"/>
    <w:rsid w:val="684F0C72"/>
    <w:rsid w:val="688A2438"/>
    <w:rsid w:val="68D8721E"/>
    <w:rsid w:val="6A7F04CC"/>
    <w:rsid w:val="6A831914"/>
    <w:rsid w:val="6B610D05"/>
    <w:rsid w:val="6BAC21D5"/>
    <w:rsid w:val="6CED1CB3"/>
    <w:rsid w:val="6D3B42C3"/>
    <w:rsid w:val="6D5A3D63"/>
    <w:rsid w:val="6D9A4080"/>
    <w:rsid w:val="6E7E575F"/>
    <w:rsid w:val="6EC27507"/>
    <w:rsid w:val="6EF15941"/>
    <w:rsid w:val="6F926461"/>
    <w:rsid w:val="6F9921A1"/>
    <w:rsid w:val="6FA453FA"/>
    <w:rsid w:val="71EA2A00"/>
    <w:rsid w:val="720B7A64"/>
    <w:rsid w:val="720F6016"/>
    <w:rsid w:val="722D6F9E"/>
    <w:rsid w:val="726958B9"/>
    <w:rsid w:val="73407EBD"/>
    <w:rsid w:val="73932176"/>
    <w:rsid w:val="73EF4563"/>
    <w:rsid w:val="74037319"/>
    <w:rsid w:val="74175679"/>
    <w:rsid w:val="744124AA"/>
    <w:rsid w:val="74664F47"/>
    <w:rsid w:val="756E538F"/>
    <w:rsid w:val="75D950C9"/>
    <w:rsid w:val="76F41323"/>
    <w:rsid w:val="77100360"/>
    <w:rsid w:val="778222EA"/>
    <w:rsid w:val="778B4219"/>
    <w:rsid w:val="77A30DC4"/>
    <w:rsid w:val="77E0572E"/>
    <w:rsid w:val="77ED4104"/>
    <w:rsid w:val="78EF4372"/>
    <w:rsid w:val="79771B00"/>
    <w:rsid w:val="7980282D"/>
    <w:rsid w:val="798F6426"/>
    <w:rsid w:val="79B94653"/>
    <w:rsid w:val="7ACA272A"/>
    <w:rsid w:val="7B0E7C70"/>
    <w:rsid w:val="7B2E004A"/>
    <w:rsid w:val="7B76641B"/>
    <w:rsid w:val="7BBF1397"/>
    <w:rsid w:val="7CED52DC"/>
    <w:rsid w:val="7E6F339A"/>
    <w:rsid w:val="7E810662"/>
    <w:rsid w:val="7ED67E61"/>
    <w:rsid w:val="7F1A4B63"/>
    <w:rsid w:val="7F590AE3"/>
    <w:rsid w:val="7FB62CC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6"/>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annotation text"/>
    <w:basedOn w:val="1"/>
    <w:link w:val="18"/>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17"/>
    <w:uiPriority w:val="0"/>
    <w:rPr>
      <w:b/>
      <w:bCs/>
    </w:rPr>
  </w:style>
  <w:style w:type="table" w:styleId="12">
    <w:name w:val="Table Grid"/>
    <w:basedOn w:val="1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标题 1 Char"/>
    <w:link w:val="2"/>
    <w:uiPriority w:val="0"/>
    <w:rPr>
      <w:rFonts w:eastAsia="宋体"/>
      <w:b/>
      <w:kern w:val="44"/>
      <w:sz w:val="44"/>
    </w:rPr>
  </w:style>
  <w:style w:type="character" w:customStyle="1" w:styleId="17">
    <w:name w:val="批注主题 Char"/>
    <w:link w:val="10"/>
    <w:uiPriority w:val="0"/>
    <w:rPr>
      <w:rFonts w:ascii="Calibri" w:hAnsi="Calibri" w:cs="黑体"/>
      <w:b/>
      <w:bCs/>
      <w:kern w:val="2"/>
      <w:sz w:val="21"/>
      <w:szCs w:val="24"/>
    </w:rPr>
  </w:style>
  <w:style w:type="character" w:customStyle="1" w:styleId="18">
    <w:name w:val="批注文字 Char"/>
    <w:link w:val="5"/>
    <w:uiPriority w:val="0"/>
    <w:rPr>
      <w:rFonts w:ascii="Calibri" w:hAnsi="Calibri" w:cs="黑体"/>
      <w:kern w:val="2"/>
      <w:sz w:val="21"/>
      <w:szCs w:val="24"/>
    </w:rPr>
  </w:style>
  <w:style w:type="character" w:customStyle="1" w:styleId="19">
    <w:name w:val="标题 3 Char"/>
    <w:link w:val="4"/>
    <w:uiPriority w:val="0"/>
    <w:rPr>
      <w:rFonts w:hAnsi="Calibri" w:eastAsia="宋体"/>
      <w:b/>
      <w:sz w:val="24"/>
    </w:rPr>
  </w:style>
  <w:style w:type="character" w:customStyle="1" w:styleId="20">
    <w:name w:val="批注框文本 Char"/>
    <w:link w:val="6"/>
    <w:uiPriority w:val="0"/>
    <w:rPr>
      <w:rFonts w:ascii="Calibri" w:hAnsi="Calibri" w:cs="黑体"/>
      <w:kern w:val="2"/>
      <w:sz w:val="18"/>
      <w:szCs w:val="18"/>
    </w:rPr>
  </w:style>
  <w:style w:type="character" w:customStyle="1" w:styleId="21">
    <w:name w:val="标题 2 Char"/>
    <w:link w:val="3"/>
    <w:uiPriority w:val="0"/>
    <w:rPr>
      <w:rFonts w:ascii="Arial" w:hAnsi="Arial" w:eastAsia="宋体"/>
      <w:b/>
      <w:sz w:val="24"/>
    </w:rPr>
  </w:style>
  <w:style w:type="paragraph" w:customStyle="1" w:styleId="22">
    <w:name w:val="List Paragraph"/>
    <w:basedOn w:val="1"/>
    <w:unhideWhenUsed/>
    <w:uiPriority w:val="99"/>
    <w:pPr>
      <w:ind w:firstLine="420" w:firstLineChars="200"/>
    </w:pPr>
  </w:style>
  <w:style w:type="paragraph" w:customStyle="1" w:styleId="23">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2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37352</Words>
  <Characters>39911</Characters>
  <Lines>1</Lines>
  <Paragraphs>1</Paragraphs>
  <TotalTime>1</TotalTime>
  <ScaleCrop>false</ScaleCrop>
  <LinksUpToDate>false</LinksUpToDate>
  <CharactersWithSpaces>40136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2025-11-24T07:39:53Z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