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Style w:val="2"/>
        <w:bidi w:val="0"/>
        <w:rPr>
          <w:rFonts w:hint="eastAsia"/>
          <w:highlight w:val="none"/>
        </w:rPr>
      </w:pPr>
      <w:r>
        <w:rPr>
          <w:rFonts w:hint="eastAsia" w:ascii="宋体" w:hAnsi="宋体" w:eastAsia="宋体" w:cs="宋体"/>
          <w:b/>
          <w:highlight w:val="none"/>
        </w:rPr>
        <w:t>杭银理财幸福99</w:t>
      </w:r>
      <w:r>
        <w:rPr>
          <w:rFonts w:hint="eastAsia" w:ascii="宋体" w:hAnsi="宋体" w:cs="宋体"/>
          <w:b/>
          <w:highlight w:val="none"/>
          <w:lang w:eastAsia="zh-CN"/>
        </w:rPr>
        <w:t>半年添益2010期理财</w:t>
      </w:r>
      <w:r>
        <w:rPr>
          <w:rFonts w:hint="eastAsia" w:ascii="宋体" w:hAnsi="宋体" w:eastAsia="宋体" w:cs="宋体"/>
          <w:b/>
          <w:highlight w:val="none"/>
        </w:rPr>
        <w:t>风险揭示书</w:t>
      </w:r>
    </w:p>
    <w:p>
      <w:pPr>
        <w:jc w:val="center"/>
        <w:rPr>
          <w:rFonts w:hint="eastAsia" w:ascii="宋体" w:hAnsi="宋体" w:cs="宋体"/>
          <w:sz w:val="28"/>
          <w:szCs w:val="28"/>
          <w:highlight w:val="none"/>
        </w:rPr>
      </w:pPr>
      <w:r>
        <w:rPr>
          <w:rFonts w:hint="eastAsia" w:ascii="宋体" w:hAnsi="宋体" w:cs="宋体"/>
          <w:sz w:val="28"/>
          <w:szCs w:val="28"/>
          <w:highlight w:val="none"/>
        </w:rPr>
        <w:t>（202</w:t>
      </w:r>
      <w:r>
        <w:rPr>
          <w:rFonts w:hint="eastAsia" w:ascii="宋体" w:hAnsi="宋体" w:cs="宋体"/>
          <w:sz w:val="28"/>
          <w:szCs w:val="28"/>
          <w:highlight w:val="none"/>
          <w:lang w:val="en-US" w:eastAsia="zh-CN"/>
        </w:rPr>
        <w:t>2</w:t>
      </w:r>
      <w:r>
        <w:rPr>
          <w:rFonts w:hint="eastAsia" w:ascii="宋体" w:hAnsi="宋体" w:cs="宋体"/>
          <w:sz w:val="28"/>
          <w:szCs w:val="28"/>
          <w:highlight w:val="none"/>
        </w:rPr>
        <w:t>01版）</w:t>
      </w:r>
    </w:p>
    <w:p>
      <w:pPr>
        <w:spacing w:line="360" w:lineRule="auto"/>
        <w:jc w:val="left"/>
        <w:rPr>
          <w:rFonts w:hint="eastAsia" w:ascii="宋体" w:hAnsi="宋体" w:cs="宋体"/>
          <w:sz w:val="24"/>
          <w:highlight w:val="none"/>
        </w:rPr>
      </w:pPr>
      <w:r>
        <w:rPr>
          <w:rFonts w:hint="eastAsia" w:ascii="宋体" w:hAnsi="宋体" w:cs="宋体"/>
          <w:sz w:val="24"/>
          <w:highlight w:val="none"/>
        </w:rPr>
        <w:t>尊敬的理财投资者：</w:t>
      </w:r>
    </w:p>
    <w:p>
      <w:pPr>
        <w:spacing w:line="360" w:lineRule="auto"/>
        <w:jc w:val="center"/>
        <w:rPr>
          <w:rFonts w:hint="eastAsia" w:ascii="宋体" w:hAnsi="宋体" w:cs="宋体"/>
          <w:b/>
          <w:bCs/>
          <w:sz w:val="24"/>
          <w:highlight w:val="none"/>
          <w:u w:val="single"/>
        </w:rPr>
      </w:pPr>
      <w:r>
        <w:rPr>
          <w:rFonts w:hint="eastAsia" w:ascii="宋体" w:hAnsi="宋体" w:cs="宋体"/>
          <w:b/>
          <w:bCs/>
          <w:sz w:val="24"/>
          <w:highlight w:val="none"/>
          <w:u w:val="single"/>
        </w:rPr>
        <w:t>理财非存款、产品有风险、投资须谨慎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sz w:val="24"/>
          <w:highlight w:val="none"/>
        </w:rPr>
        <w:t>根据</w:t>
      </w:r>
      <w:r>
        <w:rPr>
          <w:rFonts w:hint="eastAsia" w:ascii="宋体" w:hAnsi="宋体" w:cs="宋体"/>
          <w:bCs/>
          <w:sz w:val="24"/>
          <w:highlight w:val="none"/>
          <w:lang w:eastAsia="zh-CN"/>
        </w:rPr>
        <w:t>国家金融监督管理总局</w:t>
      </w:r>
      <w:r>
        <w:rPr>
          <w:rFonts w:hint="eastAsia" w:ascii="宋体" w:hAnsi="宋体" w:cs="宋体"/>
          <w:bCs/>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sz w:val="24"/>
          <w:highlight w:val="none"/>
          <w:lang w:eastAsia="zh-CN"/>
        </w:rPr>
        <w:t>理财计划</w:t>
      </w:r>
      <w:r>
        <w:rPr>
          <w:rFonts w:hint="eastAsia" w:ascii="宋体" w:hAnsi="宋体" w:cs="宋体"/>
          <w:bCs/>
          <w:sz w:val="24"/>
          <w:highlight w:val="none"/>
        </w:rPr>
        <w:t>风险揭示书、理财计划说明书、投资者权益须知</w:t>
      </w:r>
      <w:r>
        <w:rPr>
          <w:rFonts w:hint="eastAsia" w:ascii="宋体" w:hAnsi="宋体" w:cs="宋体"/>
          <w:bCs/>
          <w:sz w:val="24"/>
          <w:highlight w:val="none"/>
          <w:lang w:eastAsia="zh-CN"/>
        </w:rPr>
        <w:t>、</w:t>
      </w:r>
      <w:r>
        <w:rPr>
          <w:rFonts w:hint="eastAsia" w:ascii="宋体" w:hAnsi="宋体" w:cs="宋体"/>
          <w:bCs/>
          <w:sz w:val="24"/>
          <w:highlight w:val="none"/>
        </w:rPr>
        <w:t>理财计划投资协议书</w:t>
      </w:r>
      <w:r>
        <w:rPr>
          <w:rFonts w:hint="eastAsia" w:ascii="宋体" w:hAnsi="宋体" w:cs="宋体"/>
          <w:bCs/>
          <w:sz w:val="24"/>
          <w:highlight w:val="none"/>
          <w:lang w:eastAsia="zh-CN"/>
        </w:rPr>
        <w:t>和理财计划销售协议书</w:t>
      </w:r>
      <w:r>
        <w:rPr>
          <w:rFonts w:hint="eastAsia" w:ascii="宋体" w:hAnsi="宋体" w:cs="宋体"/>
          <w:bCs/>
          <w:sz w:val="24"/>
          <w:highlight w:val="none"/>
        </w:rPr>
        <w:t>，</w:t>
      </w:r>
      <w:r>
        <w:rPr>
          <w:rFonts w:hint="eastAsia" w:ascii="宋体" w:hAnsi="宋体" w:cs="宋体"/>
          <w:b/>
          <w:bCs w:val="0"/>
          <w:sz w:val="24"/>
          <w:highlight w:val="none"/>
        </w:rPr>
        <w:t>若通过电子渠道购买的，成功交易后视同为投资者与管理人已完成理财计划交易合同的签订</w:t>
      </w:r>
      <w:r>
        <w:rPr>
          <w:rFonts w:hint="eastAsia" w:ascii="宋体" w:hAnsi="宋体" w:cs="宋体"/>
          <w:bCs/>
          <w:sz w:val="24"/>
          <w:highlight w:val="none"/>
        </w:rPr>
        <w:t>），了解理财计划相关具体情况，并确保已评估自身的风险承受能力和理财计划相关风险后，谨慎投资。</w:t>
      </w:r>
      <w:r>
        <w:rPr>
          <w:rFonts w:hint="eastAsia" w:ascii="宋体" w:hAnsi="宋体" w:cs="宋体"/>
          <w:b/>
          <w:sz w:val="24"/>
          <w:highlight w:val="none"/>
        </w:rPr>
        <w:t>如影响您风险承受能力的因素发生变化，请及时更新风险承受能力评估。</w:t>
      </w:r>
    </w:p>
    <w:p>
      <w:pPr>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s="宋体"/>
          <w:bCs/>
          <w:sz w:val="24"/>
          <w:highlight w:val="none"/>
        </w:rPr>
      </w:pPr>
      <w:r>
        <w:rPr>
          <w:rFonts w:hint="eastAsia" w:ascii="宋体" w:hAnsi="宋体" w:cs="宋体"/>
          <w:bCs/>
          <w:sz w:val="24"/>
          <w:highlight w:val="none"/>
        </w:rPr>
        <w:t>请您根据自身理财目标、投资经验、财务状况、风险承受能力以及其他相关情况慎重购买理财计划。本风险揭示书列示的可能涉及的风险包括但不限于：</w:t>
      </w:r>
    </w:p>
    <w:p>
      <w:pPr>
        <w:pStyle w:val="3"/>
        <w:pageBreakBefore w:val="0"/>
        <w:widowControl w:val="0"/>
        <w:numPr>
          <w:ilvl w:val="0"/>
          <w:numId w:val="1"/>
        </w:numPr>
        <w:kinsoku/>
        <w:wordWrap/>
        <w:overflowPunct/>
        <w:topLinePunct w:val="0"/>
        <w:autoSpaceDE/>
        <w:autoSpaceDN/>
        <w:bidi w:val="0"/>
        <w:adjustRightInd/>
        <w:snapToGrid/>
        <w:spacing w:line="360" w:lineRule="auto"/>
        <w:ind w:firstLine="482" w:firstLineChars="200"/>
        <w:textAlignment w:val="auto"/>
        <w:rPr>
          <w:rFonts w:hint="eastAsia"/>
          <w:highlight w:val="none"/>
        </w:rPr>
      </w:pPr>
      <w:r>
        <w:rPr>
          <w:rFonts w:hint="eastAsia"/>
          <w:highlight w:val="none"/>
        </w:rPr>
        <w:t>理财计划共性风险</w:t>
      </w:r>
    </w:p>
    <w:p>
      <w:pPr>
        <w:pStyle w:val="4"/>
        <w:numPr>
          <w:ilvl w:val="0"/>
          <w:numId w:val="2"/>
        </w:numPr>
        <w:bidi w:val="0"/>
        <w:ind w:firstLine="482" w:firstLineChars="200"/>
        <w:rPr>
          <w:highlight w:val="none"/>
        </w:rPr>
      </w:pPr>
      <w:r>
        <w:rPr>
          <w:rStyle w:val="21"/>
          <w:rFonts w:hint="eastAsia"/>
          <w:b/>
          <w:highlight w:val="none"/>
        </w:rPr>
        <w:t>信用风险：</w:t>
      </w:r>
      <w:r>
        <w:rPr>
          <w:rFonts w:hint="eastAsia"/>
          <w:highlight w:val="none"/>
        </w:rPr>
        <w:t>理财计划所投资产的相关义务人信用状况恶化，出现信用违约情形，则理财计划本金或收益蒙受部分或全部损失的风险。</w:t>
      </w:r>
    </w:p>
    <w:p>
      <w:pPr>
        <w:pStyle w:val="4"/>
        <w:numPr>
          <w:ilvl w:val="0"/>
          <w:numId w:val="2"/>
        </w:numPr>
        <w:bidi w:val="0"/>
        <w:ind w:firstLine="482" w:firstLineChars="200"/>
        <w:rPr>
          <w:rFonts w:hint="eastAsia"/>
          <w:highlight w:val="none"/>
        </w:rPr>
      </w:pPr>
      <w:r>
        <w:rPr>
          <w:rFonts w:hint="eastAsia"/>
          <w:b/>
          <w:highlight w:val="none"/>
        </w:rPr>
        <w:t>市场风险：</w:t>
      </w:r>
      <w:r>
        <w:rPr>
          <w:rFonts w:hint="eastAsia"/>
          <w:highlight w:val="none"/>
        </w:rPr>
        <w:t>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rPr>
        <w:t>经济周期风险：随经济运行周期变化，证券市场的收益水平也呈周期性变化，从而对理财计划收益产生影响。</w:t>
      </w:r>
    </w:p>
    <w:p>
      <w:pPr>
        <w:numPr>
          <w:ilvl w:val="0"/>
          <w:numId w:val="3"/>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rPr>
        <w:t>购买力风险：如发生通货膨胀，则所投资产的收益可能会被通货膨胀抵消，从而对理财计划收益</w:t>
      </w:r>
      <w:r>
        <w:rPr>
          <w:rFonts w:hint="eastAsia" w:ascii="宋体" w:hAnsi="宋体" w:cs="宋体"/>
          <w:b/>
          <w:sz w:val="24"/>
          <w:highlight w:val="none"/>
          <w:lang w:eastAsia="zh-CN"/>
        </w:rPr>
        <w:t>的实际购买力</w:t>
      </w:r>
      <w:r>
        <w:rPr>
          <w:rFonts w:hint="eastAsia" w:ascii="宋体" w:hAnsi="宋体" w:cs="宋体"/>
          <w:b/>
          <w:sz w:val="24"/>
          <w:highlight w:val="none"/>
        </w:rPr>
        <w:t>产生影响。</w:t>
      </w:r>
    </w:p>
    <w:p>
      <w:pPr>
        <w:numPr>
          <w:ilvl w:val="0"/>
          <w:numId w:val="3"/>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rPr>
        <w:t>利率风险：金融市场利率波动会导致证券市场价格和收益率波动，从而对理财计划收益产生影响。</w:t>
      </w:r>
    </w:p>
    <w:p>
      <w:pPr>
        <w:numPr>
          <w:ilvl w:val="0"/>
          <w:numId w:val="3"/>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rPr>
        <w:t>汇率风险：理财计划如投资涉及非本国货币，则外汇市场可能会出现汇率波动，从而对理财计划收益产生影响。</w:t>
      </w:r>
    </w:p>
    <w:p>
      <w:pPr>
        <w:pStyle w:val="4"/>
        <w:numPr>
          <w:ilvl w:val="0"/>
          <w:numId w:val="4"/>
        </w:numPr>
        <w:bidi w:val="0"/>
        <w:ind w:firstLine="482" w:firstLineChars="200"/>
        <w:rPr>
          <w:highlight w:val="none"/>
        </w:rPr>
      </w:pPr>
      <w:r>
        <w:rPr>
          <w:rFonts w:hint="eastAsia"/>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pStyle w:val="4"/>
        <w:numPr>
          <w:ilvl w:val="0"/>
          <w:numId w:val="4"/>
        </w:numPr>
        <w:bidi w:val="0"/>
        <w:ind w:firstLine="482" w:firstLineChars="200"/>
        <w:rPr>
          <w:highlight w:val="none"/>
        </w:rPr>
      </w:pPr>
      <w:r>
        <w:rPr>
          <w:rFonts w:hint="eastAsia"/>
          <w:highlight w:val="none"/>
        </w:rPr>
        <w:t>政策风险：理财计划根据当前的相关法规和政策设计，如国家宏观政策以及相关市场法规发生变化，可能会影响理财计划的发行、投资、兑付等正常工作流程的进行，导致理财计划本金或收益蒙受部分或全部损失的风险。</w:t>
      </w:r>
    </w:p>
    <w:p>
      <w:pPr>
        <w:pStyle w:val="4"/>
        <w:numPr>
          <w:ilvl w:val="0"/>
          <w:numId w:val="4"/>
        </w:numPr>
        <w:bidi w:val="0"/>
        <w:ind w:firstLine="482" w:firstLineChars="200"/>
        <w:rPr>
          <w:highlight w:val="none"/>
        </w:rPr>
      </w:pPr>
      <w:r>
        <w:rPr>
          <w:rFonts w:hint="eastAsia"/>
          <w:highlight w:val="none"/>
        </w:rPr>
        <w:t>操作风险：理财计划由于内部作业、人员管理、系统操作、交易对手交易处理不当或失误等，导致理财计划本金或收益蒙受部分或全部损失的风险。</w:t>
      </w:r>
    </w:p>
    <w:p>
      <w:pPr>
        <w:pStyle w:val="4"/>
        <w:numPr>
          <w:ilvl w:val="0"/>
          <w:numId w:val="4"/>
        </w:numPr>
        <w:bidi w:val="0"/>
        <w:ind w:firstLine="482" w:firstLineChars="200"/>
        <w:rPr>
          <w:highlight w:val="none"/>
        </w:rPr>
      </w:pPr>
      <w:r>
        <w:rPr>
          <w:rFonts w:hint="eastAsia"/>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pStyle w:val="4"/>
        <w:numPr>
          <w:ilvl w:val="0"/>
          <w:numId w:val="4"/>
        </w:numPr>
        <w:bidi w:val="0"/>
        <w:ind w:firstLine="482" w:firstLineChars="200"/>
        <w:rPr>
          <w:highlight w:val="none"/>
        </w:rPr>
      </w:pPr>
      <w:r>
        <w:rPr>
          <w:rFonts w:hint="eastAsia"/>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pStyle w:val="4"/>
        <w:numPr>
          <w:ilvl w:val="0"/>
          <w:numId w:val="4"/>
        </w:numPr>
        <w:bidi w:val="0"/>
        <w:ind w:firstLine="482" w:firstLineChars="200"/>
        <w:rPr>
          <w:highlight w:val="none"/>
        </w:rPr>
      </w:pPr>
      <w:r>
        <w:rPr>
          <w:rFonts w:hint="eastAsia"/>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pStyle w:val="4"/>
        <w:numPr>
          <w:ilvl w:val="0"/>
          <w:numId w:val="4"/>
        </w:numPr>
        <w:bidi w:val="0"/>
        <w:ind w:firstLine="482" w:firstLineChars="200"/>
        <w:rPr>
          <w:highlight w:val="none"/>
        </w:rPr>
      </w:pPr>
      <w:r>
        <w:rPr>
          <w:rFonts w:hint="eastAsia"/>
          <w:highlight w:val="none"/>
        </w:rPr>
        <w:t>提前</w:t>
      </w:r>
      <w:r>
        <w:rPr>
          <w:rFonts w:hint="eastAsia" w:ascii="宋体" w:hAnsi="宋体" w:cs="宋体"/>
          <w:b/>
          <w:sz w:val="24"/>
          <w:highlight w:val="none"/>
          <w:lang w:eastAsia="zh-CN"/>
        </w:rPr>
        <w:t>或延期</w:t>
      </w:r>
      <w:r>
        <w:rPr>
          <w:rFonts w:hint="eastAsia" w:ascii="宋体" w:hAnsi="宋体" w:cs="宋体"/>
          <w:b/>
          <w:sz w:val="24"/>
          <w:highlight w:val="none"/>
        </w:rPr>
        <w:t>终止风险：为保护投资者利益，在理财计划存续期间，管理人可根据理财计划说明书约定的情形提前</w:t>
      </w:r>
      <w:r>
        <w:rPr>
          <w:rFonts w:hint="eastAsia" w:ascii="宋体" w:hAnsi="宋体" w:cs="宋体"/>
          <w:b/>
          <w:sz w:val="24"/>
          <w:highlight w:val="none"/>
          <w:lang w:eastAsia="zh-CN"/>
        </w:rPr>
        <w:t>或延期</w:t>
      </w:r>
      <w:r>
        <w:rPr>
          <w:rFonts w:hint="eastAsia" w:ascii="宋体" w:hAnsi="宋体" w:cs="宋体"/>
          <w:b/>
          <w:sz w:val="24"/>
          <w:highlight w:val="none"/>
        </w:rPr>
        <w:t>终止本理财计划。如理财计划被提前</w:t>
      </w:r>
      <w:r>
        <w:rPr>
          <w:rFonts w:hint="eastAsia" w:ascii="宋体" w:hAnsi="宋体" w:cs="宋体"/>
          <w:b/>
          <w:sz w:val="24"/>
          <w:highlight w:val="none"/>
          <w:lang w:eastAsia="zh-CN"/>
        </w:rPr>
        <w:t>或延期</w:t>
      </w:r>
      <w:r>
        <w:rPr>
          <w:rFonts w:hint="eastAsia" w:ascii="宋体" w:hAnsi="宋体" w:cs="宋体"/>
          <w:b/>
          <w:sz w:val="24"/>
          <w:highlight w:val="none"/>
        </w:rPr>
        <w:t>终止，则投资者将面临提前终止再投资</w:t>
      </w:r>
      <w:r>
        <w:rPr>
          <w:rFonts w:hint="eastAsia" w:ascii="宋体" w:hAnsi="宋体" w:cs="宋体"/>
          <w:b/>
          <w:sz w:val="24"/>
          <w:highlight w:val="none"/>
          <w:lang w:eastAsia="zh-CN"/>
        </w:rPr>
        <w:t>或延期兑付</w:t>
      </w:r>
      <w:r>
        <w:rPr>
          <w:rFonts w:hint="eastAsia" w:ascii="宋体" w:hAnsi="宋体" w:cs="宋体"/>
          <w:b/>
          <w:sz w:val="24"/>
          <w:highlight w:val="none"/>
        </w:rPr>
        <w:t>的风险。</w:t>
      </w:r>
    </w:p>
    <w:p>
      <w:pPr>
        <w:numPr>
          <w:ilvl w:val="0"/>
          <w:numId w:val="4"/>
        </w:numPr>
        <w:spacing w:line="360" w:lineRule="auto"/>
        <w:ind w:firstLine="482" w:firstLineChars="200"/>
        <w:jc w:val="left"/>
        <w:outlineLvl w:val="2"/>
        <w:rPr>
          <w:rFonts w:hint="eastAsia" w:ascii="Calibri" w:hAnsi="Calibri" w:eastAsia="宋体" w:cs="黑体"/>
          <w:b/>
          <w:kern w:val="2"/>
          <w:sz w:val="24"/>
          <w:szCs w:val="24"/>
          <w:highlight w:val="none"/>
          <w:lang w:val="en-US" w:eastAsia="zh-CN" w:bidi="ar-SA"/>
        </w:rPr>
      </w:pPr>
      <w:r>
        <w:rPr>
          <w:rStyle w:val="23"/>
          <w:rFonts w:hint="eastAsia"/>
          <w:highlight w:val="none"/>
          <w:lang w:val="en-US" w:eastAsia="zh-CN"/>
        </w:rPr>
        <w:t>信息传递风险：</w:t>
      </w:r>
      <w:r>
        <w:rPr>
          <w:rFonts w:hint="eastAsia"/>
          <w:b/>
          <w:bCs/>
          <w:highlight w:val="none"/>
          <w:lang w:val="en-US" w:eastAsia="zh-CN"/>
        </w:rPr>
        <w:t>由于投资者未能及时主动了解理财计划信息，或由于通信故障、系统故障以及其他不可抗力等因素的影响，使得投资者无法及时了解理财计划信息，而导致投资者无法及时做出合理决策，导致理财计划本金或收益蒙受部分或全部损失的风险。</w:t>
      </w:r>
    </w:p>
    <w:p>
      <w:pPr>
        <w:pStyle w:val="4"/>
        <w:numPr>
          <w:ilvl w:val="0"/>
          <w:numId w:val="4"/>
        </w:numPr>
        <w:bidi w:val="0"/>
        <w:rPr>
          <w:highlight w:val="none"/>
        </w:rPr>
      </w:pPr>
      <w:r>
        <w:rPr>
          <w:rFonts w:hint="eastAsia"/>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highlight w:val="none"/>
          <w:lang w:eastAsia="zh-CN"/>
        </w:rPr>
        <w:t>理</w:t>
      </w:r>
      <w:r>
        <w:rPr>
          <w:rFonts w:hint="eastAsia"/>
          <w:highlight w:val="none"/>
        </w:rPr>
        <w:t>财计划本金或收益蒙受部分或全部损失的风险。</w:t>
      </w:r>
    </w:p>
    <w:p>
      <w:pPr>
        <w:numPr>
          <w:ilvl w:val="0"/>
          <w:numId w:val="4"/>
        </w:numPr>
        <w:spacing w:line="360" w:lineRule="auto"/>
        <w:ind w:firstLine="482" w:firstLineChars="200"/>
        <w:jc w:val="left"/>
        <w:outlineLvl w:val="2"/>
        <w:rPr>
          <w:rFonts w:ascii="宋体" w:hAnsi="宋体" w:cs="宋体"/>
          <w:b/>
          <w:sz w:val="24"/>
          <w:highlight w:val="none"/>
        </w:rPr>
      </w:pPr>
      <w:r>
        <w:rPr>
          <w:rFonts w:hint="eastAsia" w:ascii="宋体" w:hAnsi="宋体" w:cs="宋体"/>
          <w:b/>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ind w:firstLine="482" w:firstLineChars="200"/>
        <w:jc w:val="left"/>
        <w:outlineLvl w:val="2"/>
        <w:rPr>
          <w:rFonts w:ascii="宋体" w:hAnsi="宋体" w:cs="宋体"/>
          <w:b/>
          <w:sz w:val="24"/>
          <w:highlight w:val="none"/>
        </w:rPr>
      </w:pPr>
      <w:r>
        <w:rPr>
          <w:rFonts w:hint="eastAsia" w:ascii="宋体" w:hAnsi="宋体" w:cs="宋体"/>
          <w:b/>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ind w:firstLine="482" w:firstLineChars="200"/>
        <w:jc w:val="left"/>
        <w:outlineLvl w:val="2"/>
        <w:rPr>
          <w:rFonts w:ascii="宋体" w:hAnsi="宋体" w:cs="宋体"/>
          <w:b/>
          <w:sz w:val="24"/>
          <w:highlight w:val="none"/>
        </w:rPr>
      </w:pPr>
      <w:r>
        <w:rPr>
          <w:rFonts w:hint="eastAsia" w:ascii="宋体" w:hAnsi="宋体" w:cs="宋体"/>
          <w:b/>
          <w:sz w:val="24"/>
          <w:highlight w:val="none"/>
        </w:rPr>
        <w:t>代销风险：本理财计划通过代销渠道销售，投资者认</w:t>
      </w:r>
      <w:r>
        <w:rPr>
          <w:rFonts w:hint="eastAsia" w:ascii="宋体" w:hAnsi="宋体" w:cs="宋体"/>
          <w:b/>
          <w:sz w:val="24"/>
          <w:highlight w:val="none"/>
          <w:lang w:val="en-US" w:eastAsia="zh-CN"/>
        </w:rPr>
        <w:t>/申</w:t>
      </w:r>
      <w:r>
        <w:rPr>
          <w:rFonts w:hint="eastAsia" w:ascii="宋体" w:hAnsi="宋体" w:cs="宋体"/>
          <w:b/>
          <w:sz w:val="24"/>
          <w:highlight w:val="none"/>
        </w:rPr>
        <w:t>购理财计划的资金由销售机构从投资者资金账户扣收；理财计划到期</w:t>
      </w:r>
      <w:r>
        <w:rPr>
          <w:rFonts w:hint="eastAsia" w:ascii="宋体" w:hAnsi="宋体" w:cs="宋体"/>
          <w:b/>
          <w:sz w:val="24"/>
          <w:highlight w:val="none"/>
          <w:lang w:val="en-US" w:eastAsia="zh-CN"/>
        </w:rPr>
        <w:t>/赎回</w:t>
      </w:r>
      <w:r>
        <w:rPr>
          <w:rFonts w:hint="eastAsia" w:ascii="宋体" w:hAnsi="宋体" w:cs="宋体"/>
          <w:b/>
          <w:sz w:val="24"/>
          <w:highlight w:val="none"/>
        </w:rPr>
        <w:t>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2"/>
        <w:rPr>
          <w:rFonts w:ascii="宋体" w:hAnsi="宋体" w:cs="宋体"/>
          <w:b/>
          <w:sz w:val="24"/>
          <w:highlight w:val="none"/>
        </w:rPr>
      </w:pPr>
      <w:r>
        <w:rPr>
          <w:rFonts w:ascii="宋体" w:hAnsi="宋体" w:cs="宋体"/>
          <w:b/>
          <w:sz w:val="24"/>
          <w:highlight w:val="none"/>
        </w:rPr>
        <w:t>关联关系风险：本理财</w:t>
      </w:r>
      <w:r>
        <w:rPr>
          <w:rFonts w:hint="eastAsia" w:ascii="宋体" w:hAnsi="宋体" w:cs="宋体"/>
          <w:b/>
          <w:sz w:val="24"/>
          <w:highlight w:val="none"/>
          <w:lang w:eastAsia="zh-CN"/>
        </w:rPr>
        <w:t>计划</w:t>
      </w:r>
      <w:r>
        <w:rPr>
          <w:rFonts w:ascii="宋体" w:hAnsi="宋体" w:cs="宋体"/>
          <w:b/>
          <w:sz w:val="24"/>
          <w:highlight w:val="none"/>
        </w:rPr>
        <w:t>销售机构</w:t>
      </w:r>
      <w:r>
        <w:rPr>
          <w:rFonts w:hint="eastAsia" w:ascii="宋体" w:hAnsi="宋体" w:cs="宋体"/>
          <w:b/>
          <w:sz w:val="24"/>
          <w:highlight w:val="none"/>
          <w:lang w:eastAsia="zh-CN"/>
        </w:rPr>
        <w:t>之一</w:t>
      </w:r>
      <w:r>
        <w:rPr>
          <w:rFonts w:ascii="宋体" w:hAnsi="宋体" w:cs="宋体"/>
          <w:b/>
          <w:sz w:val="24"/>
          <w:highlight w:val="none"/>
        </w:rPr>
        <w:t>为杭州银行股份有限公司，杭银理财系杭州银行全资子公司，双方存在关联关系。杭州银行作为本理财</w:t>
      </w:r>
      <w:r>
        <w:rPr>
          <w:rFonts w:hint="eastAsia" w:ascii="宋体" w:hAnsi="宋体" w:cs="宋体"/>
          <w:b/>
          <w:sz w:val="24"/>
          <w:highlight w:val="none"/>
          <w:lang w:eastAsia="zh-CN"/>
        </w:rPr>
        <w:t>计划</w:t>
      </w:r>
      <w:r>
        <w:rPr>
          <w:rFonts w:ascii="宋体" w:hAnsi="宋体" w:cs="宋体"/>
          <w:b/>
          <w:sz w:val="24"/>
          <w:highlight w:val="none"/>
        </w:rPr>
        <w:t>销售机构将按照法律法规、监管规定，执行不低于代理销售其他机构发行管理的理财产品的准入标准、风险评级、销售管理等要求；杭州银行作为销售机构不保证本</w:t>
      </w:r>
      <w:r>
        <w:rPr>
          <w:rFonts w:hint="eastAsia" w:ascii="宋体" w:hAnsi="宋体" w:cs="宋体"/>
          <w:b/>
          <w:sz w:val="24"/>
          <w:highlight w:val="none"/>
          <w:lang w:eastAsia="zh-CN"/>
        </w:rPr>
        <w:t>理财计划</w:t>
      </w:r>
      <w:r>
        <w:rPr>
          <w:rFonts w:ascii="宋体" w:hAnsi="宋体" w:cs="宋体"/>
          <w:b/>
          <w:sz w:val="24"/>
          <w:highlight w:val="none"/>
        </w:rPr>
        <w:t>收益，不承担</w:t>
      </w:r>
      <w:r>
        <w:rPr>
          <w:rFonts w:hint="eastAsia" w:ascii="宋体" w:hAnsi="宋体" w:cs="宋体"/>
          <w:b/>
          <w:sz w:val="24"/>
          <w:highlight w:val="none"/>
          <w:lang w:eastAsia="zh-CN"/>
        </w:rPr>
        <w:t>理财计划</w:t>
      </w:r>
      <w:r>
        <w:rPr>
          <w:rFonts w:ascii="宋体" w:hAnsi="宋体" w:cs="宋体"/>
          <w:b/>
          <w:sz w:val="24"/>
          <w:highlight w:val="none"/>
        </w:rPr>
        <w:t>的投资、兑付和风险管理责任。</w:t>
      </w: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理财计划特定风险</w:t>
      </w:r>
    </w:p>
    <w:p>
      <w:pPr>
        <w:numPr>
          <w:ilvl w:val="0"/>
          <w:numId w:val="5"/>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资金流动性风险：本理财</w:t>
      </w:r>
      <w:r>
        <w:rPr>
          <w:rFonts w:hint="eastAsia" w:ascii="宋体" w:hAnsi="宋体" w:cs="宋体"/>
          <w:b/>
          <w:sz w:val="24"/>
          <w:highlight w:val="none"/>
          <w:lang w:val="en-US" w:eastAsia="zh-CN"/>
        </w:rPr>
        <w:t>计划</w:t>
      </w:r>
      <w:r>
        <w:rPr>
          <w:rFonts w:hint="eastAsia" w:ascii="宋体" w:hAnsi="宋体" w:cs="宋体"/>
          <w:b/>
          <w:sz w:val="24"/>
          <w:highlight w:val="none"/>
        </w:rPr>
        <w:t>定期开放申购、赎回，非开放期内投资者不得提前交易。</w:t>
      </w:r>
    </w:p>
    <w:p>
      <w:pPr>
        <w:numPr>
          <w:ilvl w:val="0"/>
          <w:numId w:val="5"/>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收益不达业绩比较基准风险：业绩比较基准并非预测收益，不代表产品的未来表现和实际收益；本理财</w:t>
      </w:r>
      <w:r>
        <w:rPr>
          <w:rFonts w:hint="eastAsia" w:ascii="宋体" w:hAnsi="宋体" w:cs="宋体"/>
          <w:b/>
          <w:sz w:val="24"/>
          <w:highlight w:val="none"/>
          <w:lang w:val="en-US" w:eastAsia="zh-CN"/>
        </w:rPr>
        <w:t>计划</w:t>
      </w:r>
      <w:r>
        <w:rPr>
          <w:rFonts w:hint="eastAsia" w:ascii="宋体" w:hAnsi="宋体" w:cs="宋体"/>
          <w:b/>
          <w:sz w:val="24"/>
          <w:highlight w:val="none"/>
        </w:rPr>
        <w:t>的投资收益与投资者的申购、赎回时点密切相关，收益存在一定的波动性，产品本金出现损失的可能性不容忽视。</w:t>
      </w:r>
    </w:p>
    <w:p>
      <w:p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上述理财计划共性与特定风险发生时，投资者的本金及收益可能遭受损失，在最不利情形下，将损失全部本金及收益，由此产生的风险及损失将由投资者自行承担。</w:t>
      </w: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其他信息提示</w:t>
      </w:r>
    </w:p>
    <w:p>
      <w:pPr>
        <w:spacing w:line="360" w:lineRule="auto"/>
        <w:ind w:firstLine="480" w:firstLineChars="200"/>
        <w:jc w:val="left"/>
        <w:rPr>
          <w:rFonts w:ascii="宋体" w:hAnsi="宋体" w:cs="宋体"/>
          <w:b/>
          <w:sz w:val="24"/>
          <w:highlight w:val="none"/>
        </w:rPr>
      </w:pPr>
      <w:r>
        <w:rPr>
          <w:rFonts w:hint="eastAsia" w:ascii="宋体" w:hAnsi="宋体" w:cs="宋体"/>
          <w:bCs/>
          <w:sz w:val="24"/>
          <w:highlight w:val="none"/>
        </w:rPr>
        <w:t>根据现有法律法规及金融监管机构对于理财产品的相关分类，投资者还需了解以下信息：</w:t>
      </w:r>
    </w:p>
    <w:p>
      <w:pPr>
        <w:numPr>
          <w:ilvl w:val="0"/>
          <w:numId w:val="6"/>
        </w:numPr>
        <w:spacing w:line="360" w:lineRule="auto"/>
        <w:ind w:firstLine="482" w:firstLineChars="200"/>
        <w:jc w:val="left"/>
        <w:outlineLvl w:val="2"/>
        <w:rPr>
          <w:rFonts w:hint="eastAsia" w:ascii="宋体" w:hAnsi="宋体" w:cs="宋体"/>
          <w:bCs/>
          <w:sz w:val="24"/>
          <w:highlight w:val="none"/>
        </w:rPr>
      </w:pPr>
      <w:r>
        <w:rPr>
          <w:rFonts w:hint="eastAsia" w:ascii="宋体" w:hAnsi="宋体" w:cs="宋体"/>
          <w:b/>
          <w:sz w:val="24"/>
          <w:highlight w:val="none"/>
        </w:rPr>
        <w:t>根据募集方式的不同，理财产品分为公募理财产品和私募理财产品。</w:t>
      </w:r>
      <w:r>
        <w:rPr>
          <w:rFonts w:hint="eastAsia" w:ascii="宋体" w:hAnsi="宋体" w:cs="宋体"/>
          <w:bCs/>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最近1年末净资产不低于1000万元人民币的法人或者依法成立的其他组织；</w:t>
      </w:r>
    </w:p>
    <w:p>
      <w:pPr>
        <w:numPr>
          <w:ilvl w:val="0"/>
          <w:numId w:val="7"/>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国务院银行业监督管理机构规定的其他情形。</w:t>
      </w:r>
    </w:p>
    <w:p>
      <w:pPr>
        <w:numPr>
          <w:ilvl w:val="0"/>
          <w:numId w:val="8"/>
        </w:numPr>
        <w:spacing w:line="360" w:lineRule="auto"/>
        <w:ind w:firstLine="482" w:firstLineChars="200"/>
        <w:jc w:val="left"/>
        <w:outlineLvl w:val="2"/>
        <w:rPr>
          <w:rFonts w:hint="eastAsia" w:ascii="宋体" w:hAnsi="宋体" w:cs="宋体"/>
          <w:bCs/>
          <w:sz w:val="24"/>
          <w:highlight w:val="none"/>
        </w:rPr>
      </w:pPr>
      <w:r>
        <w:rPr>
          <w:rFonts w:hint="eastAsia" w:ascii="宋体" w:hAnsi="宋体" w:cs="宋体"/>
          <w:b/>
          <w:sz w:val="24"/>
          <w:highlight w:val="none"/>
        </w:rPr>
        <w:t>根据投资性质的不同，理财产品分为固定收益类理财产品、权益类理财产品、商品及金融衍生品类理财产品和混合类理财产品。</w:t>
      </w:r>
      <w:r>
        <w:rPr>
          <w:rFonts w:hint="eastAsia" w:ascii="宋体" w:hAnsi="宋体" w:cs="宋体"/>
          <w:bCs/>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ind w:firstLine="482" w:firstLineChars="200"/>
        <w:jc w:val="left"/>
        <w:outlineLvl w:val="2"/>
        <w:rPr>
          <w:rFonts w:hint="eastAsia" w:ascii="宋体" w:hAnsi="宋体" w:cs="宋体"/>
          <w:bCs/>
          <w:sz w:val="24"/>
          <w:highlight w:val="none"/>
        </w:rPr>
      </w:pPr>
      <w:r>
        <w:rPr>
          <w:rFonts w:hint="eastAsia" w:ascii="宋体" w:hAnsi="宋体" w:cs="宋体"/>
          <w:b/>
          <w:sz w:val="24"/>
          <w:highlight w:val="none"/>
        </w:rPr>
        <w:t>根据运作方式的不同，将理财产品分为封闭式理财产品和开放式理财产品。</w:t>
      </w:r>
      <w:r>
        <w:rPr>
          <w:rFonts w:hint="eastAsia" w:ascii="宋体" w:hAnsi="宋体" w:cs="宋体"/>
          <w:bCs/>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本理财计划为公募、开放式、〖</w:t>
      </w:r>
      <w:r>
        <w:rPr>
          <w:rFonts w:hint="eastAsia" w:ascii="宋体" w:hAnsi="宋体" w:cs="宋体"/>
          <w:b/>
          <w:sz w:val="24"/>
          <w:highlight w:val="none"/>
          <w:lang w:val="en-US" w:eastAsia="zh-CN"/>
        </w:rPr>
        <w:t>固定收益</w:t>
      </w:r>
      <w:r>
        <w:rPr>
          <w:rFonts w:hint="eastAsia" w:ascii="宋体" w:hAnsi="宋体" w:cs="宋体"/>
          <w:b/>
          <w:sz w:val="24"/>
          <w:highlight w:val="none"/>
        </w:rPr>
        <w:t>类〗净值型理财计划，</w:t>
      </w:r>
      <w:r>
        <w:rPr>
          <w:rFonts w:hint="eastAsia" w:ascii="宋体" w:hAnsi="宋体" w:cs="宋体"/>
          <w:b/>
          <w:sz w:val="24"/>
          <w:highlight w:val="none"/>
        </w:rPr>
        <w:t>〖</w:t>
      </w:r>
      <w:r>
        <w:rPr>
          <w:rFonts w:hint="eastAsia" w:ascii="宋体" w:hAnsi="宋体" w:cs="宋体"/>
          <w:b/>
          <w:sz w:val="24"/>
          <w:highlight w:val="none"/>
          <w:lang w:eastAsia="zh-CN"/>
        </w:rPr>
        <w:t>无固定期限</w:t>
      </w:r>
      <w:r>
        <w:rPr>
          <w:rFonts w:hint="eastAsia" w:ascii="宋体" w:hAnsi="宋体" w:cs="宋体"/>
          <w:b/>
          <w:sz w:val="24"/>
          <w:highlight w:val="none"/>
        </w:rPr>
        <w:t>〗，</w:t>
      </w:r>
      <w:r>
        <w:rPr>
          <w:rFonts w:hint="eastAsia" w:ascii="宋体" w:hAnsi="宋体" w:cs="宋体"/>
          <w:b/>
          <w:sz w:val="24"/>
          <w:highlight w:val="none"/>
        </w:rPr>
        <w:t>不保证本金与收益。根据本公司理财产品内部风险评级，该理财计划风险评级结果为〖R</w:t>
      </w:r>
      <w:r>
        <w:rPr>
          <w:rFonts w:hint="eastAsia" w:ascii="宋体" w:hAnsi="宋体" w:cs="宋体"/>
          <w:b/>
          <w:sz w:val="24"/>
          <w:highlight w:val="none"/>
          <w:lang w:val="en-US" w:eastAsia="zh-CN"/>
        </w:rPr>
        <w:t>2</w:t>
      </w:r>
      <w:r>
        <w:rPr>
          <w:rFonts w:hint="eastAsia" w:ascii="宋体" w:hAnsi="宋体" w:cs="宋体"/>
          <w:b/>
          <w:sz w:val="24"/>
          <w:highlight w:val="none"/>
        </w:rPr>
        <w:t>〗,〖</w:t>
      </w:r>
      <w:r>
        <w:rPr>
          <w:rFonts w:hint="eastAsia" w:ascii="宋体" w:hAnsi="宋体" w:cs="宋体"/>
          <w:b/>
          <w:sz w:val="24"/>
          <w:highlight w:val="none"/>
          <w:lang w:val="en-US" w:eastAsia="zh-CN"/>
        </w:rPr>
        <w:t>中低</w:t>
      </w:r>
      <w:r>
        <w:rPr>
          <w:rFonts w:hint="eastAsia" w:ascii="宋体" w:hAnsi="宋体" w:cs="宋体"/>
          <w:b/>
          <w:sz w:val="24"/>
          <w:highlight w:val="none"/>
        </w:rPr>
        <w:t>〗风险</w:t>
      </w:r>
      <w:r>
        <w:rPr>
          <w:rFonts w:hint="eastAsia" w:ascii="宋体" w:hAnsi="宋体" w:cs="宋体"/>
          <w:bCs/>
          <w:sz w:val="24"/>
          <w:highlight w:val="none"/>
        </w:rPr>
        <w:t>（本风险等级为我公司内部风险评级结果，仅供参考</w:t>
      </w:r>
      <w:r>
        <w:rPr>
          <w:rFonts w:hint="eastAsia" w:ascii="宋体" w:hAnsi="宋体" w:cs="宋体"/>
          <w:bCs/>
          <w:sz w:val="24"/>
          <w:highlight w:val="none"/>
          <w:lang w:eastAsia="zh-CN"/>
        </w:rPr>
        <w:t>，</w:t>
      </w:r>
      <w:r>
        <w:rPr>
          <w:rFonts w:hint="eastAsia" w:ascii="宋体" w:hAnsi="宋体" w:cs="宋体"/>
          <w:bCs/>
          <w:sz w:val="24"/>
          <w:highlight w:val="none"/>
          <w:lang w:val="en-US" w:eastAsia="zh-CN"/>
        </w:rPr>
        <w:t>理财计划通过代理销售机构渠道销售的，理财计划产品评级应当以代理销售机构最终披露的评级结果为准</w:t>
      </w:r>
      <w:r>
        <w:rPr>
          <w:rFonts w:hint="eastAsia" w:ascii="宋体" w:hAnsi="宋体" w:cs="宋体"/>
          <w:bCs/>
          <w:sz w:val="24"/>
          <w:highlight w:val="none"/>
        </w:rPr>
        <w:t>），</w:t>
      </w:r>
      <w:r>
        <w:rPr>
          <w:rFonts w:hint="eastAsia" w:ascii="宋体" w:hAnsi="宋体" w:cs="宋体"/>
          <w:b/>
          <w:sz w:val="24"/>
          <w:highlight w:val="none"/>
        </w:rPr>
        <w:t>总体风险〖程度较低，收益波动较小，虽然存在一些可能对产品本金和收益安全产生不利影响的因素，但产品本金出现损失的可能性较小〗。</w:t>
      </w:r>
    </w:p>
    <w:p>
      <w:pPr>
        <w:spacing w:line="360" w:lineRule="auto"/>
        <w:ind w:firstLine="482" w:firstLineChars="200"/>
        <w:jc w:val="left"/>
        <w:rPr>
          <w:rFonts w:hint="eastAsia" w:ascii="宋体" w:hAnsi="宋体" w:cs="宋体"/>
          <w:bCs/>
          <w:sz w:val="24"/>
          <w:highlight w:val="none"/>
        </w:rPr>
      </w:pPr>
      <w:r>
        <w:rPr>
          <w:rFonts w:hint="eastAsia" w:ascii="宋体" w:hAnsi="宋体" w:cs="宋体"/>
          <w:b/>
          <w:sz w:val="24"/>
          <w:highlight w:val="none"/>
        </w:rPr>
        <w:t>本理财计划适合〖机构投资者〗以及〖稳健型、平衡型、成长型、进取型〗的个人投资者</w:t>
      </w:r>
      <w:r>
        <w:rPr>
          <w:rFonts w:hint="eastAsia" w:ascii="宋体" w:hAnsi="宋体" w:cs="宋体"/>
          <w:b/>
          <w:sz w:val="24"/>
          <w:highlight w:val="none"/>
          <w:lang w:eastAsia="zh-CN"/>
        </w:rPr>
        <w:t>，</w:t>
      </w:r>
      <w:r>
        <w:rPr>
          <w:rFonts w:hint="eastAsia" w:ascii="宋体" w:hAnsi="宋体" w:cs="宋体"/>
          <w:b/>
          <w:sz w:val="24"/>
          <w:highlight w:val="none"/>
          <w:lang w:val="en-US" w:eastAsia="zh-CN"/>
        </w:rPr>
        <w:t>个人投资者的风险承受能力评估以销售机构为准</w:t>
      </w:r>
      <w:r>
        <w:rPr>
          <w:rFonts w:hint="eastAsia" w:ascii="宋体" w:hAnsi="宋体" w:cs="宋体"/>
          <w:b/>
          <w:sz w:val="24"/>
          <w:highlight w:val="none"/>
        </w:rPr>
        <w:t>。</w:t>
      </w:r>
      <w:r>
        <w:rPr>
          <w:rFonts w:hint="eastAsia" w:ascii="宋体" w:hAnsi="宋体" w:cs="宋体"/>
          <w:bCs/>
          <w:sz w:val="24"/>
          <w:highlight w:val="none"/>
        </w:rPr>
        <w:t>本理财计划投资者适当性评估由销售机构负责，销售机构应确保个人投资者的风险承受能力不低于本理财计划风险评级。</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上述风险客观存在，敬请投资者予以充分关注！</w:t>
      </w:r>
    </w:p>
    <w:p>
      <w:pPr>
        <w:spacing w:line="360" w:lineRule="auto"/>
        <w:ind w:firstLine="480" w:firstLineChars="200"/>
        <w:jc w:val="righ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特别提示：杭银理财有限责任公司作为本</w:t>
      </w:r>
      <w:r>
        <w:rPr>
          <w:rFonts w:hint="eastAsia" w:ascii="宋体" w:hAnsi="宋体" w:cs="宋体"/>
          <w:bCs/>
          <w:sz w:val="24"/>
          <w:highlight w:val="none"/>
          <w:lang w:eastAsia="zh-CN"/>
        </w:rPr>
        <w:t>理财计划</w:t>
      </w:r>
      <w:r>
        <w:rPr>
          <w:rFonts w:hint="eastAsia" w:ascii="宋体" w:hAnsi="宋体" w:cs="宋体"/>
          <w:bCs/>
          <w:sz w:val="24"/>
          <w:highlight w:val="none"/>
        </w:rPr>
        <w:t>管理人</w:t>
      </w:r>
      <w:r>
        <w:rPr>
          <w:rFonts w:hint="eastAsia" w:ascii="宋体" w:hAnsi="宋体" w:cs="宋体"/>
          <w:bCs/>
          <w:sz w:val="24"/>
          <w:szCs w:val="24"/>
          <w:highlight w:val="none"/>
        </w:rPr>
        <w:t>有权按照</w:t>
      </w:r>
      <w:r>
        <w:rPr>
          <w:rFonts w:hint="eastAsia" w:ascii="宋体" w:hAnsi="宋体" w:cs="宋体"/>
          <w:bCs/>
          <w:sz w:val="24"/>
          <w:highlight w:val="none"/>
        </w:rPr>
        <w:t>国内外反洗钱相关适用的</w:t>
      </w:r>
      <w:r>
        <w:rPr>
          <w:rFonts w:hint="eastAsia" w:ascii="宋体" w:hAnsi="宋体" w:cs="宋体"/>
          <w:bCs/>
          <w:sz w:val="24"/>
          <w:szCs w:val="24"/>
          <w:highlight w:val="none"/>
        </w:rPr>
        <w:t>法律法规和监管要求，从</w:t>
      </w:r>
      <w:r>
        <w:rPr>
          <w:rFonts w:hint="eastAsia" w:ascii="宋体" w:hAnsi="宋体" w:cs="宋体"/>
          <w:bCs/>
          <w:sz w:val="24"/>
          <w:szCs w:val="24"/>
          <w:highlight w:val="none"/>
          <w:lang w:eastAsia="zh-CN"/>
        </w:rPr>
        <w:t>销售机构</w:t>
      </w:r>
      <w:r>
        <w:rPr>
          <w:rFonts w:hint="eastAsia" w:ascii="宋体" w:hAnsi="宋体" w:cs="宋体"/>
          <w:bCs/>
          <w:sz w:val="24"/>
          <w:szCs w:val="24"/>
          <w:highlight w:val="none"/>
        </w:rPr>
        <w:t>获</w:t>
      </w:r>
      <w:r>
        <w:rPr>
          <w:rFonts w:hint="eastAsia" w:ascii="宋体" w:hAnsi="宋体" w:cs="宋体"/>
          <w:bCs/>
          <w:sz w:val="24"/>
          <w:highlight w:val="none"/>
        </w:rPr>
        <w:t>得相应必要的</w:t>
      </w:r>
      <w:r>
        <w:rPr>
          <w:rFonts w:hint="eastAsia" w:ascii="宋体" w:hAnsi="宋体" w:cs="宋体"/>
          <w:bCs/>
          <w:sz w:val="24"/>
          <w:szCs w:val="24"/>
          <w:highlight w:val="none"/>
        </w:rPr>
        <w:t>投资者身份信息并报送投资者身份信息及其持有理财产品信息。</w:t>
      </w:r>
      <w:r>
        <w:rPr>
          <w:rFonts w:hint="eastAsia" w:ascii="宋体" w:hAnsi="宋体" w:cs="宋体"/>
          <w:bCs/>
          <w:sz w:val="24"/>
          <w:szCs w:val="24"/>
          <w:highlight w:val="none"/>
          <w:lang w:eastAsia="zh-CN"/>
        </w:rPr>
        <w:t>销售机构</w:t>
      </w:r>
      <w:r>
        <w:rPr>
          <w:rFonts w:hint="eastAsia" w:ascii="宋体" w:hAnsi="宋体" w:cs="宋体"/>
          <w:bCs/>
          <w:sz w:val="24"/>
          <w:highlight w:val="none"/>
        </w:rPr>
        <w:t>将</w:t>
      </w:r>
      <w:r>
        <w:rPr>
          <w:rFonts w:hint="eastAsia" w:ascii="宋体" w:hAnsi="宋体" w:cs="宋体"/>
          <w:bCs/>
          <w:sz w:val="24"/>
          <w:szCs w:val="24"/>
          <w:highlight w:val="none"/>
        </w:rPr>
        <w:t>在</w:t>
      </w:r>
      <w:r>
        <w:rPr>
          <w:rFonts w:hint="eastAsia" w:ascii="宋体" w:hAnsi="宋体" w:cs="宋体"/>
          <w:bCs/>
          <w:sz w:val="24"/>
          <w:highlight w:val="none"/>
        </w:rPr>
        <w:t>合法、合理且必要时向管理人</w:t>
      </w:r>
      <w:r>
        <w:rPr>
          <w:rFonts w:hint="eastAsia" w:ascii="宋体" w:hAnsi="宋体" w:cs="宋体"/>
          <w:bCs/>
          <w:sz w:val="24"/>
          <w:szCs w:val="24"/>
          <w:highlight w:val="none"/>
        </w:rPr>
        <w:t>提供投资</w:t>
      </w:r>
      <w:r>
        <w:rPr>
          <w:rFonts w:hint="eastAsia" w:ascii="宋体" w:hAnsi="宋体" w:cs="宋体"/>
          <w:bCs/>
          <w:sz w:val="24"/>
          <w:highlight w:val="none"/>
        </w:rPr>
        <w:t>者身份识别</w:t>
      </w:r>
      <w:r>
        <w:rPr>
          <w:rFonts w:hint="eastAsia" w:ascii="宋体" w:hAnsi="宋体" w:cs="宋体"/>
          <w:bCs/>
          <w:sz w:val="24"/>
          <w:szCs w:val="24"/>
          <w:highlight w:val="none"/>
        </w:rPr>
        <w:t>信息（投资者身份</w:t>
      </w:r>
      <w:r>
        <w:rPr>
          <w:rFonts w:hint="eastAsia" w:ascii="宋体" w:hAnsi="宋体" w:cs="宋体"/>
          <w:bCs/>
          <w:sz w:val="24"/>
          <w:highlight w:val="none"/>
        </w:rPr>
        <w:t>识别</w:t>
      </w:r>
      <w:r>
        <w:rPr>
          <w:rFonts w:hint="eastAsia" w:ascii="宋体" w:hAnsi="宋体" w:cs="宋体"/>
          <w:bCs/>
          <w:sz w:val="24"/>
          <w:szCs w:val="24"/>
          <w:highlight w:val="none"/>
        </w:rPr>
        <w:t>信息包括</w:t>
      </w:r>
      <w:r>
        <w:rPr>
          <w:rFonts w:hint="eastAsia" w:ascii="宋体" w:hAnsi="宋体" w:cs="宋体"/>
          <w:bCs/>
          <w:sz w:val="24"/>
          <w:highlight w:val="none"/>
        </w:rPr>
        <w:t>但不限于</w:t>
      </w:r>
      <w:r>
        <w:rPr>
          <w:rFonts w:hint="eastAsia" w:ascii="宋体" w:hAnsi="宋体" w:cs="宋体"/>
          <w:bCs/>
          <w:sz w:val="24"/>
          <w:szCs w:val="24"/>
          <w:highlight w:val="none"/>
        </w:rPr>
        <w:t>：投资者的姓名、性别、国籍、职业、住所地或者工作单位地址、</w:t>
      </w:r>
      <w:r>
        <w:rPr>
          <w:rFonts w:hint="eastAsia" w:ascii="宋体" w:hAnsi="宋体" w:cs="宋体"/>
          <w:bCs/>
          <w:sz w:val="24"/>
          <w:highlight w:val="none"/>
        </w:rPr>
        <w:t>常居地地址、</w:t>
      </w:r>
      <w:r>
        <w:rPr>
          <w:rFonts w:hint="eastAsia" w:ascii="宋体" w:hAnsi="宋体" w:cs="宋体"/>
          <w:bCs/>
          <w:sz w:val="24"/>
          <w:szCs w:val="24"/>
          <w:highlight w:val="none"/>
        </w:rPr>
        <w:t>联系方式、身份证明文件的种类、号码和有效期限</w:t>
      </w:r>
      <w:r>
        <w:rPr>
          <w:rFonts w:hint="eastAsia" w:ascii="宋体" w:hAnsi="宋体" w:cs="宋体"/>
          <w:bCs/>
          <w:sz w:val="24"/>
          <w:highlight w:val="none"/>
        </w:rPr>
        <w:t>、代理人信息、受益所有人信息</w:t>
      </w:r>
      <w:r>
        <w:rPr>
          <w:rFonts w:hint="eastAsia" w:ascii="宋体" w:hAnsi="宋体" w:cs="宋体"/>
          <w:bCs/>
          <w:sz w:val="24"/>
          <w:szCs w:val="24"/>
          <w:highlight w:val="none"/>
        </w:rPr>
        <w:t>），以及</w:t>
      </w:r>
      <w:r>
        <w:rPr>
          <w:rFonts w:hint="eastAsia" w:ascii="宋体" w:hAnsi="宋体" w:cs="宋体"/>
          <w:bCs/>
          <w:sz w:val="24"/>
          <w:highlight w:val="none"/>
        </w:rPr>
        <w:t>在合法、合理且必要时进一步提供</w:t>
      </w:r>
      <w:r>
        <w:rPr>
          <w:rFonts w:hint="eastAsia" w:ascii="宋体" w:hAnsi="宋体" w:cs="宋体"/>
          <w:bCs/>
          <w:sz w:val="24"/>
          <w:szCs w:val="24"/>
          <w:highlight w:val="none"/>
        </w:rPr>
        <w:t>身份证明文件的复印件和影印件</w:t>
      </w:r>
      <w:r>
        <w:rPr>
          <w:rFonts w:hint="eastAsia" w:ascii="宋体" w:hAnsi="宋体" w:cs="宋体"/>
          <w:bCs/>
          <w:sz w:val="24"/>
          <w:highlight w:val="none"/>
        </w:rPr>
        <w:t>以及其他必要信息</w:t>
      </w:r>
      <w:r>
        <w:rPr>
          <w:rFonts w:hint="eastAsia" w:ascii="宋体" w:hAnsi="宋体" w:cs="宋体"/>
          <w:bCs/>
          <w:sz w:val="24"/>
          <w:szCs w:val="24"/>
          <w:highlight w:val="none"/>
        </w:rPr>
        <w:t>。投资者签署</w:t>
      </w:r>
      <w:r>
        <w:rPr>
          <w:rFonts w:hint="eastAsia" w:ascii="宋体" w:hAnsi="宋体" w:cs="宋体"/>
          <w:bCs/>
          <w:sz w:val="24"/>
          <w:highlight w:val="none"/>
        </w:rPr>
        <w:t>后</w:t>
      </w:r>
      <w:r>
        <w:rPr>
          <w:rFonts w:hint="eastAsia" w:ascii="宋体" w:hAnsi="宋体" w:cs="宋体"/>
          <w:bCs/>
          <w:sz w:val="24"/>
          <w:szCs w:val="24"/>
          <w:highlight w:val="none"/>
        </w:rPr>
        <w:t>即表示同意并配合提供前述信</w:t>
      </w:r>
      <w:r>
        <w:rPr>
          <w:rFonts w:hint="eastAsia" w:ascii="宋体" w:hAnsi="宋体" w:cs="宋体"/>
          <w:bCs/>
          <w:sz w:val="24"/>
          <w:highlight w:val="none"/>
        </w:rPr>
        <w:t>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Cs/>
          <w:sz w:val="24"/>
          <w:highlight w:val="none"/>
        </w:rPr>
      </w:pPr>
    </w:p>
    <w:p>
      <w:pPr>
        <w:spacing w:line="360" w:lineRule="auto"/>
        <w:ind w:firstLine="480" w:firstLineChars="200"/>
        <w:jc w:val="right"/>
        <w:rPr>
          <w:rFonts w:hint="eastAsia" w:ascii="宋体" w:hAnsi="宋体" w:cs="宋体"/>
          <w:bCs/>
          <w:sz w:val="24"/>
          <w:highlight w:val="none"/>
        </w:rPr>
      </w:pPr>
      <w:r>
        <w:rPr>
          <w:rFonts w:hint="eastAsia" w:ascii="宋体" w:hAnsi="宋体" w:cs="宋体"/>
          <w:bCs/>
          <w:sz w:val="24"/>
          <w:highlight w:val="none"/>
        </w:rPr>
        <w:t>风险提示方：杭银理财有限责任公司</w:t>
      </w:r>
    </w:p>
    <w:p>
      <w:pPr>
        <w:spacing w:line="360" w:lineRule="auto"/>
        <w:jc w:val="both"/>
        <w:rPr>
          <w:rFonts w:hint="eastAsia" w:ascii="宋体" w:hAnsi="宋体" w:cs="宋体"/>
          <w:bCs/>
          <w:sz w:val="24"/>
          <w:highlight w:val="none"/>
        </w:rPr>
      </w:pPr>
    </w:p>
    <w:p>
      <w:pPr>
        <w:pStyle w:val="17"/>
        <w:spacing w:line="360" w:lineRule="auto"/>
        <w:jc w:val="both"/>
        <w:rPr>
          <w:rFonts w:hint="eastAsia" w:ascii="宋体" w:hAnsi="宋体" w:cs="宋体"/>
          <w:b/>
          <w:color w:val="auto"/>
          <w:highlight w:val="none"/>
        </w:rPr>
      </w:pPr>
    </w:p>
    <w:p>
      <w:pPr>
        <w:pStyle w:val="17"/>
        <w:spacing w:line="360" w:lineRule="auto"/>
        <w:ind w:firstLine="482" w:firstLineChars="200"/>
        <w:jc w:val="center"/>
        <w:outlineLvl w:val="1"/>
        <w:rPr>
          <w:rFonts w:hint="eastAsia" w:ascii="宋体" w:hAnsi="宋体" w:cs="宋体"/>
          <w:b/>
          <w:color w:val="auto"/>
          <w:highlight w:val="none"/>
        </w:rPr>
      </w:pPr>
    </w:p>
    <w:p>
      <w:pPr>
        <w:pStyle w:val="17"/>
        <w:spacing w:line="360" w:lineRule="auto"/>
        <w:ind w:firstLine="482" w:firstLineChars="200"/>
        <w:jc w:val="center"/>
        <w:outlineLvl w:val="1"/>
        <w:rPr>
          <w:rFonts w:hint="eastAsia" w:ascii="宋体" w:hAnsi="宋体" w:cs="宋体"/>
          <w:b/>
          <w:color w:val="auto"/>
          <w:highlight w:val="none"/>
        </w:rPr>
      </w:pPr>
      <w:r>
        <w:rPr>
          <w:rFonts w:hint="eastAsia" w:ascii="宋体" w:hAnsi="宋体" w:cs="宋体"/>
          <w:b/>
          <w:color w:val="auto"/>
          <w:highlight w:val="none"/>
        </w:rPr>
        <w:t>投资者确认栏（个人投资者填写）</w:t>
      </w:r>
    </w:p>
    <w:p>
      <w:pPr>
        <w:pStyle w:val="17"/>
        <w:spacing w:line="360" w:lineRule="auto"/>
        <w:jc w:val="both"/>
        <w:rPr>
          <w:rFonts w:hint="eastAsia" w:ascii="宋体" w:hAnsi="宋体" w:cs="宋体"/>
          <w:color w:val="auto"/>
          <w:highlight w:val="none"/>
        </w:rPr>
      </w:pPr>
      <w:r>
        <w:rPr>
          <w:rFonts w:hint="eastAsia" w:ascii="宋体" w:hAnsi="宋体" w:cs="宋体"/>
          <w:color w:val="auto"/>
          <w:highlight w:val="none"/>
        </w:rPr>
        <w:t>本人经销售机构评估的风险承受能力等级为（投资者填写）：</w:t>
      </w:r>
    </w:p>
    <w:p>
      <w:pPr>
        <w:pStyle w:val="17"/>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 xml:space="preserve">□保守型     □稳健型     □平衡型      □成长型     □进取型  </w:t>
      </w:r>
    </w:p>
    <w:p>
      <w:pPr>
        <w:pStyle w:val="17"/>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如超过一年未进行</w:t>
      </w:r>
      <w:r>
        <w:rPr>
          <w:rFonts w:hint="eastAsia" w:ascii="宋体" w:hAnsi="宋体" w:cs="宋体"/>
          <w:b w:val="0"/>
          <w:bCs w:val="0"/>
          <w:color w:val="auto"/>
          <w:highlight w:val="none"/>
          <w:u w:val="single"/>
        </w:rPr>
        <w:t>风险</w:t>
      </w:r>
      <w:r>
        <w:rPr>
          <w:rFonts w:hint="eastAsia" w:ascii="宋体" w:hAnsi="宋体" w:cs="宋体"/>
          <w:color w:val="auto"/>
          <w:highlight w:val="none"/>
          <w:u w:val="single"/>
        </w:rPr>
        <w:t>承受能力评估或影响本人风险承受能力的因素发生变化，本人将于再次购买理财</w:t>
      </w:r>
      <w:r>
        <w:rPr>
          <w:rFonts w:hint="eastAsia" w:ascii="宋体" w:hAnsi="宋体" w:cs="宋体"/>
          <w:color w:val="auto"/>
          <w:highlight w:val="none"/>
          <w:u w:val="single"/>
          <w:lang w:eastAsia="zh-CN"/>
        </w:rPr>
        <w:t>计划</w:t>
      </w:r>
      <w:r>
        <w:rPr>
          <w:rFonts w:hint="eastAsia" w:ascii="宋体" w:hAnsi="宋体" w:cs="宋体"/>
          <w:color w:val="auto"/>
          <w:highlight w:val="none"/>
          <w:u w:val="single"/>
        </w:rPr>
        <w:t>时及时完成风险承受能力评估。</w:t>
      </w:r>
    </w:p>
    <w:p>
      <w:pPr>
        <w:pStyle w:val="17"/>
        <w:spacing w:line="360" w:lineRule="auto"/>
        <w:ind w:firstLine="482" w:firstLineChars="200"/>
        <w:jc w:val="both"/>
        <w:rPr>
          <w:rFonts w:hint="eastAsia" w:ascii="宋体" w:hAnsi="宋体" w:cs="宋体"/>
          <w:b/>
          <w:bCs/>
          <w:color w:val="auto"/>
          <w:highlight w:val="none"/>
          <w:u w:val="single"/>
        </w:rPr>
      </w:pPr>
      <w:r>
        <w:rPr>
          <w:rFonts w:hint="eastAsia" w:ascii="宋体" w:hAnsi="宋体" w:cs="宋体"/>
          <w:b/>
          <w:bCs/>
          <w:color w:val="auto"/>
          <w:highlight w:val="none"/>
          <w:u w:val="single"/>
        </w:rPr>
        <w:t>声明：本人已经认真阅读本风险揭示书以及《理财计划产品说明书》《投资者权益须知》《理财计划投资协议书》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，已对其作全面、准确的理解，充分认识到投资本理财计划要求承担的风险，接受本风险揭示书及《理财计划产品说明书》《投资者权益须知》《理财计划投资协议书》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等本</w:t>
      </w:r>
      <w:r>
        <w:rPr>
          <w:rFonts w:hint="eastAsia" w:ascii="宋体" w:hAnsi="宋体" w:cs="宋体"/>
          <w:b/>
          <w:bCs/>
          <w:color w:val="auto"/>
          <w:highlight w:val="none"/>
          <w:u w:val="single"/>
          <w:lang w:eastAsia="zh-CN"/>
        </w:rPr>
        <w:t>理财计划</w:t>
      </w:r>
      <w:r>
        <w:rPr>
          <w:rFonts w:hint="eastAsia" w:ascii="宋体" w:hAnsi="宋体" w:cs="宋体"/>
          <w:b/>
          <w:bCs/>
          <w:color w:val="auto"/>
          <w:highlight w:val="none"/>
          <w:u w:val="single"/>
        </w:rPr>
        <w:t>合同全部内容，自愿且有能力承担投资本理财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的风险。</w:t>
      </w:r>
    </w:p>
    <w:p>
      <w:pPr>
        <w:pStyle w:val="17"/>
        <w:spacing w:line="360" w:lineRule="auto"/>
        <w:ind w:firstLine="482" w:firstLineChars="200"/>
        <w:jc w:val="both"/>
        <w:rPr>
          <w:rFonts w:hint="eastAsia" w:ascii="宋体" w:hAnsi="宋体" w:cs="宋体"/>
          <w:b/>
          <w:bCs/>
          <w:color w:val="auto"/>
          <w:highlight w:val="none"/>
          <w:u w:val="single"/>
        </w:rPr>
      </w:pPr>
      <w:r>
        <w:rPr>
          <w:rFonts w:hint="eastAsia" w:ascii="宋体" w:hAnsi="宋体" w:cs="宋体"/>
          <w:b/>
          <w:bCs/>
          <w:color w:val="auto"/>
          <w:highlight w:val="none"/>
          <w:u w:val="single"/>
        </w:rPr>
        <w:t>本人购买本理财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的资金为合法自有资金，不存在使用借款、贷款等非自有资金的情形；且系为合法目的投资本理财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，而非为洗钱等违法违规之目的，本人将配合管理人或销售机构开展客户身份识别及尽职调查、反恐怖融资以及非居民金融账户尽职调查等，及时、真实、准确提供身份信息及资金来源信息。</w:t>
      </w:r>
    </w:p>
    <w:p>
      <w:pPr>
        <w:pStyle w:val="17"/>
        <w:spacing w:line="360" w:lineRule="auto"/>
        <w:ind w:firstLine="480" w:firstLineChars="200"/>
        <w:jc w:val="both"/>
        <w:rPr>
          <w:rFonts w:hint="eastAsia" w:ascii="宋体" w:hAnsi="宋体" w:cs="宋体"/>
          <w:b/>
          <w:color w:val="auto"/>
          <w:highlight w:val="none"/>
        </w:rPr>
      </w:pPr>
      <w:r>
        <w:rPr>
          <w:rFonts w:hint="eastAsia" w:ascii="宋体" w:hAnsi="宋体" w:cs="宋体"/>
          <w:color w:val="auto"/>
          <w:highlight w:val="none"/>
        </w:rPr>
        <w:t>（投资者需全文抄录以下文字以完成确认：</w:t>
      </w:r>
      <w:r>
        <w:rPr>
          <w:rFonts w:hint="eastAsia" w:ascii="宋体" w:hAnsi="宋体" w:cs="宋体"/>
          <w:b/>
          <w:color w:val="auto"/>
          <w:highlight w:val="none"/>
        </w:rPr>
        <w:t>“本人已经阅读上述风险揭示，愿意承担投资风险。”</w:t>
      </w:r>
      <w:r>
        <w:rPr>
          <w:rFonts w:hint="eastAsia" w:ascii="宋体" w:hAnsi="宋体" w:cs="宋体"/>
          <w:b/>
          <w:color w:val="auto"/>
          <w:highlight w:val="none"/>
          <w:lang w:eastAsia="zh-CN"/>
        </w:rPr>
        <w:t>如通过线上渠道购买，认</w:t>
      </w:r>
      <w:r>
        <w:rPr>
          <w:rFonts w:hint="eastAsia" w:ascii="宋体" w:hAnsi="宋体" w:cs="宋体"/>
          <w:b/>
          <w:color w:val="auto"/>
          <w:highlight w:val="none"/>
          <w:lang w:val="en-US" w:eastAsia="zh-CN"/>
        </w:rPr>
        <w:t>/申购交易确认即视为投资者同意自身风险承受能力等级并确认风险揭示内容，愿意承担投资风险，与书面签署具有同等效力。</w:t>
      </w:r>
      <w:r>
        <w:rPr>
          <w:rFonts w:hint="eastAsia" w:ascii="宋体" w:hAnsi="宋体" w:cs="宋体"/>
          <w:b/>
          <w:color w:val="auto"/>
          <w:highlight w:val="none"/>
        </w:rPr>
        <w:t xml:space="preserve">） </w:t>
      </w:r>
    </w:p>
    <w:p>
      <w:pPr>
        <w:pStyle w:val="17"/>
        <w:spacing w:line="360" w:lineRule="auto"/>
        <w:jc w:val="both"/>
        <w:rPr>
          <w:rFonts w:hint="eastAsia" w:ascii="宋体" w:hAnsi="宋体" w:cs="宋体"/>
          <w:color w:val="auto"/>
          <w:highlight w:val="none"/>
          <w:u w:val="single"/>
        </w:rPr>
      </w:pPr>
      <w:r>
        <w:rPr>
          <w:rFonts w:hint="eastAsia" w:ascii="宋体" w:hAnsi="宋体" w:cs="宋体"/>
          <w:color w:val="auto"/>
          <w:highlight w:val="none"/>
        </w:rPr>
        <w:t>本人同时确认如下：</w:t>
      </w:r>
      <w:r>
        <w:rPr>
          <w:rFonts w:hint="eastAsia" w:ascii="宋体" w:hAnsi="宋体" w:cs="宋体"/>
          <w:color w:val="auto"/>
          <w:highlight w:val="none"/>
          <w:u w:val="single"/>
        </w:rPr>
        <w:t xml:space="preserve">                                                          </w:t>
      </w:r>
    </w:p>
    <w:p>
      <w:pPr>
        <w:spacing w:line="360" w:lineRule="auto"/>
        <w:rPr>
          <w:rFonts w:hint="eastAsia" w:ascii="宋体" w:hAnsi="宋体" w:cs="宋体"/>
          <w:kern w:val="0"/>
          <w:sz w:val="24"/>
          <w:highlight w:val="none"/>
        </w:rPr>
      </w:pPr>
    </w:p>
    <w:p>
      <w:pPr>
        <w:spacing w:line="360" w:lineRule="auto"/>
        <w:rPr>
          <w:rFonts w:hint="eastAsia" w:ascii="宋体" w:hAnsi="宋体" w:cs="宋体"/>
          <w:kern w:val="0"/>
          <w:sz w:val="24"/>
          <w:highlight w:val="none"/>
        </w:rPr>
      </w:pPr>
      <w:r>
        <w:rPr>
          <w:rFonts w:hint="eastAsia" w:ascii="宋体" w:hAnsi="宋体" w:cs="宋体"/>
          <w:kern w:val="0"/>
          <w:sz w:val="24"/>
          <w:highlight w:val="none"/>
        </w:rPr>
        <w:t>确认人（签字）：</w:t>
      </w:r>
      <w:r>
        <w:rPr>
          <w:rFonts w:hint="eastAsia" w:ascii="宋体" w:hAnsi="宋体" w:cs="宋体"/>
          <w:kern w:val="0"/>
          <w:sz w:val="24"/>
          <w:highlight w:val="none"/>
          <w:u w:val="single"/>
        </w:rPr>
        <w:t xml:space="preserve">                    </w:t>
      </w:r>
      <w:r>
        <w:rPr>
          <w:rFonts w:hint="eastAsia" w:ascii="宋体" w:hAnsi="宋体" w:cs="宋体"/>
          <w:kern w:val="0"/>
          <w:sz w:val="24"/>
          <w:highlight w:val="none"/>
        </w:rPr>
        <w:t xml:space="preserve">           日期：</w:t>
      </w:r>
      <w:r>
        <w:rPr>
          <w:rFonts w:hint="eastAsia" w:ascii="宋体" w:hAnsi="宋体" w:cs="宋体"/>
          <w:kern w:val="0"/>
          <w:sz w:val="24"/>
          <w:highlight w:val="none"/>
          <w:u w:val="single"/>
        </w:rPr>
        <w:t xml:space="preserve">      </w:t>
      </w:r>
      <w:r>
        <w:rPr>
          <w:rFonts w:hint="eastAsia" w:ascii="宋体" w:hAnsi="宋体" w:cs="宋体"/>
          <w:kern w:val="0"/>
          <w:sz w:val="24"/>
          <w:highlight w:val="none"/>
        </w:rPr>
        <w:t>年</w:t>
      </w:r>
      <w:r>
        <w:rPr>
          <w:rFonts w:hint="eastAsia" w:ascii="宋体" w:hAnsi="宋体" w:cs="宋体"/>
          <w:kern w:val="0"/>
          <w:sz w:val="24"/>
          <w:highlight w:val="none"/>
          <w:u w:val="single"/>
        </w:rPr>
        <w:t xml:space="preserve">    </w:t>
      </w:r>
      <w:r>
        <w:rPr>
          <w:rFonts w:hint="eastAsia" w:ascii="宋体" w:hAnsi="宋体" w:cs="宋体"/>
          <w:kern w:val="0"/>
          <w:sz w:val="24"/>
          <w:highlight w:val="none"/>
        </w:rPr>
        <w:t>月</w:t>
      </w:r>
      <w:r>
        <w:rPr>
          <w:rFonts w:hint="eastAsia" w:ascii="宋体" w:hAnsi="宋体" w:cs="宋体"/>
          <w:kern w:val="0"/>
          <w:sz w:val="24"/>
          <w:highlight w:val="none"/>
          <w:u w:val="single"/>
        </w:rPr>
        <w:t xml:space="preserve">    </w:t>
      </w:r>
      <w:r>
        <w:rPr>
          <w:rFonts w:hint="eastAsia" w:ascii="宋体" w:hAnsi="宋体" w:cs="宋体"/>
          <w:kern w:val="0"/>
          <w:sz w:val="24"/>
          <w:highlight w:val="none"/>
        </w:rPr>
        <w:t>日</w:t>
      </w:r>
    </w:p>
    <w:p>
      <w:pPr>
        <w:pStyle w:val="17"/>
        <w:spacing w:line="360" w:lineRule="auto"/>
        <w:ind w:firstLine="482" w:firstLineChars="200"/>
        <w:jc w:val="center"/>
        <w:rPr>
          <w:rFonts w:hint="eastAsia" w:ascii="宋体" w:hAnsi="宋体" w:eastAsia="宋体" w:cs="宋体"/>
          <w:b/>
          <w:bCs/>
          <w:color w:val="auto"/>
          <w:highlight w:val="none"/>
          <w:u w:val="none"/>
        </w:rPr>
      </w:pPr>
    </w:p>
    <w:p>
      <w:pPr>
        <w:pStyle w:val="17"/>
        <w:spacing w:line="360" w:lineRule="auto"/>
        <w:ind w:firstLine="482" w:firstLineChars="200"/>
        <w:jc w:val="center"/>
        <w:rPr>
          <w:rFonts w:hint="eastAsia" w:ascii="宋体" w:hAnsi="宋体" w:eastAsia="宋体" w:cs="宋体"/>
          <w:b/>
          <w:bCs/>
          <w:color w:val="auto"/>
          <w:highlight w:val="none"/>
          <w:u w:val="none"/>
        </w:rPr>
      </w:pPr>
    </w:p>
    <w:p>
      <w:pPr>
        <w:pStyle w:val="17"/>
        <w:spacing w:line="360" w:lineRule="auto"/>
        <w:ind w:firstLine="482" w:firstLineChars="200"/>
        <w:jc w:val="center"/>
        <w:rPr>
          <w:rFonts w:hint="eastAsia" w:ascii="宋体" w:hAnsi="宋体" w:eastAsia="宋体" w:cs="宋体"/>
          <w:b/>
          <w:bCs/>
          <w:color w:val="auto"/>
          <w:highlight w:val="none"/>
          <w:u w:val="none"/>
        </w:rPr>
      </w:pPr>
    </w:p>
    <w:p>
      <w:pPr>
        <w:pStyle w:val="17"/>
        <w:spacing w:line="360" w:lineRule="auto"/>
        <w:ind w:firstLine="482" w:firstLineChars="200"/>
        <w:jc w:val="center"/>
        <w:rPr>
          <w:rFonts w:hint="eastAsia" w:ascii="宋体" w:hAnsi="宋体" w:eastAsia="宋体" w:cs="宋体"/>
          <w:b/>
          <w:bCs/>
          <w:color w:val="auto"/>
          <w:highlight w:val="none"/>
          <w:u w:val="none"/>
        </w:rPr>
      </w:pPr>
    </w:p>
    <w:p>
      <w:pPr>
        <w:pStyle w:val="17"/>
        <w:spacing w:line="360" w:lineRule="auto"/>
        <w:ind w:firstLine="482" w:firstLineChars="200"/>
        <w:jc w:val="center"/>
        <w:rPr>
          <w:rFonts w:hint="eastAsia" w:ascii="宋体" w:hAnsi="宋体" w:eastAsia="宋体" w:cs="宋体"/>
          <w:b/>
          <w:bCs/>
          <w:color w:val="auto"/>
          <w:highlight w:val="none"/>
          <w:u w:val="none"/>
        </w:rPr>
      </w:pPr>
    </w:p>
    <w:p>
      <w:pPr>
        <w:pStyle w:val="17"/>
        <w:spacing w:line="360" w:lineRule="auto"/>
        <w:ind w:firstLine="482" w:firstLineChars="200"/>
        <w:jc w:val="center"/>
        <w:rPr>
          <w:rFonts w:hint="eastAsia" w:ascii="宋体" w:hAnsi="宋体" w:eastAsia="宋体" w:cs="宋体"/>
          <w:b/>
          <w:bCs/>
          <w:color w:val="auto"/>
          <w:highlight w:val="none"/>
          <w:u w:val="none"/>
        </w:rPr>
      </w:pPr>
    </w:p>
    <w:p>
      <w:pPr>
        <w:pStyle w:val="17"/>
        <w:spacing w:line="360" w:lineRule="auto"/>
        <w:ind w:firstLine="482" w:firstLineChars="200"/>
        <w:jc w:val="center"/>
        <w:outlineLvl w:val="1"/>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t>投资者确认栏（机构投资者）</w:t>
      </w:r>
    </w:p>
    <w:p>
      <w:pPr>
        <w:pStyle w:val="17"/>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none"/>
          <w:lang w:val="en-US" w:eastAsia="zh-CN"/>
        </w:rPr>
        <w:t>声明：本公司/单位已认真阅读本风险揭示书以及《理财计划产品说明书》《投资者权益须知》《理财计划投资协议书》《理财计划销售协议书》，并已对其作全面、准确的理解，充分认识到投资本理财计划要求承担的风险，</w:t>
      </w:r>
      <w:r>
        <w:rPr>
          <w:rFonts w:hint="eastAsia" w:ascii="宋体" w:hAnsi="宋体" w:eastAsia="宋体" w:cs="宋体"/>
          <w:b/>
          <w:bCs/>
          <w:color w:val="auto"/>
          <w:highlight w:val="none"/>
          <w:u w:val="single"/>
          <w:lang w:val="en-US" w:eastAsia="zh-CN"/>
        </w:rPr>
        <w:t>接受本风险揭示书及《理财计划产品说明书》《投资者权益须知》《理财计划投资协议书》《理财计划销售协议书》等本理财计划合同全部内容，自愿且有能力承担投资本理财计划的风险。</w:t>
      </w:r>
    </w:p>
    <w:p>
      <w:pPr>
        <w:pStyle w:val="17"/>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single"/>
          <w:lang w:val="en-US" w:eastAsia="zh-CN"/>
        </w:rPr>
        <w:t>本公司/单位购买本理财计划的资金为合法自有资金，不存在使用借款、贷款、发行债券募集资金等非自有资金的情形；且系为合法目的投资本理财计划，而非为洗钱等违法违规之目的，本公司/单位将配合管理人或销售机构开展客户身份识别及尽职调查、反恐怖融资以及非居民金融账户尽职调查等，及时、真实、准确提供身份信息及资金来源信息。</w:t>
      </w: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jc w:val="both"/>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投资者（公章）                          法定代表人或授权代理人（签章）</w:t>
      </w: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日期：</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年</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月</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日</w:t>
      </w:r>
    </w:p>
    <w:p>
      <w:pPr>
        <w:pStyle w:val="17"/>
        <w:spacing w:line="360" w:lineRule="auto"/>
        <w:ind w:firstLine="482" w:firstLineChars="200"/>
        <w:jc w:val="both"/>
        <w:rPr>
          <w:rFonts w:hint="eastAsia" w:ascii="宋体" w:hAnsi="宋体" w:eastAsia="宋体" w:cs="宋体"/>
          <w:b/>
          <w:bCs/>
          <w:color w:val="auto"/>
          <w:highlight w:val="none"/>
          <w:u w:val="none"/>
          <w:lang w:val="en-US" w:eastAsia="zh-CN"/>
        </w:rPr>
      </w:pPr>
    </w:p>
    <w:p>
      <w:pPr>
        <w:pStyle w:val="17"/>
        <w:spacing w:line="360" w:lineRule="auto"/>
        <w:ind w:firstLine="482" w:firstLineChars="200"/>
        <w:jc w:val="both"/>
        <w:rPr>
          <w:rFonts w:hint="eastAsia" w:ascii="宋体" w:hAnsi="宋体" w:eastAsia="宋体" w:cs="宋体"/>
          <w:b/>
          <w:bCs/>
          <w:color w:val="auto"/>
          <w:highlight w:val="none"/>
          <w:u w:val="single"/>
          <w:lang w:val="en-US" w:eastAsia="zh-CN"/>
        </w:rPr>
      </w:pPr>
    </w:p>
    <w:p>
      <w:pPr>
        <w:jc w:val="both"/>
        <w:outlineLvl w:val="9"/>
        <w:rPr>
          <w:rFonts w:hint="eastAsia" w:ascii="Calibri" w:hAnsi="Calibri" w:eastAsia="宋体" w:cs="黑体"/>
          <w:b/>
          <w:bCs w:val="0"/>
          <w:sz w:val="44"/>
          <w:szCs w:val="44"/>
          <w:highlight w:val="none"/>
          <w:lang w:val="en-US" w:eastAsia="zh-CN"/>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lang/>
                            </w:rPr>
                            <w:t>42</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lang/>
                      </w:rPr>
                      <w:t>42</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jc w:val="left"/>
      <w:rPr>
        <w:rFonts w:hint="default" w:eastAsia="宋体"/>
        <w:b/>
        <w:bCs/>
        <w:lang w:val="en-US" w:eastAsia="zh-CN"/>
      </w:rPr>
    </w:pPr>
    <w:r>
      <w:rPr>
        <w:rFonts w:hint="default" w:eastAsia="宋体"/>
        <w:b/>
        <w:bCs/>
        <w:color w:val="auto"/>
        <w:lang w:val="en-US" w:eastAsia="zh-CN"/>
      </w:rPr>
      <w:drawing>
        <wp:anchor distT="0" distB="0" distL="114300" distR="114300" simplePos="0" relativeHeight="251659264" behindDoc="1" locked="0" layoutInCell="1" allowOverlap="1">
          <wp:simplePos x="0" y="0"/>
          <wp:positionH relativeFrom="column">
            <wp:posOffset>5181600</wp:posOffset>
          </wp:positionH>
          <wp:positionV relativeFrom="paragraph">
            <wp:posOffset>-585470</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3"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b/>
        <w:bCs/>
        <w:color w:val="auto"/>
        <w:lang w:eastAsia="zh-CN"/>
      </w:rPr>
      <w:t>理财非存款</w:t>
    </w:r>
    <w:r>
      <w:rPr>
        <w:rFonts w:hint="eastAsia"/>
        <w:b/>
        <w:bCs/>
        <w:color w:val="auto"/>
        <w:lang w:val="en-US" w:eastAsia="zh-CN"/>
      </w:rPr>
      <w:t xml:space="preserve"> 产品有风险 投资须谨慎</w:t>
    </w:r>
    <w:r>
      <w:rPr>
        <w:rFonts w:hint="eastAsia"/>
        <w:b/>
        <w:bCs/>
        <w:color w:val="FF0000"/>
        <w:lang w:val="en-US" w:eastAsia="zh-CN"/>
      </w:rPr>
      <w:t xml:space="preserve">  </w:t>
    </w:r>
    <w:r>
      <w:rPr>
        <w:rFonts w:hint="eastAsia"/>
        <w:b/>
        <w:bCs/>
        <w:color w:val="auto"/>
        <w:lang w:val="en-US"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rPr>
        <w:rFonts w:hint="eastAsia"/>
      </w:rPr>
    </w:lvl>
  </w:abstractNum>
  <w:abstractNum w:abstractNumId="2">
    <w:nsid w:val="CEBF199A"/>
    <w:multiLevelType w:val="singleLevel"/>
    <w:tmpl w:val="CEBF199A"/>
    <w:lvl w:ilvl="0" w:tentative="0">
      <w:start w:val="1"/>
      <w:numFmt w:val="chineseCounting"/>
      <w:suff w:val="nothing"/>
      <w:lvlText w:val="（%1）"/>
      <w:lvlJc w:val="left"/>
      <w:pPr>
        <w:ind w:left="0" w:firstLine="420"/>
      </w:pPr>
      <w:rPr>
        <w:rFonts w:hint="eastAsia"/>
      </w:rPr>
    </w:lvl>
  </w:abstractNum>
  <w:abstractNum w:abstractNumId="3">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5">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6">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7">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num w:numId="1">
    <w:abstractNumId w:val="1"/>
  </w:num>
  <w:num w:numId="2">
    <w:abstractNumId w:val="0"/>
  </w:num>
  <w:num w:numId="3">
    <w:abstractNumId w:val="5"/>
  </w:num>
  <w:num w:numId="4">
    <w:abstractNumId w:val="4"/>
  </w:num>
  <w:num w:numId="5">
    <w:abstractNumId w:val="2"/>
  </w:num>
  <w:num w:numId="6">
    <w:abstractNumId w:val="6"/>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NjOWZhYjNhMDcwZTUwMzk1N2Q1ZTljMmJlZmYyNzcifQ=="/>
  </w:docVars>
  <w:rsids>
    <w:rsidRoot w:val="00172A27"/>
    <w:rsid w:val="004A3A51"/>
    <w:rsid w:val="00D5498D"/>
    <w:rsid w:val="01364432"/>
    <w:rsid w:val="01523B8E"/>
    <w:rsid w:val="01BB3F30"/>
    <w:rsid w:val="01E60817"/>
    <w:rsid w:val="01FD241C"/>
    <w:rsid w:val="028653FE"/>
    <w:rsid w:val="03F1228C"/>
    <w:rsid w:val="046C4318"/>
    <w:rsid w:val="05165B63"/>
    <w:rsid w:val="05E05E4D"/>
    <w:rsid w:val="05ED7265"/>
    <w:rsid w:val="06420CFA"/>
    <w:rsid w:val="06503B59"/>
    <w:rsid w:val="065B6789"/>
    <w:rsid w:val="06DA626B"/>
    <w:rsid w:val="06F301FD"/>
    <w:rsid w:val="0752555A"/>
    <w:rsid w:val="07C77607"/>
    <w:rsid w:val="07C960D7"/>
    <w:rsid w:val="07E45984"/>
    <w:rsid w:val="0828699A"/>
    <w:rsid w:val="087D4021"/>
    <w:rsid w:val="08E1077C"/>
    <w:rsid w:val="09155E8F"/>
    <w:rsid w:val="097E3F67"/>
    <w:rsid w:val="09B111B7"/>
    <w:rsid w:val="09FE573C"/>
    <w:rsid w:val="0A0C6349"/>
    <w:rsid w:val="0A1347F5"/>
    <w:rsid w:val="0A1F3796"/>
    <w:rsid w:val="0A2434E2"/>
    <w:rsid w:val="0A2A32B9"/>
    <w:rsid w:val="0B8E27E3"/>
    <w:rsid w:val="0BF71AE2"/>
    <w:rsid w:val="0C9C7394"/>
    <w:rsid w:val="0CA6603D"/>
    <w:rsid w:val="0D0B1B00"/>
    <w:rsid w:val="0D3F210A"/>
    <w:rsid w:val="0E36795A"/>
    <w:rsid w:val="0E4A4B6F"/>
    <w:rsid w:val="0E9465E2"/>
    <w:rsid w:val="0EAE473F"/>
    <w:rsid w:val="0EF65480"/>
    <w:rsid w:val="0F3349D0"/>
    <w:rsid w:val="0F821EAC"/>
    <w:rsid w:val="0FD222C3"/>
    <w:rsid w:val="10776FA2"/>
    <w:rsid w:val="10E7087B"/>
    <w:rsid w:val="10FA5463"/>
    <w:rsid w:val="119C4829"/>
    <w:rsid w:val="11B4791F"/>
    <w:rsid w:val="11BA058F"/>
    <w:rsid w:val="12081858"/>
    <w:rsid w:val="12B62B3B"/>
    <w:rsid w:val="12F57C75"/>
    <w:rsid w:val="12F65E46"/>
    <w:rsid w:val="12F96486"/>
    <w:rsid w:val="13031153"/>
    <w:rsid w:val="13181417"/>
    <w:rsid w:val="135A629F"/>
    <w:rsid w:val="13CF7B8E"/>
    <w:rsid w:val="14B80FF2"/>
    <w:rsid w:val="14C57FED"/>
    <w:rsid w:val="150C5665"/>
    <w:rsid w:val="15485BE1"/>
    <w:rsid w:val="15C56302"/>
    <w:rsid w:val="160940BB"/>
    <w:rsid w:val="1659752C"/>
    <w:rsid w:val="16CE5BE1"/>
    <w:rsid w:val="16E43A7F"/>
    <w:rsid w:val="175F7C56"/>
    <w:rsid w:val="17F169B0"/>
    <w:rsid w:val="185A3DA1"/>
    <w:rsid w:val="198C4B50"/>
    <w:rsid w:val="19BB4557"/>
    <w:rsid w:val="19DA4F78"/>
    <w:rsid w:val="19F13F4F"/>
    <w:rsid w:val="1A102675"/>
    <w:rsid w:val="1A3B5FB6"/>
    <w:rsid w:val="1B280245"/>
    <w:rsid w:val="1B581220"/>
    <w:rsid w:val="1B843575"/>
    <w:rsid w:val="1BBE4697"/>
    <w:rsid w:val="1C4B4C52"/>
    <w:rsid w:val="1CD6762A"/>
    <w:rsid w:val="1D4D5B7F"/>
    <w:rsid w:val="1D5076C2"/>
    <w:rsid w:val="1D552DD9"/>
    <w:rsid w:val="1DAB6D83"/>
    <w:rsid w:val="1E3173A3"/>
    <w:rsid w:val="1E792E51"/>
    <w:rsid w:val="1F0F5A19"/>
    <w:rsid w:val="1F1D6E1F"/>
    <w:rsid w:val="1F3E7F7D"/>
    <w:rsid w:val="1F51312D"/>
    <w:rsid w:val="1FC9553A"/>
    <w:rsid w:val="204D3B12"/>
    <w:rsid w:val="205A2AB3"/>
    <w:rsid w:val="20B6224D"/>
    <w:rsid w:val="21025026"/>
    <w:rsid w:val="21036497"/>
    <w:rsid w:val="21CE3241"/>
    <w:rsid w:val="22A04AF7"/>
    <w:rsid w:val="22A73C8E"/>
    <w:rsid w:val="22D3594B"/>
    <w:rsid w:val="22F12819"/>
    <w:rsid w:val="22F16CBB"/>
    <w:rsid w:val="234F46D7"/>
    <w:rsid w:val="23753F06"/>
    <w:rsid w:val="238E1AAE"/>
    <w:rsid w:val="23DF60A6"/>
    <w:rsid w:val="24030B6D"/>
    <w:rsid w:val="24345B9A"/>
    <w:rsid w:val="245517BD"/>
    <w:rsid w:val="2483647E"/>
    <w:rsid w:val="256F076F"/>
    <w:rsid w:val="25AF7681"/>
    <w:rsid w:val="25CA2E84"/>
    <w:rsid w:val="26820AF7"/>
    <w:rsid w:val="268D46D2"/>
    <w:rsid w:val="27947E62"/>
    <w:rsid w:val="27EB2573"/>
    <w:rsid w:val="292668E3"/>
    <w:rsid w:val="29361BBD"/>
    <w:rsid w:val="2A124404"/>
    <w:rsid w:val="2A1B5D68"/>
    <w:rsid w:val="2A5975B6"/>
    <w:rsid w:val="2A991D32"/>
    <w:rsid w:val="2AB92324"/>
    <w:rsid w:val="2AD6555A"/>
    <w:rsid w:val="2B376BE0"/>
    <w:rsid w:val="2B5B0398"/>
    <w:rsid w:val="2C1B1E9D"/>
    <w:rsid w:val="2CAB68C5"/>
    <w:rsid w:val="2E354AE5"/>
    <w:rsid w:val="2E4D79E8"/>
    <w:rsid w:val="2EBC6D03"/>
    <w:rsid w:val="2F196945"/>
    <w:rsid w:val="2F1F666C"/>
    <w:rsid w:val="2F37118F"/>
    <w:rsid w:val="2FD32A37"/>
    <w:rsid w:val="30111202"/>
    <w:rsid w:val="30551FFC"/>
    <w:rsid w:val="30781C6B"/>
    <w:rsid w:val="311F702A"/>
    <w:rsid w:val="31331DE0"/>
    <w:rsid w:val="31A82883"/>
    <w:rsid w:val="320E3E15"/>
    <w:rsid w:val="32B15B31"/>
    <w:rsid w:val="32C937E9"/>
    <w:rsid w:val="333F6AA7"/>
    <w:rsid w:val="3480359E"/>
    <w:rsid w:val="34BE4ED5"/>
    <w:rsid w:val="35476F5E"/>
    <w:rsid w:val="354D3F58"/>
    <w:rsid w:val="359A216E"/>
    <w:rsid w:val="35CB65AD"/>
    <w:rsid w:val="36080A12"/>
    <w:rsid w:val="36631FD8"/>
    <w:rsid w:val="36C419F2"/>
    <w:rsid w:val="36E72D9B"/>
    <w:rsid w:val="36FD7080"/>
    <w:rsid w:val="379F2ED6"/>
    <w:rsid w:val="37CA172C"/>
    <w:rsid w:val="37DC2068"/>
    <w:rsid w:val="38071350"/>
    <w:rsid w:val="38224FD0"/>
    <w:rsid w:val="385B1060"/>
    <w:rsid w:val="38E31C93"/>
    <w:rsid w:val="39775E90"/>
    <w:rsid w:val="39AC0F1B"/>
    <w:rsid w:val="39B95084"/>
    <w:rsid w:val="39BA0AF0"/>
    <w:rsid w:val="3A3E2041"/>
    <w:rsid w:val="3B131EF6"/>
    <w:rsid w:val="3B490D86"/>
    <w:rsid w:val="3BD74075"/>
    <w:rsid w:val="3C2F2290"/>
    <w:rsid w:val="3E2C1E51"/>
    <w:rsid w:val="3E6704D2"/>
    <w:rsid w:val="3EA67C14"/>
    <w:rsid w:val="3EAD1B36"/>
    <w:rsid w:val="3F056B9E"/>
    <w:rsid w:val="3F354A62"/>
    <w:rsid w:val="3F880527"/>
    <w:rsid w:val="3FB01289"/>
    <w:rsid w:val="3FE233B8"/>
    <w:rsid w:val="3FF54C55"/>
    <w:rsid w:val="40181F9C"/>
    <w:rsid w:val="406370BC"/>
    <w:rsid w:val="40DF388D"/>
    <w:rsid w:val="40FB7670"/>
    <w:rsid w:val="412E2C9B"/>
    <w:rsid w:val="41B60000"/>
    <w:rsid w:val="423C06E2"/>
    <w:rsid w:val="42815397"/>
    <w:rsid w:val="42C94634"/>
    <w:rsid w:val="43113F5B"/>
    <w:rsid w:val="43BB29BF"/>
    <w:rsid w:val="453D02B5"/>
    <w:rsid w:val="45540446"/>
    <w:rsid w:val="458F3937"/>
    <w:rsid w:val="459F641E"/>
    <w:rsid w:val="45A93DC9"/>
    <w:rsid w:val="45BB5620"/>
    <w:rsid w:val="45EC58A2"/>
    <w:rsid w:val="45F127ED"/>
    <w:rsid w:val="46263D02"/>
    <w:rsid w:val="46A83F1C"/>
    <w:rsid w:val="46CD66A0"/>
    <w:rsid w:val="472803B7"/>
    <w:rsid w:val="478411E4"/>
    <w:rsid w:val="48021DEB"/>
    <w:rsid w:val="488B59A4"/>
    <w:rsid w:val="48A33DA0"/>
    <w:rsid w:val="48CC5267"/>
    <w:rsid w:val="491B12B4"/>
    <w:rsid w:val="494502E1"/>
    <w:rsid w:val="494C4325"/>
    <w:rsid w:val="49BB2867"/>
    <w:rsid w:val="4A010AC9"/>
    <w:rsid w:val="4A7F0ADF"/>
    <w:rsid w:val="4AA612F0"/>
    <w:rsid w:val="4B0D3113"/>
    <w:rsid w:val="4B2770CB"/>
    <w:rsid w:val="4B660D6A"/>
    <w:rsid w:val="4B992D86"/>
    <w:rsid w:val="4C1A730D"/>
    <w:rsid w:val="4C6B0DDA"/>
    <w:rsid w:val="4C6E1306"/>
    <w:rsid w:val="4CC946ED"/>
    <w:rsid w:val="4CF979F4"/>
    <w:rsid w:val="4D8C0BC8"/>
    <w:rsid w:val="4E186164"/>
    <w:rsid w:val="4E247E9A"/>
    <w:rsid w:val="4E2F1033"/>
    <w:rsid w:val="4E8274B0"/>
    <w:rsid w:val="4EA65BC4"/>
    <w:rsid w:val="4EF420E3"/>
    <w:rsid w:val="4EFC1B31"/>
    <w:rsid w:val="4F2836A5"/>
    <w:rsid w:val="4FF363B3"/>
    <w:rsid w:val="500C7461"/>
    <w:rsid w:val="501216FC"/>
    <w:rsid w:val="50B73634"/>
    <w:rsid w:val="51434E1B"/>
    <w:rsid w:val="51504FE6"/>
    <w:rsid w:val="54E90CED"/>
    <w:rsid w:val="54E91D9C"/>
    <w:rsid w:val="55A47BB4"/>
    <w:rsid w:val="5625142C"/>
    <w:rsid w:val="56B44788"/>
    <w:rsid w:val="570528AC"/>
    <w:rsid w:val="57141583"/>
    <w:rsid w:val="57BB6218"/>
    <w:rsid w:val="57FF3AAA"/>
    <w:rsid w:val="58DD2EEE"/>
    <w:rsid w:val="58E96C7A"/>
    <w:rsid w:val="59263C31"/>
    <w:rsid w:val="59AD3C67"/>
    <w:rsid w:val="59E832FB"/>
    <w:rsid w:val="5A4B183F"/>
    <w:rsid w:val="5B0D630F"/>
    <w:rsid w:val="5B602150"/>
    <w:rsid w:val="5B9919B4"/>
    <w:rsid w:val="5B9E0365"/>
    <w:rsid w:val="5BB70148"/>
    <w:rsid w:val="5BF22FE4"/>
    <w:rsid w:val="5C2F1987"/>
    <w:rsid w:val="5C3C3DDC"/>
    <w:rsid w:val="5C810761"/>
    <w:rsid w:val="5D160516"/>
    <w:rsid w:val="5D690386"/>
    <w:rsid w:val="5D713BC5"/>
    <w:rsid w:val="5D7D0F36"/>
    <w:rsid w:val="5DB61BFF"/>
    <w:rsid w:val="5DEF454B"/>
    <w:rsid w:val="5E076A27"/>
    <w:rsid w:val="5E5A6C63"/>
    <w:rsid w:val="5F3C6712"/>
    <w:rsid w:val="5F4B58F3"/>
    <w:rsid w:val="6053481F"/>
    <w:rsid w:val="60534BFA"/>
    <w:rsid w:val="60553A8D"/>
    <w:rsid w:val="606E0DED"/>
    <w:rsid w:val="60AB2000"/>
    <w:rsid w:val="60F2599C"/>
    <w:rsid w:val="61C97391"/>
    <w:rsid w:val="61D85325"/>
    <w:rsid w:val="62860AAA"/>
    <w:rsid w:val="628B7CEE"/>
    <w:rsid w:val="629D5796"/>
    <w:rsid w:val="62B8299F"/>
    <w:rsid w:val="632224B5"/>
    <w:rsid w:val="63FA4C5C"/>
    <w:rsid w:val="64102A52"/>
    <w:rsid w:val="64BC6713"/>
    <w:rsid w:val="66AD5EF6"/>
    <w:rsid w:val="66F54088"/>
    <w:rsid w:val="671E2162"/>
    <w:rsid w:val="67C2281F"/>
    <w:rsid w:val="680C1A56"/>
    <w:rsid w:val="684F0C72"/>
    <w:rsid w:val="68D8721E"/>
    <w:rsid w:val="6A7F04CC"/>
    <w:rsid w:val="6A831914"/>
    <w:rsid w:val="6B4C3753"/>
    <w:rsid w:val="6B610D05"/>
    <w:rsid w:val="6BAC21D5"/>
    <w:rsid w:val="6C210C2C"/>
    <w:rsid w:val="6CA76D78"/>
    <w:rsid w:val="6CED1CB3"/>
    <w:rsid w:val="6D3B42C3"/>
    <w:rsid w:val="6D5A3D63"/>
    <w:rsid w:val="6D9A4080"/>
    <w:rsid w:val="6E1942EF"/>
    <w:rsid w:val="6E7E575F"/>
    <w:rsid w:val="6EC27507"/>
    <w:rsid w:val="6EF15941"/>
    <w:rsid w:val="6F215763"/>
    <w:rsid w:val="6F926461"/>
    <w:rsid w:val="6F9921A1"/>
    <w:rsid w:val="6FA453FA"/>
    <w:rsid w:val="71E101E4"/>
    <w:rsid w:val="71EA2A00"/>
    <w:rsid w:val="720B7A64"/>
    <w:rsid w:val="720F6016"/>
    <w:rsid w:val="722D6F9E"/>
    <w:rsid w:val="72581C8E"/>
    <w:rsid w:val="72597CA1"/>
    <w:rsid w:val="73407EBD"/>
    <w:rsid w:val="73932176"/>
    <w:rsid w:val="73EF4563"/>
    <w:rsid w:val="74037319"/>
    <w:rsid w:val="74175679"/>
    <w:rsid w:val="744124AA"/>
    <w:rsid w:val="74664F47"/>
    <w:rsid w:val="74A50725"/>
    <w:rsid w:val="756E538F"/>
    <w:rsid w:val="75D950C9"/>
    <w:rsid w:val="76176BBA"/>
    <w:rsid w:val="76627BD4"/>
    <w:rsid w:val="76F41323"/>
    <w:rsid w:val="77100360"/>
    <w:rsid w:val="778222EA"/>
    <w:rsid w:val="778B4219"/>
    <w:rsid w:val="778E7991"/>
    <w:rsid w:val="77A30DC4"/>
    <w:rsid w:val="77E0572E"/>
    <w:rsid w:val="77ED4104"/>
    <w:rsid w:val="78EC13E3"/>
    <w:rsid w:val="78EF4372"/>
    <w:rsid w:val="79771B00"/>
    <w:rsid w:val="7980282D"/>
    <w:rsid w:val="798F6426"/>
    <w:rsid w:val="79B94653"/>
    <w:rsid w:val="7ACA272A"/>
    <w:rsid w:val="7B0E7C70"/>
    <w:rsid w:val="7B2E004A"/>
    <w:rsid w:val="7B76641B"/>
    <w:rsid w:val="7BA315F0"/>
    <w:rsid w:val="7BBF1397"/>
    <w:rsid w:val="7CED52DC"/>
    <w:rsid w:val="7DAD7B6B"/>
    <w:rsid w:val="7E4C7E5D"/>
    <w:rsid w:val="7E6F339A"/>
    <w:rsid w:val="7E810662"/>
    <w:rsid w:val="7ED67E61"/>
    <w:rsid w:val="7F590AE3"/>
    <w:rsid w:val="7FB62CC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4"/>
      <w:szCs w:val="24"/>
      <w:lang w:val="en-US" w:eastAsia="zh-CN" w:bidi="ar-SA"/>
    </w:rPr>
  </w:style>
  <w:style w:type="paragraph" w:styleId="2">
    <w:name w:val="heading 1"/>
    <w:basedOn w:val="1"/>
    <w:next w:val="1"/>
    <w:link w:val="22"/>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1"/>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3"/>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uiPriority w:val="99"/>
    <w:tblPr>
      <w:tblStyle w:val="11"/>
      <w:tblLayout w:type="fixed"/>
      <w:tblCellMar>
        <w:top w:w="0" w:type="dxa"/>
        <w:left w:w="108" w:type="dxa"/>
        <w:bottom w:w="0" w:type="dxa"/>
        <w:right w:w="108" w:type="dxa"/>
      </w:tblCellMar>
    </w:tblPr>
  </w:style>
  <w:style w:type="paragraph" w:styleId="5">
    <w:name w:val="annotation text"/>
    <w:basedOn w:val="1"/>
    <w:link w:val="19"/>
    <w:uiPriority w:val="0"/>
    <w:pPr>
      <w:jc w:val="left"/>
    </w:pPr>
  </w:style>
  <w:style w:type="paragraph" w:styleId="6">
    <w:name w:val="Balloon Text"/>
    <w:basedOn w:val="1"/>
    <w:link w:val="20"/>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uiPriority w:val="0"/>
    <w:rPr>
      <w:sz w:val="24"/>
    </w:rPr>
  </w:style>
  <w:style w:type="paragraph" w:styleId="10">
    <w:name w:val="annotation subject"/>
    <w:basedOn w:val="5"/>
    <w:next w:val="5"/>
    <w:link w:val="24"/>
    <w:uiPriority w:val="0"/>
    <w:rPr>
      <w:b/>
      <w:bCs/>
    </w:rPr>
  </w:style>
  <w:style w:type="table" w:styleId="12">
    <w:name w:val="Table Grid"/>
    <w:basedOn w:val="11"/>
    <w:unhideWhenUsed/>
    <w:uiPriority w:val="99"/>
    <w:pPr>
      <w:widowControl w:val="0"/>
      <w:jc w:val="both"/>
    </w:pPr>
    <w:tblPr>
      <w:tblStyle w:val="1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paragraph" w:customStyle="1" w:styleId="16">
    <w:name w:val="样式1"/>
    <w:basedOn w:val="1"/>
    <w:next w:val="1"/>
    <w:uiPriority w:val="0"/>
    <w:pPr>
      <w:keepNext/>
      <w:keepLines/>
      <w:spacing w:before="340" w:beforeLines="0" w:after="330" w:afterLines="0" w:line="576" w:lineRule="auto"/>
      <w:outlineLvl w:val="0"/>
    </w:pPr>
    <w:rPr>
      <w:rFonts w:hint="eastAsia"/>
      <w:b/>
      <w:kern w:val="44"/>
      <w:sz w:val="44"/>
    </w:rPr>
  </w:style>
  <w:style w:type="paragraph" w:customStyle="1" w:styleId="17">
    <w:name w:val="Default"/>
    <w:qFormat/>
    <w:uiPriority w:val="0"/>
    <w:pPr>
      <w:widowControl w:val="0"/>
      <w:autoSpaceDE w:val="0"/>
      <w:autoSpaceDN w:val="0"/>
      <w:adjustRightInd w:val="0"/>
    </w:pPr>
    <w:rPr>
      <w:color w:val="000000"/>
      <w:sz w:val="24"/>
      <w:szCs w:val="24"/>
      <w:lang w:val="en-US" w:eastAsia="zh-CN" w:bidi="ar-SA"/>
    </w:rPr>
  </w:style>
  <w:style w:type="paragraph" w:customStyle="1" w:styleId="18">
    <w:name w:val="List Paragraph"/>
    <w:basedOn w:val="1"/>
    <w:unhideWhenUsed/>
    <w:uiPriority w:val="99"/>
    <w:pPr>
      <w:ind w:firstLine="420" w:firstLineChars="200"/>
    </w:pPr>
  </w:style>
  <w:style w:type="character" w:customStyle="1" w:styleId="19">
    <w:name w:val="批注文字 Char"/>
    <w:link w:val="5"/>
    <w:uiPriority w:val="0"/>
    <w:rPr>
      <w:rFonts w:ascii="Calibri" w:hAnsi="Calibri" w:cs="黑体"/>
      <w:kern w:val="2"/>
      <w:sz w:val="21"/>
      <w:szCs w:val="24"/>
    </w:rPr>
  </w:style>
  <w:style w:type="character" w:customStyle="1" w:styleId="20">
    <w:name w:val="批注框文本 Char"/>
    <w:link w:val="6"/>
    <w:uiPriority w:val="0"/>
    <w:rPr>
      <w:rFonts w:ascii="Calibri" w:hAnsi="Calibri" w:cs="黑体"/>
      <w:kern w:val="2"/>
      <w:sz w:val="18"/>
      <w:szCs w:val="18"/>
    </w:rPr>
  </w:style>
  <w:style w:type="character" w:customStyle="1" w:styleId="21">
    <w:name w:val="标题 2 Char"/>
    <w:link w:val="3"/>
    <w:uiPriority w:val="0"/>
    <w:rPr>
      <w:rFonts w:ascii="Arial" w:hAnsi="Arial" w:eastAsia="宋体"/>
      <w:b/>
      <w:sz w:val="24"/>
    </w:rPr>
  </w:style>
  <w:style w:type="character" w:customStyle="1" w:styleId="22">
    <w:name w:val="标题 1 Char"/>
    <w:link w:val="2"/>
    <w:uiPriority w:val="0"/>
    <w:rPr>
      <w:rFonts w:eastAsia="宋体"/>
      <w:b/>
      <w:kern w:val="44"/>
      <w:sz w:val="44"/>
    </w:rPr>
  </w:style>
  <w:style w:type="character" w:customStyle="1" w:styleId="23">
    <w:name w:val="标题 3 Char"/>
    <w:link w:val="4"/>
    <w:uiPriority w:val="0"/>
    <w:rPr>
      <w:rFonts w:hAnsi="Calibri" w:eastAsia="宋体"/>
      <w:b/>
      <w:sz w:val="24"/>
    </w:rPr>
  </w:style>
  <w:style w:type="character" w:customStyle="1" w:styleId="24">
    <w:name w:val="批注主题 Char"/>
    <w:link w:val="10"/>
    <w:uiPriority w:val="0"/>
    <w:rPr>
      <w:rFonts w:ascii="Calibri" w:hAnsi="Calibri" w:cs="黑体"/>
      <w:b/>
      <w:bCs/>
      <w:kern w:val="2"/>
      <w:sz w:val="21"/>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57</Pages>
  <Words>36968</Words>
  <Characters>39433</Characters>
  <Lines>1</Lines>
  <Paragraphs>1</Paragraphs>
  <TotalTime>1</TotalTime>
  <ScaleCrop>false</ScaleCrop>
  <LinksUpToDate>false</LinksUpToDate>
  <CharactersWithSpaces>39658</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陈舒虹</dc:creator>
  <cp:lastModifiedBy>hccb</cp:lastModifiedBy>
  <dcterms:modified xsi:type="dcterms:W3CDTF">2025-11-03T05:45:07Z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06A49D61929F4201B4ADB8DA4C945300</vt:lpwstr>
  </property>
</Properties>
</file>