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rPr>
      </w:pPr>
      <w:bookmarkStart w:id="0" w:name="_GoBack"/>
      <w:bookmarkEnd w:id="0"/>
      <w:r>
        <w:rPr>
          <w:rFonts w:hint="eastAsia"/>
          <w:b/>
          <w:sz w:val="44"/>
          <w:szCs w:val="44"/>
        </w:rPr>
        <w:t>杭银理财理财计划销售协议书</w:t>
      </w:r>
    </w:p>
    <w:p>
      <w:pPr>
        <w:jc w:val="center"/>
        <w:rPr>
          <w:rFonts w:hint="eastAsia" w:ascii="宋体" w:hAnsi="宋体" w:cs="宋体"/>
          <w:sz w:val="28"/>
          <w:szCs w:val="28"/>
        </w:rPr>
      </w:pPr>
      <w:r>
        <w:rPr>
          <w:rFonts w:hint="eastAsia" w:ascii="宋体" w:hAnsi="宋体" w:cs="宋体"/>
          <w:sz w:val="28"/>
          <w:szCs w:val="28"/>
        </w:rPr>
        <w:t>（202201版）</w:t>
      </w:r>
    </w:p>
    <w:p>
      <w:pPr>
        <w:spacing w:line="360" w:lineRule="auto"/>
        <w:jc w:val="center"/>
        <w:rPr>
          <w:sz w:val="32"/>
          <w:szCs w:val="40"/>
        </w:rPr>
      </w:pPr>
      <w:r>
        <w:rPr>
          <w:rFonts w:hint="eastAsia" w:ascii="宋体" w:hAnsi="宋体" w:cs="宋体"/>
          <w:b/>
          <w:bCs/>
          <w:u w:val="single"/>
        </w:rPr>
        <w:t>理财非存款、产品有风险、投资须谨慎</w:t>
      </w:r>
    </w:p>
    <w:p>
      <w:pPr>
        <w:spacing w:line="360" w:lineRule="auto"/>
        <w:ind w:firstLine="482" w:firstLineChars="200"/>
        <w:rPr>
          <w:rFonts w:hint="eastAsia"/>
          <w:b/>
          <w:bCs/>
        </w:rPr>
      </w:pPr>
      <w:r>
        <w:rPr>
          <w:rFonts w:hint="eastAsia"/>
          <w:b/>
          <w:bCs/>
        </w:rPr>
        <w:t>特别提示：《杭银理财理财计划销售协议书</w:t>
      </w:r>
      <w:r>
        <w:rPr>
          <w:rFonts w:hint="eastAsia" w:ascii="宋体" w:hAnsi="宋体" w:cs="宋体"/>
          <w:b/>
          <w:bCs/>
        </w:rPr>
        <w:t>（202201版）</w:t>
      </w:r>
      <w:r>
        <w:rPr>
          <w:rFonts w:hint="eastAsia"/>
          <w:b/>
          <w:bCs/>
        </w:rPr>
        <w:t>》与对应期次的理财计划风险揭示书、理财计划产品说明书、投资者权益须知及理财计划投资协议书共同构成完整且不可分割的理财计划合同。杭银理财有限责任公司（以下简称“杭银理财”）建议投资者在购买理财计划前认真阅读全套理财计划合同，投资者签署本协议书（含电子渠道签署）即视为已详细阅读理财计划合同并知悉相关风险，自愿投资购买理财计划、遵守合同约定并承担相应风险。</w:t>
      </w:r>
    </w:p>
    <w:p>
      <w:pPr>
        <w:spacing w:line="360" w:lineRule="auto"/>
        <w:ind w:firstLine="482" w:firstLineChars="200"/>
        <w:rPr>
          <w:b/>
          <w:bCs/>
        </w:rPr>
      </w:pPr>
      <w:r>
        <w:rPr>
          <w:rFonts w:hint="eastAsia"/>
          <w:b/>
          <w:bCs/>
        </w:rPr>
        <w:t>理财非存款、产品有风险、投资须谨慎，理财计划过往业绩不代表其未来表现，不等于理财计划实际收益。</w:t>
      </w:r>
    </w:p>
    <w:p>
      <w:pPr>
        <w:widowControl/>
        <w:spacing w:line="360" w:lineRule="auto"/>
        <w:ind w:firstLine="480" w:firstLineChars="200"/>
        <w:rPr>
          <w:rFonts w:hint="eastAsia"/>
        </w:rPr>
      </w:pPr>
      <w:r>
        <w:rPr>
          <w:rFonts w:hint="eastAsia"/>
        </w:rPr>
        <w:t>理财计划销售的相关法律主体为发行理财计划的理财公司、理财公司自有销售渠道以及接受理财公司委托销售其发行理财计划的代理销售机构（以下简称“销售机构”）和投资者三方。理财公司是理财计划的设计发行方与管理人，理财公司和销售机构面向投资者实施销售行为，两方共同承担理财计划的合规销售和投资者合法权益保护义务。</w:t>
      </w:r>
    </w:p>
    <w:p>
      <w:pPr>
        <w:widowControl/>
        <w:spacing w:line="360" w:lineRule="auto"/>
        <w:ind w:firstLine="480" w:firstLineChars="200"/>
        <w:rPr>
          <w:rFonts w:hint="eastAsia"/>
        </w:rPr>
      </w:pPr>
      <w:r>
        <w:rPr>
          <w:rFonts w:hint="eastAsia"/>
        </w:rPr>
        <w:t>投资者与销售机构经平等友好协商，本着自愿、诚实信用原则，就投资者购买销售机构代理销售的理财计划有关事宜达成如下协议（以下简称“本协议”）：</w:t>
      </w:r>
    </w:p>
    <w:p>
      <w:pPr>
        <w:widowControl/>
        <w:spacing w:line="360" w:lineRule="auto"/>
        <w:ind w:firstLine="480" w:firstLineChars="200"/>
        <w:rPr>
          <w:rFonts w:hint="eastAsia"/>
        </w:rPr>
      </w:pPr>
    </w:p>
    <w:p>
      <w:pPr>
        <w:widowControl/>
        <w:spacing w:line="360" w:lineRule="auto"/>
        <w:ind w:firstLine="482" w:firstLineChars="200"/>
        <w:outlineLvl w:val="1"/>
        <w:rPr>
          <w:rFonts w:hint="eastAsia"/>
          <w:b/>
          <w:bCs/>
        </w:rPr>
      </w:pPr>
      <w:r>
        <w:rPr>
          <w:rFonts w:hint="eastAsia"/>
          <w:b/>
          <w:bCs/>
        </w:rPr>
        <w:t>第一条 名词释义</w:t>
      </w:r>
    </w:p>
    <w:p>
      <w:pPr>
        <w:widowControl/>
        <w:spacing w:line="360" w:lineRule="auto"/>
        <w:ind w:firstLine="480" w:firstLineChars="200"/>
        <w:jc w:val="left"/>
        <w:rPr>
          <w:rFonts w:hint="eastAsia"/>
          <w:bCs/>
        </w:rPr>
      </w:pPr>
      <w:r>
        <w:rPr>
          <w:rFonts w:hint="eastAsia"/>
          <w:bCs/>
        </w:rPr>
        <w:t>详见对应期次的理财计划产品说明书“释义”部分。</w:t>
      </w:r>
    </w:p>
    <w:p>
      <w:pPr>
        <w:widowControl/>
        <w:spacing w:line="360" w:lineRule="auto"/>
        <w:ind w:firstLine="480" w:firstLineChars="200"/>
        <w:jc w:val="left"/>
        <w:rPr>
          <w:rFonts w:hint="eastAsia"/>
          <w:bCs/>
        </w:rPr>
      </w:pPr>
    </w:p>
    <w:p>
      <w:pPr>
        <w:widowControl/>
        <w:spacing w:line="360" w:lineRule="auto"/>
        <w:ind w:firstLine="482" w:firstLineChars="200"/>
        <w:jc w:val="left"/>
        <w:outlineLvl w:val="1"/>
        <w:rPr>
          <w:rFonts w:hint="eastAsia"/>
          <w:b/>
          <w:bCs/>
        </w:rPr>
      </w:pPr>
      <w:r>
        <w:rPr>
          <w:rFonts w:hint="eastAsia"/>
          <w:b/>
          <w:bCs/>
        </w:rPr>
        <w:t>第二条 投资者权利与义务</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olor w:val="000000"/>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投资者保证自身完全了解理财投资的性质，投资所涉及的风险以及自身风险承受能力，在慎重考虑后独立作出交易决定。</w:t>
      </w:r>
    </w:p>
    <w:p>
      <w:pPr>
        <w:widowControl/>
        <w:numPr>
          <w:ilvl w:val="0"/>
          <w:numId w:val="1"/>
        </w:numPr>
        <w:spacing w:line="360" w:lineRule="auto"/>
        <w:ind w:firstLine="482" w:firstLineChars="200"/>
        <w:contextualSpacing/>
        <w:outlineLvl w:val="2"/>
        <w:rPr>
          <w:rFonts w:hint="eastAsia" w:ascii="宋体" w:hAnsi="宋体"/>
        </w:rPr>
      </w:pPr>
      <w:r>
        <w:rPr>
          <w:rFonts w:hint="eastAsia" w:ascii="宋体" w:hAnsi="宋体"/>
          <w:b/>
          <w:bCs/>
        </w:rPr>
        <w:t>投资者购买销售机构代理销售的私募理财计划后，可以享有24 小时的投资冷静期，在投资冷静期内，如投资者改变投资决定，应提出解除相应理财计划合同文件申请，销售机构将及时退还投资者的全部投资款项。</w:t>
      </w:r>
      <w:r>
        <w:rPr>
          <w:rFonts w:hint="eastAsia" w:ascii="宋体" w:hAnsi="宋体"/>
        </w:rPr>
        <w:t>投资冷静期相关约定详见理财计划产品说明书。</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投资者保证其有权利签署本协议和履行本协议所述的义务，并已为此采取一切所需的行为。</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投资者保证执行及交付任何文件或履行本协议项下的义务，均不会违反任何适用法律、法规、法令或法律限制；不会违反任何法院或政府机关所作出的适用于投资者或投资者任何资产的判决或指令；不会违反对投资者或投资者任何资产有约束力的任何重大协议条款。投资者应在签署本协议的同时在其授权指定的账户中（以下简称“授权指定账户”）存入足额的资金以确保账户余额大于或等于认/申购金额。</w:t>
      </w:r>
    </w:p>
    <w:p>
      <w:pPr>
        <w:widowControl/>
        <w:numPr>
          <w:ilvl w:val="0"/>
          <w:numId w:val="1"/>
        </w:numPr>
        <w:spacing w:line="360" w:lineRule="auto"/>
        <w:ind w:firstLine="482" w:firstLineChars="200"/>
        <w:contextualSpacing/>
        <w:outlineLvl w:val="2"/>
        <w:rPr>
          <w:rFonts w:hint="eastAsia" w:ascii="宋体" w:hAnsi="宋体"/>
        </w:rPr>
      </w:pPr>
      <w:r>
        <w:rPr>
          <w:rFonts w:hint="eastAsia" w:ascii="宋体" w:hAnsi="宋体"/>
          <w:b/>
          <w:bCs/>
        </w:rPr>
        <w:t>投资者在此确认销售机构的系统记录以及录音、录像构成对投资者操作行为（包括但不限于购买、赎回、撤单）的有效证据，并且在双方发生争议时可以作为合法有效的证据使用</w:t>
      </w:r>
      <w:r>
        <w:rPr>
          <w:rFonts w:hint="eastAsia" w:ascii="宋体" w:hAnsi="宋体"/>
        </w:rPr>
        <w:t>。</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销售机构对此不承担任何责任。 </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 xml:space="preserve">在本理财计划存续期内，如有权机关要求销售机构配合对投资者理财份额、理财账户、授权指定账户进行查封、冻结或扣划的，销售机构有权根据实际情况采取相应措施。销售机构对上述后果不承担任何责任。 </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本协议终止前，投资者不得将授权指定账户销户。若发生因投资者注销授权指定账户造成理财计划无法正常兑付的，销售机构不承担任何责任。</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 xml:space="preserve">投资者应确保其提供的所有资料真实、完整、合法、有效，如果有任何变更，投资者应及时通知销售机构并办理变更手续。如因投资者未及时通知销售机构并办理相应的变更手续，由此导致的一切后果由投资者自行承担，销售机构对此不承担任何责任。 </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投资者对本协议及其条款负有保密义务，未经销售机构书面许可，不得向任何组织、个人提供或泄露与销售机构有关的业务资料及信息，但法律、法规另有规定的除外。</w:t>
      </w:r>
    </w:p>
    <w:p>
      <w:pPr>
        <w:widowControl/>
        <w:numPr>
          <w:ilvl w:val="0"/>
          <w:numId w:val="1"/>
        </w:numPr>
        <w:spacing w:line="360" w:lineRule="auto"/>
        <w:ind w:firstLine="480" w:firstLineChars="200"/>
        <w:contextualSpacing/>
        <w:outlineLvl w:val="2"/>
        <w:rPr>
          <w:rFonts w:hint="eastAsia" w:ascii="宋体" w:hAnsi="宋体"/>
        </w:rPr>
      </w:pPr>
      <w:r>
        <w:rPr>
          <w:rFonts w:hint="eastAsia" w:ascii="宋体" w:hAnsi="宋体"/>
        </w:rPr>
        <w:t>投资者进行投资时，应严格遵守反洗钱相关法规的规定，切实履行反洗钱及反恐怖融资义务。</w:t>
      </w:r>
    </w:p>
    <w:p>
      <w:pPr>
        <w:widowControl/>
        <w:numPr>
          <w:ilvl w:val="0"/>
          <w:numId w:val="1"/>
        </w:numPr>
        <w:spacing w:line="360" w:lineRule="auto"/>
        <w:ind w:firstLine="482" w:firstLineChars="200"/>
        <w:contextualSpacing/>
        <w:outlineLvl w:val="2"/>
        <w:rPr>
          <w:rFonts w:hint="eastAsia" w:ascii="宋体" w:hAnsi="宋体"/>
          <w:b/>
          <w:bCs/>
        </w:rPr>
      </w:pPr>
      <w:r>
        <w:rPr>
          <w:rFonts w:hint="eastAsia" w:ascii="宋体" w:hAnsi="宋体"/>
          <w:b/>
          <w:bCs/>
        </w:rPr>
        <w:t>投资者个人信息授权</w:t>
      </w:r>
    </w:p>
    <w:p>
      <w:pPr>
        <w:widowControl/>
        <w:spacing w:line="360" w:lineRule="auto"/>
        <w:ind w:firstLine="482" w:firstLineChars="200"/>
        <w:contextualSpacing/>
        <w:rPr>
          <w:rFonts w:hint="eastAsia" w:ascii="宋体" w:hAnsi="宋体"/>
          <w:b/>
          <w:bCs/>
        </w:rPr>
      </w:pPr>
      <w:r>
        <w:rPr>
          <w:rFonts w:hint="eastAsia" w:ascii="宋体" w:hAnsi="宋体"/>
          <w:b/>
          <w:bCs/>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firstLine="482" w:firstLineChars="200"/>
        <w:contextualSpacing/>
        <w:outlineLvl w:val="2"/>
        <w:rPr>
          <w:rFonts w:hint="eastAsia" w:ascii="宋体" w:hAnsi="宋体"/>
          <w:b/>
          <w:bCs/>
        </w:rPr>
      </w:pPr>
      <w:r>
        <w:rPr>
          <w:rFonts w:hint="eastAsia" w:ascii="宋体" w:hAnsi="宋体"/>
          <w:b/>
          <w:bCs/>
        </w:rPr>
        <w:t>投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spacing w:line="360" w:lineRule="auto"/>
        <w:ind w:firstLine="482" w:firstLineChars="200"/>
        <w:contextualSpacing/>
        <w:rPr>
          <w:rFonts w:ascii="宋体" w:hAnsi="宋体"/>
          <w:b/>
          <w:bCs/>
        </w:rPr>
      </w:pPr>
    </w:p>
    <w:p>
      <w:pPr>
        <w:widowControl/>
        <w:spacing w:line="360" w:lineRule="auto"/>
        <w:ind w:firstLine="482" w:firstLineChars="200"/>
        <w:outlineLvl w:val="1"/>
        <w:rPr>
          <w:rFonts w:hint="eastAsia"/>
          <w:b/>
          <w:bCs/>
        </w:rPr>
      </w:pPr>
      <w:r>
        <w:rPr>
          <w:rFonts w:hint="eastAsia"/>
          <w:b/>
          <w:bCs/>
        </w:rPr>
        <w:t>第三条 销售机构的权利与义务</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widowControl/>
        <w:numPr>
          <w:ilvl w:val="0"/>
          <w:numId w:val="2"/>
        </w:numPr>
        <w:spacing w:line="360" w:lineRule="auto"/>
        <w:ind w:firstLine="482" w:firstLineChars="200"/>
        <w:contextualSpacing/>
        <w:jc w:val="left"/>
        <w:outlineLvl w:val="2"/>
        <w:rPr>
          <w:rFonts w:hint="eastAsia" w:ascii="宋体" w:hAnsi="宋体"/>
        </w:rPr>
      </w:pPr>
      <w:r>
        <w:rPr>
          <w:rFonts w:hint="eastAsia" w:ascii="宋体" w:hAnsi="宋体"/>
          <w:b/>
          <w:bCs/>
        </w:rPr>
        <w:t>代理销售机构非本计划的发行、管理机构，对本计划的业绩不承担任何保证和其他经济责任，不承担本计划的投资、兑付和风险管理责任</w:t>
      </w:r>
      <w:r>
        <w:rPr>
          <w:rFonts w:hint="eastAsia" w:ascii="宋体" w:hAnsi="宋体"/>
        </w:rPr>
        <w:t>。</w:t>
      </w:r>
    </w:p>
    <w:p>
      <w:pPr>
        <w:widowControl/>
        <w:numPr>
          <w:ilvl w:val="0"/>
          <w:numId w:val="2"/>
        </w:numPr>
        <w:spacing w:line="360" w:lineRule="auto"/>
        <w:ind w:firstLine="480" w:firstLineChars="200"/>
        <w:contextualSpacing/>
        <w:outlineLvl w:val="2"/>
        <w:rPr>
          <w:rFonts w:hint="eastAsia" w:ascii="宋体" w:hAnsi="宋体"/>
        </w:rPr>
      </w:pPr>
      <w:r>
        <w:rPr>
          <w:rFonts w:hint="eastAsia" w:ascii="宋体" w:hAnsi="宋体"/>
        </w:rPr>
        <w:t>销售机构应定期对购买其代理销售的理财计划的非机构投资者进行有效风险承受能力评估，并保证向投资者推介及销售与其风险承受能力匹配的产品。</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widowControl/>
        <w:numPr>
          <w:ilvl w:val="0"/>
          <w:numId w:val="2"/>
        </w:numPr>
        <w:spacing w:line="360" w:lineRule="auto"/>
        <w:ind w:firstLine="480" w:firstLineChars="200"/>
        <w:contextualSpacing/>
        <w:outlineLvl w:val="2"/>
        <w:rPr>
          <w:rFonts w:hint="eastAsia" w:ascii="宋体" w:hAnsi="宋体"/>
        </w:rPr>
      </w:pPr>
      <w:r>
        <w:rPr>
          <w:rFonts w:hint="eastAsia" w:ascii="宋体" w:hAnsi="宋体"/>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销售机构应建立健全上岗资格、持续培训、信息公示与查询核实等制度并有效执行。未经销售机构进行上岗资格认定并签订劳动合同，任何人员不得从事理财计划销售业务活动。</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销售机构应对所有销售人员信息进行登记和公示。销售人员在向投资者宣传销售理财计划前进行自我介绍并告知信息查询和核实渠道，便于投资者查询核实，防止伪冒身份和虚假宣传。</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销售机构对投资者负有信息保密义务，未经投资者书面许可，乙方不得向任何组织、个人提供或泄露与甲方有关的业务资料及信息，但法律、法规另有规定的除外。</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销售机构应按照法律法规、监管规定、理财计划合同的约定收取销售费用，并如实核算、记账。未经载明，不得对不同投资者适用不同费率。</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理财计划销售结算资金属于理财计划投资者，销售机构不得挪用理财计划销售结算资金或将理财计划销售结算资金归入自有资产。</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销售机构应遵守相关法律、法规、监管规定及理财计划合同约定，诚实守信、勤勉尽责，向购买理财计划的投资者充分传递管理人披露的产品相关信息并进行充分的风险揭示。</w:t>
      </w:r>
    </w:p>
    <w:p>
      <w:pPr>
        <w:widowControl/>
        <w:numPr>
          <w:ilvl w:val="0"/>
          <w:numId w:val="2"/>
        </w:numPr>
        <w:spacing w:line="360" w:lineRule="auto"/>
        <w:ind w:firstLine="480" w:firstLineChars="200"/>
        <w:contextualSpacing/>
        <w:jc w:val="left"/>
        <w:outlineLvl w:val="2"/>
        <w:rPr>
          <w:rFonts w:hint="eastAsia" w:ascii="宋体" w:hAnsi="宋体"/>
        </w:rPr>
      </w:pPr>
      <w:r>
        <w:rPr>
          <w:rFonts w:hint="eastAsia" w:ascii="宋体" w:hAnsi="宋体"/>
        </w:rPr>
        <w:t>销售机构应当充分利用科技手段，加强对伪冒网站、伪冒产品等监测，有效防范各类欺诈风险。</w:t>
      </w:r>
    </w:p>
    <w:p>
      <w:pPr>
        <w:widowControl/>
        <w:spacing w:line="360" w:lineRule="auto"/>
        <w:ind w:left="482"/>
        <w:contextualSpacing/>
        <w:jc w:val="left"/>
        <w:rPr>
          <w:rFonts w:hint="eastAsia" w:ascii="宋体" w:hAnsi="宋体"/>
          <w:b/>
          <w:bCs/>
        </w:rPr>
      </w:pPr>
    </w:p>
    <w:p>
      <w:pPr>
        <w:widowControl/>
        <w:spacing w:line="360" w:lineRule="auto"/>
        <w:ind w:firstLine="482" w:firstLineChars="200"/>
        <w:outlineLvl w:val="1"/>
        <w:rPr>
          <w:rFonts w:hint="eastAsia"/>
          <w:b/>
          <w:bCs/>
        </w:rPr>
      </w:pPr>
      <w:r>
        <w:rPr>
          <w:rFonts w:hint="eastAsia"/>
          <w:b/>
          <w:bCs/>
        </w:rPr>
        <w:t>第四条 理财计划认（申）购、赎回及终止</w:t>
      </w:r>
    </w:p>
    <w:p>
      <w:pPr>
        <w:widowControl/>
        <w:numPr>
          <w:ilvl w:val="0"/>
          <w:numId w:val="3"/>
        </w:numPr>
        <w:spacing w:line="360" w:lineRule="auto"/>
        <w:ind w:firstLine="480" w:firstLineChars="200"/>
        <w:contextualSpacing/>
        <w:outlineLvl w:val="2"/>
        <w:rPr>
          <w:rFonts w:hint="eastAsia" w:ascii="宋体" w:hAnsi="宋体"/>
        </w:rPr>
      </w:pPr>
      <w:r>
        <w:rPr>
          <w:rFonts w:hint="eastAsia" w:ascii="宋体" w:hAnsi="宋体"/>
        </w:rPr>
        <w:t xml:space="preserve">理财计划认/申购办理流程：参照投资者权益须知约定。 </w:t>
      </w:r>
    </w:p>
    <w:p>
      <w:pPr>
        <w:widowControl/>
        <w:numPr>
          <w:ilvl w:val="0"/>
          <w:numId w:val="3"/>
        </w:numPr>
        <w:spacing w:line="360" w:lineRule="auto"/>
        <w:ind w:firstLine="480" w:firstLineChars="200"/>
        <w:contextualSpacing/>
        <w:outlineLvl w:val="2"/>
        <w:rPr>
          <w:rFonts w:hint="eastAsia" w:ascii="宋体" w:hAnsi="宋体"/>
        </w:rPr>
      </w:pPr>
      <w:r>
        <w:rPr>
          <w:rFonts w:hint="eastAsia" w:ascii="宋体" w:hAnsi="宋体"/>
        </w:rPr>
        <w:t>理财计划认/申购确认：管理人根据销售渠道提供的交易信息及资金划付对投资者相应认/申购进行确认。</w:t>
      </w:r>
    </w:p>
    <w:p>
      <w:pPr>
        <w:widowControl/>
        <w:numPr>
          <w:ilvl w:val="0"/>
          <w:numId w:val="3"/>
        </w:numPr>
        <w:spacing w:line="360" w:lineRule="auto"/>
        <w:ind w:firstLine="480" w:firstLineChars="200"/>
        <w:contextualSpacing/>
        <w:outlineLvl w:val="2"/>
        <w:rPr>
          <w:rFonts w:hint="eastAsia" w:ascii="宋体" w:hAnsi="宋体"/>
        </w:rPr>
      </w:pPr>
      <w:r>
        <w:rPr>
          <w:rFonts w:hint="eastAsia" w:ascii="宋体" w:hAnsi="宋体"/>
        </w:rPr>
        <w:t xml:space="preserve">理财计划不成立：若在募集期结束日，本理财计划发行规模未能达到对应期次的理财计划产品说明书规定的要求，则本理财计划不成立，销售机构将按对应期次的理财计划产品说明书约定条款向投资者进行公告，并将及时解除对投资者授权指定账户中认购资金的冻结。 </w:t>
      </w:r>
    </w:p>
    <w:p>
      <w:pPr>
        <w:widowControl/>
        <w:numPr>
          <w:ilvl w:val="0"/>
          <w:numId w:val="3"/>
        </w:numPr>
        <w:spacing w:line="360" w:lineRule="auto"/>
        <w:ind w:firstLine="480" w:firstLineChars="200"/>
        <w:contextualSpacing/>
        <w:outlineLvl w:val="2"/>
        <w:rPr>
          <w:rFonts w:hint="eastAsia" w:ascii="宋体" w:hAnsi="宋体"/>
        </w:rPr>
      </w:pPr>
      <w:r>
        <w:rPr>
          <w:rFonts w:hint="eastAsia" w:ascii="宋体" w:hAnsi="宋体"/>
        </w:rPr>
        <w:t xml:space="preserve">理财计划投资品种、投资起点金额、收益支付方式：参照对应期次的理财计划产品说明书中的条款约定。 </w:t>
      </w:r>
    </w:p>
    <w:p>
      <w:pPr>
        <w:widowControl/>
        <w:numPr>
          <w:ilvl w:val="0"/>
          <w:numId w:val="3"/>
        </w:numPr>
        <w:spacing w:line="360" w:lineRule="auto"/>
        <w:ind w:firstLine="480" w:firstLineChars="200"/>
        <w:contextualSpacing/>
        <w:outlineLvl w:val="2"/>
        <w:rPr>
          <w:rFonts w:hint="eastAsia" w:ascii="宋体" w:hAnsi="宋体"/>
        </w:rPr>
      </w:pPr>
      <w:r>
        <w:rPr>
          <w:rFonts w:hint="eastAsia" w:ascii="宋体" w:hAnsi="宋体"/>
        </w:rPr>
        <w:t>理财计划赎回/终止兑付：在正常情况下，管理人和销售机构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理财计划产品说明书约定管理人对理财计划进行延期或转换时，销售机构将于原约定清算日前通过信息披露途径及时通知，并根据实际情况进行后续处理。</w:t>
      </w:r>
    </w:p>
    <w:p>
      <w:pPr>
        <w:widowControl/>
        <w:numPr>
          <w:ilvl w:val="0"/>
          <w:numId w:val="3"/>
        </w:numPr>
        <w:spacing w:line="360" w:lineRule="auto"/>
        <w:ind w:firstLine="480" w:firstLineChars="200"/>
        <w:contextualSpacing/>
        <w:outlineLvl w:val="2"/>
        <w:rPr>
          <w:rFonts w:hint="eastAsia" w:ascii="宋体" w:hAnsi="宋体"/>
        </w:rPr>
      </w:pPr>
      <w:r>
        <w:rPr>
          <w:rFonts w:hint="eastAsia" w:ascii="宋体" w:hAnsi="宋体"/>
        </w:rPr>
        <w:t>资金清算：理财计划终止或份额赎回时，管理人按理财计划合同约定划付至销售机构清算账户后，由销售机构向投资者划付投资者应得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widowControl/>
        <w:spacing w:line="360" w:lineRule="auto"/>
        <w:ind w:left="204" w:leftChars="85"/>
        <w:contextualSpacing/>
        <w:rPr>
          <w:rFonts w:hint="eastAsia" w:ascii="宋体" w:hAnsi="宋体"/>
          <w:b/>
          <w:bCs/>
        </w:rPr>
      </w:pPr>
    </w:p>
    <w:p>
      <w:pPr>
        <w:widowControl/>
        <w:spacing w:line="360" w:lineRule="auto"/>
        <w:ind w:firstLine="482" w:firstLineChars="200"/>
        <w:outlineLvl w:val="1"/>
        <w:rPr>
          <w:rFonts w:hint="eastAsia"/>
          <w:b/>
          <w:bCs/>
        </w:rPr>
      </w:pPr>
      <w:r>
        <w:rPr>
          <w:rFonts w:hint="eastAsia"/>
          <w:b/>
          <w:bCs/>
        </w:rPr>
        <w:t>第五条 违约责任及免责条款</w:t>
      </w:r>
    </w:p>
    <w:p>
      <w:pPr>
        <w:widowControl/>
        <w:numPr>
          <w:ilvl w:val="0"/>
          <w:numId w:val="4"/>
        </w:numPr>
        <w:spacing w:line="360" w:lineRule="auto"/>
        <w:ind w:firstLine="480" w:firstLineChars="200"/>
        <w:contextualSpacing/>
        <w:outlineLvl w:val="2"/>
        <w:rPr>
          <w:rFonts w:hint="eastAsia" w:ascii="宋体" w:hAnsi="宋体"/>
        </w:rPr>
      </w:pPr>
      <w:r>
        <w:rPr>
          <w:rFonts w:hint="eastAsia" w:ascii="宋体" w:hAnsi="宋体"/>
        </w:rPr>
        <w:t>若因投资者原因导致司法或行政等有权机关采取强制措施对其理财本金、收益进行部分或全部被扣划，均视投资者本人就全部理财本金进行了提前赎回，本协议自动终止。因提前终止而产生的损失及相关费用由投资者承担。本协议因前述情况终止的，理财本金不计付赎回日前的理财收益，也不计付存款利息。</w:t>
      </w:r>
    </w:p>
    <w:p>
      <w:pPr>
        <w:widowControl/>
        <w:numPr>
          <w:ilvl w:val="0"/>
          <w:numId w:val="4"/>
        </w:numPr>
        <w:spacing w:line="360" w:lineRule="auto"/>
        <w:ind w:firstLine="480" w:firstLineChars="200"/>
        <w:contextualSpacing/>
        <w:outlineLvl w:val="2"/>
        <w:rPr>
          <w:rFonts w:hint="eastAsia" w:ascii="宋体" w:hAnsi="宋体"/>
        </w:rPr>
      </w:pPr>
      <w:r>
        <w:rPr>
          <w:rFonts w:hint="eastAsia" w:ascii="宋体" w:hAnsi="宋体"/>
        </w:rPr>
        <w:t>投资者违反本协议第二条内容，应承担相应违约责任。销售机构对由此导致的理财业务交易延误、中断、终止及投资者损失不承担任何责任，并有权单方终止双方理财业务关系。因投资者违反双方约定给销售机构或全体投资者造成损失的，投资者应承担相应的赔偿责任。</w:t>
      </w:r>
    </w:p>
    <w:p>
      <w:pPr>
        <w:widowControl/>
        <w:numPr>
          <w:ilvl w:val="0"/>
          <w:numId w:val="4"/>
        </w:numPr>
        <w:spacing w:line="360" w:lineRule="auto"/>
        <w:ind w:firstLine="480" w:firstLineChars="200"/>
        <w:contextualSpacing/>
        <w:outlineLvl w:val="2"/>
        <w:rPr>
          <w:rFonts w:hint="eastAsia" w:ascii="宋体" w:hAnsi="宋体"/>
        </w:rPr>
      </w:pPr>
      <w:r>
        <w:rPr>
          <w:rFonts w:hint="eastAsia" w:ascii="宋体" w:hAnsi="宋体"/>
        </w:rPr>
        <w:t>若由于销售机构过错导致理财计划资产发生损失，销售机构应按其过错承担赔偿责任，销售机构赔偿的款项计入理财计划的资产和收益。</w:t>
      </w:r>
    </w:p>
    <w:p>
      <w:pPr>
        <w:widowControl/>
        <w:numPr>
          <w:ilvl w:val="0"/>
          <w:numId w:val="4"/>
        </w:numPr>
        <w:spacing w:line="360" w:lineRule="auto"/>
        <w:ind w:firstLine="480" w:firstLineChars="200"/>
        <w:contextualSpacing/>
        <w:outlineLvl w:val="2"/>
        <w:rPr>
          <w:rFonts w:hint="eastAsia" w:ascii="宋体" w:hAnsi="宋体"/>
        </w:rPr>
      </w:pPr>
      <w:r>
        <w:rPr>
          <w:rFonts w:hint="eastAsia" w:ascii="宋体" w:hAnsi="宋体"/>
        </w:rPr>
        <w:t>由于地震、火灾、战争等不可抗力或突发重大卫生公共事件等不可预测事件造成的交易中断、延误等风险及损失，销售机构不承担责任；但销售机构应在上述情况发生后在条件允许时及时通知投资者并采取一切必要且可能的措施阻止损失扩大。</w:t>
      </w:r>
    </w:p>
    <w:p>
      <w:pPr>
        <w:widowControl/>
        <w:numPr>
          <w:ilvl w:val="0"/>
          <w:numId w:val="4"/>
        </w:numPr>
        <w:spacing w:line="360" w:lineRule="auto"/>
        <w:ind w:firstLine="480" w:firstLineChars="200"/>
        <w:contextualSpacing/>
        <w:outlineLvl w:val="2"/>
        <w:rPr>
          <w:rFonts w:hint="eastAsia" w:ascii="宋体" w:hAnsi="宋体"/>
        </w:rPr>
      </w:pPr>
      <w:r>
        <w:rPr>
          <w:rFonts w:hint="eastAsia" w:ascii="宋体" w:hAnsi="宋体"/>
        </w:rPr>
        <w:t>因国家有关法律、法规、规章、政策的修改或新的法律、法规、规章、政策颁布以及紧急措施的出台导致的风险及损失，销售机构不承担责任。</w:t>
      </w:r>
    </w:p>
    <w:p>
      <w:pPr>
        <w:widowControl/>
        <w:spacing w:line="360" w:lineRule="auto"/>
        <w:contextualSpacing/>
        <w:rPr>
          <w:rFonts w:hint="eastAsia" w:ascii="宋体" w:hAnsi="宋体"/>
          <w:b/>
          <w:bCs/>
        </w:rPr>
      </w:pPr>
    </w:p>
    <w:p>
      <w:pPr>
        <w:widowControl/>
        <w:spacing w:line="360" w:lineRule="auto"/>
        <w:ind w:firstLine="482" w:firstLineChars="200"/>
        <w:outlineLvl w:val="1"/>
        <w:rPr>
          <w:rFonts w:hint="eastAsia"/>
          <w:b/>
          <w:bCs/>
        </w:rPr>
      </w:pPr>
      <w:r>
        <w:rPr>
          <w:rFonts w:hint="eastAsia"/>
          <w:b/>
          <w:bCs/>
        </w:rPr>
        <w:t>第六条 适用法律与争议解决</w:t>
      </w:r>
    </w:p>
    <w:p>
      <w:pPr>
        <w:widowControl/>
        <w:spacing w:line="360" w:lineRule="auto"/>
        <w:ind w:firstLine="480" w:firstLineChars="200"/>
        <w:contextualSpacing/>
        <w:rPr>
          <w:rFonts w:hint="eastAsia" w:ascii="宋体" w:hAnsi="宋体"/>
        </w:rPr>
      </w:pPr>
      <w:r>
        <w:rPr>
          <w:rFonts w:hint="eastAsia" w:ascii="宋体" w:hAnsi="宋体"/>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销售机构或管理人所在地人民法院诉讼解决。诉讼期间，未涉及争议的条款仍需继续履行。</w:t>
      </w:r>
    </w:p>
    <w:p>
      <w:pPr>
        <w:widowControl/>
        <w:spacing w:line="360" w:lineRule="auto"/>
        <w:ind w:firstLine="482" w:firstLineChars="200"/>
        <w:contextualSpacing/>
        <w:rPr>
          <w:rFonts w:hint="eastAsia" w:ascii="宋体" w:hAnsi="宋体"/>
          <w:b/>
          <w:bCs/>
        </w:rPr>
      </w:pPr>
    </w:p>
    <w:p>
      <w:pPr>
        <w:widowControl/>
        <w:spacing w:line="360" w:lineRule="auto"/>
        <w:ind w:firstLine="482" w:firstLineChars="200"/>
        <w:outlineLvl w:val="1"/>
        <w:rPr>
          <w:rFonts w:hint="eastAsia"/>
          <w:b/>
          <w:bCs/>
        </w:rPr>
      </w:pPr>
      <w:r>
        <w:rPr>
          <w:rFonts w:hint="eastAsia"/>
          <w:b/>
          <w:bCs/>
        </w:rPr>
        <w:t>第七条 协议生效和终止</w:t>
      </w:r>
    </w:p>
    <w:p>
      <w:pPr>
        <w:widowControl/>
        <w:numPr>
          <w:ilvl w:val="0"/>
          <w:numId w:val="5"/>
        </w:numPr>
        <w:spacing w:line="360" w:lineRule="auto"/>
        <w:ind w:firstLine="480" w:firstLineChars="200"/>
        <w:contextualSpacing/>
        <w:outlineLvl w:val="2"/>
        <w:rPr>
          <w:rFonts w:hint="eastAsia" w:ascii="宋体" w:hAnsi="宋体"/>
        </w:rPr>
      </w:pPr>
      <w:r>
        <w:rPr>
          <w:rFonts w:hint="eastAsia" w:ascii="宋体" w:hAnsi="宋体"/>
        </w:rPr>
        <w:t xml:space="preserve">投资者和销售机构双方认可本协议可以纸质或电子数据等形式提交、订立或确认。 </w:t>
      </w:r>
    </w:p>
    <w:p>
      <w:pPr>
        <w:widowControl/>
        <w:numPr>
          <w:ilvl w:val="0"/>
          <w:numId w:val="6"/>
        </w:numPr>
        <w:spacing w:line="360" w:lineRule="auto"/>
        <w:ind w:firstLine="480" w:firstLineChars="200"/>
        <w:contextualSpacing/>
        <w:outlineLvl w:val="2"/>
        <w:rPr>
          <w:rFonts w:hint="eastAsia" w:ascii="宋体" w:hAnsi="宋体"/>
        </w:rPr>
      </w:pPr>
      <w:r>
        <w:rPr>
          <w:rFonts w:hint="eastAsia" w:ascii="宋体" w:hAnsi="宋体"/>
        </w:rPr>
        <w:t xml:space="preserve">本协议书以纸质书面形式订立的，自投资者签字和销售机构签章之后立即生效。协议一式叁份，投资者、管理人和销售机构各执壹份，具有同等法律效力。 </w:t>
      </w:r>
    </w:p>
    <w:p>
      <w:pPr>
        <w:widowControl/>
        <w:numPr>
          <w:ilvl w:val="0"/>
          <w:numId w:val="6"/>
        </w:numPr>
        <w:spacing w:line="360" w:lineRule="auto"/>
        <w:ind w:firstLine="480" w:firstLineChars="200"/>
        <w:contextualSpacing/>
        <w:outlineLvl w:val="2"/>
        <w:rPr>
          <w:rFonts w:hint="eastAsia" w:ascii="宋体" w:hAnsi="宋体"/>
        </w:rPr>
      </w:pPr>
      <w:r>
        <w:rPr>
          <w:rFonts w:hint="eastAsia" w:ascii="宋体" w:hAnsi="宋体"/>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ind w:firstLine="480" w:firstLineChars="200"/>
        <w:contextualSpacing/>
        <w:outlineLvl w:val="2"/>
        <w:rPr>
          <w:rFonts w:hint="eastAsia" w:ascii="宋体" w:hAnsi="宋体"/>
        </w:rPr>
      </w:pPr>
      <w:r>
        <w:rPr>
          <w:rFonts w:hint="eastAsia" w:ascii="宋体" w:hAnsi="宋体"/>
        </w:rPr>
        <w:t>投资者和销售机构双方在本协议及对应期次的理财计划产品说明书项下权利义务履行完毕之日，本协议自动终止。</w:t>
      </w:r>
    </w:p>
    <w:p>
      <w:pPr>
        <w:widowControl/>
        <w:spacing w:line="360" w:lineRule="auto"/>
        <w:ind w:left="420"/>
        <w:contextualSpacing/>
        <w:rPr>
          <w:rFonts w:hint="eastAsia" w:ascii="宋体" w:hAnsi="宋体"/>
        </w:rPr>
      </w:pPr>
    </w:p>
    <w:p>
      <w:pPr>
        <w:widowControl/>
        <w:spacing w:line="360" w:lineRule="auto"/>
        <w:ind w:firstLine="482" w:firstLineChars="200"/>
        <w:outlineLvl w:val="1"/>
        <w:rPr>
          <w:rFonts w:hint="eastAsia"/>
          <w:b/>
        </w:rPr>
      </w:pPr>
      <w:r>
        <w:rPr>
          <w:rFonts w:hint="eastAsia"/>
          <w:b/>
        </w:rPr>
        <w:t xml:space="preserve">第八条 附则 </w:t>
      </w:r>
    </w:p>
    <w:p>
      <w:pPr>
        <w:widowControl/>
        <w:numPr>
          <w:ilvl w:val="0"/>
          <w:numId w:val="7"/>
        </w:numPr>
        <w:spacing w:line="360" w:lineRule="auto"/>
        <w:ind w:firstLine="480" w:firstLineChars="200"/>
        <w:contextualSpacing/>
        <w:outlineLvl w:val="2"/>
        <w:rPr>
          <w:rFonts w:hint="eastAsia" w:ascii="宋体" w:hAnsi="宋体"/>
        </w:rPr>
      </w:pPr>
      <w:r>
        <w:rPr>
          <w:rFonts w:hint="eastAsia" w:ascii="宋体" w:hAnsi="宋体"/>
        </w:rPr>
        <w:t>如果投资者与销售机构之间存在多份理财计划销售协议书，则每一协议书分别与其所对应的理财计划产品说明书等销售文本单独构成一个理财计划合同，各个合同之间互相独立，每一合同的效力及履行情况均独立于其他合同。</w:t>
      </w:r>
    </w:p>
    <w:p>
      <w:pPr>
        <w:widowControl/>
        <w:numPr>
          <w:ilvl w:val="0"/>
          <w:numId w:val="7"/>
        </w:numPr>
        <w:spacing w:line="360" w:lineRule="auto"/>
        <w:ind w:firstLine="480" w:firstLineChars="200"/>
        <w:contextualSpacing/>
        <w:outlineLvl w:val="2"/>
        <w:rPr>
          <w:rFonts w:hint="eastAsia" w:ascii="宋体" w:hAnsi="宋体"/>
        </w:rPr>
      </w:pPr>
      <w:r>
        <w:rPr>
          <w:rFonts w:hint="eastAsia" w:ascii="宋体" w:hAnsi="宋体"/>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ind w:firstLine="480" w:firstLineChars="200"/>
        <w:contextualSpacing/>
        <w:outlineLvl w:val="2"/>
        <w:rPr>
          <w:rFonts w:hint="eastAsia" w:ascii="宋体" w:hAnsi="宋体"/>
        </w:rPr>
      </w:pPr>
      <w:r>
        <w:rPr>
          <w:rFonts w:hint="eastAsia" w:ascii="宋体" w:hAnsi="宋体"/>
        </w:rPr>
        <w:t>在理财计划存续期内，如因监管政策或法律法规发生变化，在不损害投资者利益的前提下，管理人有权单方对理财计划</w:t>
      </w:r>
      <w:r>
        <w:rPr>
          <w:rFonts w:ascii="宋体" w:hAnsi="宋体"/>
        </w:rPr>
        <w:t>合同</w:t>
      </w:r>
      <w:r>
        <w:rPr>
          <w:rFonts w:hint="eastAsia" w:ascii="宋体" w:hAnsi="宋体"/>
        </w:rPr>
        <w:t>销售文件进行修订。</w:t>
      </w:r>
    </w:p>
    <w:p>
      <w:pPr>
        <w:widowControl/>
        <w:spacing w:line="360" w:lineRule="auto"/>
        <w:contextualSpacing/>
        <w:rPr>
          <w:rFonts w:hint="eastAsia" w:ascii="宋体" w:hAnsi="宋体"/>
        </w:rPr>
      </w:pPr>
    </w:p>
    <w:p>
      <w:pPr>
        <w:spacing w:line="360" w:lineRule="auto"/>
      </w:pPr>
    </w:p>
    <w:p>
      <w:pPr>
        <w:spacing w:line="360" w:lineRule="auto"/>
      </w:pPr>
    </w:p>
    <w:p>
      <w:pPr>
        <w:widowControl/>
        <w:spacing w:line="360" w:lineRule="auto"/>
        <w:jc w:val="right"/>
        <w:rPr>
          <w:rFonts w:hint="eastAsia" w:ascii="宋体" w:hAnsi="Wingdings" w:cs="宋体"/>
          <w:color w:val="000000"/>
          <w:kern w:val="0"/>
        </w:rPr>
      </w:pPr>
      <w:r>
        <w:rPr>
          <w:rFonts w:hint="eastAsia" w:ascii="宋体" w:hAnsi="宋体" w:cs="宋体"/>
          <w:kern w:val="0"/>
        </w:rPr>
        <w:t>杭银理财有限责任公司</w:t>
      </w:r>
    </w:p>
    <w:p>
      <w:pPr>
        <w:spacing w:line="360" w:lineRule="auto"/>
      </w:pPr>
    </w:p>
    <w:p>
      <w:pPr>
        <w:spacing w:line="360" w:lineRule="auto"/>
      </w:pPr>
    </w:p>
    <w:p>
      <w:pPr>
        <w:spacing w:line="360" w:lineRule="auto"/>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ascii="宋体" w:hAnsi="宋体"/>
        </w:rPr>
      </w:pPr>
      <w:r>
        <w:rPr>
          <w:rFonts w:hint="eastAsia" w:ascii="宋体" w:hAnsi="宋体"/>
        </w:rPr>
        <w:t>本页为纸质形式（如有）销售协议书签章页</w:t>
      </w: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ascii="宋体" w:hAnsi="宋体"/>
          <w:b/>
          <w:bCs/>
        </w:rPr>
      </w:pPr>
      <w:r>
        <w:rPr>
          <w:rFonts w:hint="eastAsia" w:ascii="宋体" w:hAnsi="宋体"/>
          <w:b/>
          <w:bCs/>
        </w:rPr>
        <w:t>投资者（签字或签章）：</w:t>
      </w:r>
    </w:p>
    <w:p>
      <w:pPr>
        <w:spacing w:before="156" w:beforeLines="50" w:after="156" w:afterLines="50" w:line="360" w:lineRule="auto"/>
        <w:ind w:firstLine="4800" w:firstLineChars="2000"/>
        <w:jc w:val="right"/>
        <w:rPr>
          <w:rFonts w:hint="eastAsia" w:ascii="Arial" w:hAnsi="Arial"/>
        </w:rPr>
      </w:pPr>
      <w:r>
        <w:rPr>
          <w:rFonts w:hint="eastAsia" w:ascii="Arial" w:hAnsi="Arial"/>
        </w:rPr>
        <w:t xml:space="preserve">   年   月   日</w:t>
      </w:r>
    </w:p>
    <w:p>
      <w:pPr>
        <w:spacing w:line="360" w:lineRule="auto"/>
        <w:rPr>
          <w:rFonts w:hint="eastAsia" w:ascii="宋体" w:hAnsi="宋体"/>
          <w:b/>
          <w:bCs/>
        </w:rPr>
      </w:pPr>
    </w:p>
    <w:p>
      <w:pPr>
        <w:spacing w:line="360" w:lineRule="auto"/>
        <w:rPr>
          <w:rFonts w:hint="eastAsia" w:ascii="宋体" w:hAnsi="宋体"/>
          <w:b/>
          <w:bCs/>
        </w:rPr>
      </w:pPr>
    </w:p>
    <w:p>
      <w:pPr>
        <w:spacing w:line="360" w:lineRule="auto"/>
        <w:rPr>
          <w:rFonts w:hint="eastAsia" w:ascii="宋体" w:hAnsi="宋体"/>
          <w:b/>
          <w:bCs/>
        </w:rPr>
      </w:pPr>
    </w:p>
    <w:p>
      <w:pPr>
        <w:spacing w:line="360" w:lineRule="auto"/>
        <w:rPr>
          <w:rFonts w:hint="eastAsia" w:ascii="宋体" w:hAnsi="宋体"/>
          <w:b/>
          <w:bCs/>
        </w:rPr>
      </w:pPr>
    </w:p>
    <w:p>
      <w:pPr>
        <w:spacing w:line="360" w:lineRule="auto"/>
        <w:rPr>
          <w:rFonts w:hint="eastAsia" w:ascii="宋体" w:hAnsi="宋体"/>
          <w:b/>
          <w:bCs/>
        </w:rPr>
      </w:pPr>
      <w:r>
        <w:rPr>
          <w:rFonts w:hint="eastAsia" w:ascii="宋体" w:hAnsi="宋体"/>
          <w:b/>
          <w:bCs/>
        </w:rPr>
        <w:t>销售机构签章：</w:t>
      </w:r>
    </w:p>
    <w:p>
      <w:pPr>
        <w:spacing w:line="360" w:lineRule="auto"/>
        <w:rPr>
          <w:rFonts w:hint="eastAsia" w:ascii="宋体" w:hAnsi="宋体"/>
          <w:b/>
          <w:bCs/>
        </w:rPr>
      </w:pPr>
    </w:p>
    <w:p>
      <w:pPr>
        <w:spacing w:line="360" w:lineRule="auto"/>
        <w:rPr>
          <w:rFonts w:hint="eastAsia" w:ascii="宋体" w:hAnsi="宋体"/>
          <w:b/>
          <w:bCs/>
        </w:rPr>
      </w:pPr>
    </w:p>
    <w:p>
      <w:pPr>
        <w:spacing w:before="156" w:beforeLines="50" w:after="156" w:afterLines="50" w:line="360" w:lineRule="auto"/>
        <w:ind w:firstLine="4800" w:firstLineChars="2000"/>
        <w:jc w:val="right"/>
        <w:rPr>
          <w:rFonts w:hint="eastAsia" w:ascii="Arial" w:hAnsi="Arial"/>
        </w:rPr>
      </w:pPr>
      <w:r>
        <w:rPr>
          <w:rFonts w:hint="eastAsia" w:ascii="Arial" w:hAnsi="Arial"/>
        </w:rPr>
        <w:t xml:space="preserve">   年   月   日</w:t>
      </w:r>
    </w:p>
    <w:p>
      <w:pPr>
        <w:spacing w:line="360" w:lineRule="auto"/>
        <w:rPr>
          <w:rFonts w:ascii="宋体" w:hAnsi="宋体" w:cs="宋体"/>
          <w:bCs/>
          <w:color w:val="000000"/>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b/>
        <w:bCs/>
      </w:rPr>
    </w:pPr>
    <w:r>
      <w:rPr>
        <w:b/>
        <w:bCs/>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rPr>
      <w:t>理财非存款 产品有风险 投资需谨慎</w:t>
    </w:r>
    <w:r>
      <w:rPr>
        <w:rFonts w:hint="eastAsia"/>
        <w:b/>
        <w:bCs/>
        <w:color w:val="FF0000"/>
      </w:rPr>
      <w:t xml:space="preserve">  </w:t>
    </w:r>
    <w:r>
      <w:rPr>
        <w:rFonts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2A7986"/>
    <w:rsid w:val="004A3A51"/>
    <w:rsid w:val="004F1AB2"/>
    <w:rsid w:val="007C012C"/>
    <w:rsid w:val="008C59F7"/>
    <w:rsid w:val="00B234C2"/>
    <w:rsid w:val="00C2766C"/>
    <w:rsid w:val="00C61102"/>
    <w:rsid w:val="00D5498D"/>
    <w:rsid w:val="00F81186"/>
    <w:rsid w:val="01364432"/>
    <w:rsid w:val="01523B8E"/>
    <w:rsid w:val="01E60817"/>
    <w:rsid w:val="01FD241C"/>
    <w:rsid w:val="02FB5178"/>
    <w:rsid w:val="031A641B"/>
    <w:rsid w:val="046C4318"/>
    <w:rsid w:val="05E05E4D"/>
    <w:rsid w:val="06420CFA"/>
    <w:rsid w:val="06503B59"/>
    <w:rsid w:val="06F301FD"/>
    <w:rsid w:val="0752555A"/>
    <w:rsid w:val="07E45984"/>
    <w:rsid w:val="0828699A"/>
    <w:rsid w:val="087D4021"/>
    <w:rsid w:val="09155E8F"/>
    <w:rsid w:val="097E3F67"/>
    <w:rsid w:val="099F5B56"/>
    <w:rsid w:val="09A37E25"/>
    <w:rsid w:val="0A0C6349"/>
    <w:rsid w:val="0A1347F5"/>
    <w:rsid w:val="0A1F3796"/>
    <w:rsid w:val="0A2A32B9"/>
    <w:rsid w:val="0B8E27E3"/>
    <w:rsid w:val="0BF71AE2"/>
    <w:rsid w:val="0C9C7394"/>
    <w:rsid w:val="0CA6603D"/>
    <w:rsid w:val="0D0B1B00"/>
    <w:rsid w:val="0D3F210A"/>
    <w:rsid w:val="0DEF72FB"/>
    <w:rsid w:val="0E36795A"/>
    <w:rsid w:val="0E4A4B6F"/>
    <w:rsid w:val="0E9465E2"/>
    <w:rsid w:val="0EAE473F"/>
    <w:rsid w:val="0EF65480"/>
    <w:rsid w:val="0F3349D0"/>
    <w:rsid w:val="0FE6637F"/>
    <w:rsid w:val="10776FA2"/>
    <w:rsid w:val="10E7087B"/>
    <w:rsid w:val="10FA5463"/>
    <w:rsid w:val="11BA058F"/>
    <w:rsid w:val="12081858"/>
    <w:rsid w:val="12B62B3B"/>
    <w:rsid w:val="12F57C75"/>
    <w:rsid w:val="12F96486"/>
    <w:rsid w:val="13031153"/>
    <w:rsid w:val="13181417"/>
    <w:rsid w:val="135A629F"/>
    <w:rsid w:val="13CF7B8E"/>
    <w:rsid w:val="14B80FF2"/>
    <w:rsid w:val="14C57FED"/>
    <w:rsid w:val="150C5665"/>
    <w:rsid w:val="15C56302"/>
    <w:rsid w:val="160940BB"/>
    <w:rsid w:val="161F6E18"/>
    <w:rsid w:val="1659752C"/>
    <w:rsid w:val="16BC19D9"/>
    <w:rsid w:val="16E43A7F"/>
    <w:rsid w:val="173B243E"/>
    <w:rsid w:val="175F7C56"/>
    <w:rsid w:val="185A3DA1"/>
    <w:rsid w:val="186223C0"/>
    <w:rsid w:val="1954515B"/>
    <w:rsid w:val="198C4B50"/>
    <w:rsid w:val="19DA4F78"/>
    <w:rsid w:val="19F13F4F"/>
    <w:rsid w:val="1A102675"/>
    <w:rsid w:val="1B280245"/>
    <w:rsid w:val="1B581220"/>
    <w:rsid w:val="1B843575"/>
    <w:rsid w:val="1BBE4697"/>
    <w:rsid w:val="1D4D5B7F"/>
    <w:rsid w:val="1D552DD9"/>
    <w:rsid w:val="1DAB6D83"/>
    <w:rsid w:val="1DF22ABC"/>
    <w:rsid w:val="1E3173A3"/>
    <w:rsid w:val="1E792E51"/>
    <w:rsid w:val="1F0F5A19"/>
    <w:rsid w:val="1F1D6E1F"/>
    <w:rsid w:val="1F3E7F7D"/>
    <w:rsid w:val="1F51312D"/>
    <w:rsid w:val="1FC9553A"/>
    <w:rsid w:val="204D3B12"/>
    <w:rsid w:val="205A2AB3"/>
    <w:rsid w:val="20B6224D"/>
    <w:rsid w:val="21025026"/>
    <w:rsid w:val="21036497"/>
    <w:rsid w:val="21C9316A"/>
    <w:rsid w:val="22A04AF7"/>
    <w:rsid w:val="22A73C8E"/>
    <w:rsid w:val="22D3594B"/>
    <w:rsid w:val="22F12819"/>
    <w:rsid w:val="234F46D7"/>
    <w:rsid w:val="235600AA"/>
    <w:rsid w:val="23753F06"/>
    <w:rsid w:val="238E1AAE"/>
    <w:rsid w:val="24030B6D"/>
    <w:rsid w:val="24345B9A"/>
    <w:rsid w:val="245517BD"/>
    <w:rsid w:val="2483647E"/>
    <w:rsid w:val="256F076F"/>
    <w:rsid w:val="25AF7681"/>
    <w:rsid w:val="26820AF7"/>
    <w:rsid w:val="27947E62"/>
    <w:rsid w:val="27EB2573"/>
    <w:rsid w:val="27F57B7A"/>
    <w:rsid w:val="285922A7"/>
    <w:rsid w:val="28612B5D"/>
    <w:rsid w:val="292668E3"/>
    <w:rsid w:val="29361BBD"/>
    <w:rsid w:val="2A124404"/>
    <w:rsid w:val="2A1B5D68"/>
    <w:rsid w:val="2A2D7B42"/>
    <w:rsid w:val="2A5975B6"/>
    <w:rsid w:val="2A991D32"/>
    <w:rsid w:val="2AB92324"/>
    <w:rsid w:val="2AD6555A"/>
    <w:rsid w:val="2B376BE0"/>
    <w:rsid w:val="2C1B1E9D"/>
    <w:rsid w:val="2CAB68C5"/>
    <w:rsid w:val="2DBB33DD"/>
    <w:rsid w:val="2E354AE5"/>
    <w:rsid w:val="2EBC6D03"/>
    <w:rsid w:val="2F196945"/>
    <w:rsid w:val="2F1F666C"/>
    <w:rsid w:val="2F746AB8"/>
    <w:rsid w:val="2FD32A37"/>
    <w:rsid w:val="30045A54"/>
    <w:rsid w:val="30551FFC"/>
    <w:rsid w:val="311F702A"/>
    <w:rsid w:val="31244CFA"/>
    <w:rsid w:val="31A82883"/>
    <w:rsid w:val="320E3E15"/>
    <w:rsid w:val="329D0CFB"/>
    <w:rsid w:val="32B15B31"/>
    <w:rsid w:val="32C937E9"/>
    <w:rsid w:val="333F6AA7"/>
    <w:rsid w:val="3480359E"/>
    <w:rsid w:val="34BE4ED5"/>
    <w:rsid w:val="35476F5E"/>
    <w:rsid w:val="354D3F58"/>
    <w:rsid w:val="359A216E"/>
    <w:rsid w:val="36631FD8"/>
    <w:rsid w:val="36C419F2"/>
    <w:rsid w:val="36E72D9B"/>
    <w:rsid w:val="36FD7080"/>
    <w:rsid w:val="36FE1E1C"/>
    <w:rsid w:val="379F2ED6"/>
    <w:rsid w:val="37CA172C"/>
    <w:rsid w:val="37DC2068"/>
    <w:rsid w:val="38071350"/>
    <w:rsid w:val="38224FD0"/>
    <w:rsid w:val="39775E90"/>
    <w:rsid w:val="39965EB7"/>
    <w:rsid w:val="39AC0F1B"/>
    <w:rsid w:val="3A3E2041"/>
    <w:rsid w:val="3AA660BF"/>
    <w:rsid w:val="3B131EF6"/>
    <w:rsid w:val="3B490D86"/>
    <w:rsid w:val="3BB83345"/>
    <w:rsid w:val="3BD74075"/>
    <w:rsid w:val="3C2F2290"/>
    <w:rsid w:val="3DBB1114"/>
    <w:rsid w:val="3EA67C14"/>
    <w:rsid w:val="3EAD1B36"/>
    <w:rsid w:val="3EDB4D6E"/>
    <w:rsid w:val="3F056B9E"/>
    <w:rsid w:val="3F354A62"/>
    <w:rsid w:val="3F63246A"/>
    <w:rsid w:val="3FB01289"/>
    <w:rsid w:val="3FE233B8"/>
    <w:rsid w:val="3FF54C55"/>
    <w:rsid w:val="40181F9C"/>
    <w:rsid w:val="406370BC"/>
    <w:rsid w:val="40FB7670"/>
    <w:rsid w:val="41B60000"/>
    <w:rsid w:val="420010CC"/>
    <w:rsid w:val="423C06E2"/>
    <w:rsid w:val="42815397"/>
    <w:rsid w:val="42C94634"/>
    <w:rsid w:val="437B57F9"/>
    <w:rsid w:val="453D5681"/>
    <w:rsid w:val="45540446"/>
    <w:rsid w:val="458F3937"/>
    <w:rsid w:val="459F641E"/>
    <w:rsid w:val="45A93DC9"/>
    <w:rsid w:val="45BB5620"/>
    <w:rsid w:val="45F127ED"/>
    <w:rsid w:val="46263D02"/>
    <w:rsid w:val="46CD66A0"/>
    <w:rsid w:val="472803B7"/>
    <w:rsid w:val="478411E4"/>
    <w:rsid w:val="47F832A9"/>
    <w:rsid w:val="488B59A4"/>
    <w:rsid w:val="48CC5267"/>
    <w:rsid w:val="494502E1"/>
    <w:rsid w:val="4A010AC9"/>
    <w:rsid w:val="4A7F0ADF"/>
    <w:rsid w:val="4AA612F0"/>
    <w:rsid w:val="4B0D3113"/>
    <w:rsid w:val="4C6B0DDA"/>
    <w:rsid w:val="4C6E1306"/>
    <w:rsid w:val="4CC946ED"/>
    <w:rsid w:val="4CF979F4"/>
    <w:rsid w:val="4D8C0BC8"/>
    <w:rsid w:val="4E186164"/>
    <w:rsid w:val="4E247E9A"/>
    <w:rsid w:val="4E2F1033"/>
    <w:rsid w:val="4E8274B0"/>
    <w:rsid w:val="4EA65BC4"/>
    <w:rsid w:val="4EFC1B31"/>
    <w:rsid w:val="4F2836A5"/>
    <w:rsid w:val="4FF363B3"/>
    <w:rsid w:val="501216FC"/>
    <w:rsid w:val="50B73634"/>
    <w:rsid w:val="51434E1B"/>
    <w:rsid w:val="514C1D12"/>
    <w:rsid w:val="51504FE6"/>
    <w:rsid w:val="54520532"/>
    <w:rsid w:val="54E91D9C"/>
    <w:rsid w:val="55A47BB4"/>
    <w:rsid w:val="56B44788"/>
    <w:rsid w:val="571D52DC"/>
    <w:rsid w:val="57BB6218"/>
    <w:rsid w:val="57FF3AAA"/>
    <w:rsid w:val="583036AF"/>
    <w:rsid w:val="58DD2EEE"/>
    <w:rsid w:val="58E96C7A"/>
    <w:rsid w:val="59263C31"/>
    <w:rsid w:val="59856C69"/>
    <w:rsid w:val="59AD3C67"/>
    <w:rsid w:val="5A4B183F"/>
    <w:rsid w:val="5B0D630F"/>
    <w:rsid w:val="5B602150"/>
    <w:rsid w:val="5B9919B4"/>
    <w:rsid w:val="5BB70148"/>
    <w:rsid w:val="5C3C3DDC"/>
    <w:rsid w:val="5C927500"/>
    <w:rsid w:val="5D160516"/>
    <w:rsid w:val="5D713BC5"/>
    <w:rsid w:val="5D7D0F36"/>
    <w:rsid w:val="5DB61BFF"/>
    <w:rsid w:val="5DEF454B"/>
    <w:rsid w:val="5E5A6C63"/>
    <w:rsid w:val="5F3C6712"/>
    <w:rsid w:val="5F4B58F3"/>
    <w:rsid w:val="6053481F"/>
    <w:rsid w:val="60553A8D"/>
    <w:rsid w:val="606E0DED"/>
    <w:rsid w:val="60AB2000"/>
    <w:rsid w:val="61A27A8B"/>
    <w:rsid w:val="61C97391"/>
    <w:rsid w:val="61D85325"/>
    <w:rsid w:val="62860AAA"/>
    <w:rsid w:val="628B7CEE"/>
    <w:rsid w:val="629D5796"/>
    <w:rsid w:val="63FA4C5C"/>
    <w:rsid w:val="64102A52"/>
    <w:rsid w:val="64BC6713"/>
    <w:rsid w:val="64E9088D"/>
    <w:rsid w:val="66F54088"/>
    <w:rsid w:val="671E2162"/>
    <w:rsid w:val="67C2281F"/>
    <w:rsid w:val="680C1A56"/>
    <w:rsid w:val="68D8721E"/>
    <w:rsid w:val="68E50F6E"/>
    <w:rsid w:val="6A1A3D91"/>
    <w:rsid w:val="6B610D05"/>
    <w:rsid w:val="6BAC21D5"/>
    <w:rsid w:val="6BC50A56"/>
    <w:rsid w:val="6CED1CB3"/>
    <w:rsid w:val="6D3B42C3"/>
    <w:rsid w:val="6D5A3D63"/>
    <w:rsid w:val="6D9A4080"/>
    <w:rsid w:val="6DF037EE"/>
    <w:rsid w:val="6E11772C"/>
    <w:rsid w:val="6E7E575F"/>
    <w:rsid w:val="6EF15941"/>
    <w:rsid w:val="6F546795"/>
    <w:rsid w:val="6F926461"/>
    <w:rsid w:val="6F9921A1"/>
    <w:rsid w:val="720B7A64"/>
    <w:rsid w:val="720F6016"/>
    <w:rsid w:val="727D0EB8"/>
    <w:rsid w:val="73407EBD"/>
    <w:rsid w:val="73932176"/>
    <w:rsid w:val="73BC153D"/>
    <w:rsid w:val="73E31AC8"/>
    <w:rsid w:val="73EF4563"/>
    <w:rsid w:val="74175679"/>
    <w:rsid w:val="744124AA"/>
    <w:rsid w:val="74664F47"/>
    <w:rsid w:val="756E538F"/>
    <w:rsid w:val="758100F6"/>
    <w:rsid w:val="76F41323"/>
    <w:rsid w:val="778222EA"/>
    <w:rsid w:val="77A30DC4"/>
    <w:rsid w:val="77E0572E"/>
    <w:rsid w:val="77ED4104"/>
    <w:rsid w:val="78EF4372"/>
    <w:rsid w:val="79771B00"/>
    <w:rsid w:val="7980282D"/>
    <w:rsid w:val="798F6426"/>
    <w:rsid w:val="7992730E"/>
    <w:rsid w:val="79B94653"/>
    <w:rsid w:val="7ACA272A"/>
    <w:rsid w:val="7B0E7C70"/>
    <w:rsid w:val="7B2E004A"/>
    <w:rsid w:val="7B76641B"/>
    <w:rsid w:val="7BBF1397"/>
    <w:rsid w:val="7E6F339A"/>
    <w:rsid w:val="7E7A7C50"/>
    <w:rsid w:val="7E810662"/>
    <w:rsid w:val="7ED67E61"/>
    <w:rsid w:val="7F590A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2"/>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3"/>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0"/>
    <w:qFormat/>
    <w:uiPriority w:val="0"/>
    <w:pPr>
      <w:jc w:val="left"/>
    </w:p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1"/>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8">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19">
    <w:name w:val="批注框文本 字符"/>
    <w:link w:val="6"/>
    <w:qFormat/>
    <w:uiPriority w:val="0"/>
    <w:rPr>
      <w:rFonts w:ascii="Calibri" w:hAnsi="Calibri" w:cs="黑体"/>
      <w:kern w:val="2"/>
      <w:sz w:val="18"/>
      <w:szCs w:val="18"/>
    </w:rPr>
  </w:style>
  <w:style w:type="character" w:customStyle="1" w:styleId="20">
    <w:name w:val="批注文字 字符"/>
    <w:link w:val="5"/>
    <w:uiPriority w:val="0"/>
    <w:rPr>
      <w:rFonts w:ascii="Calibri" w:hAnsi="Calibri" w:cs="黑体"/>
      <w:kern w:val="2"/>
      <w:sz w:val="21"/>
      <w:szCs w:val="24"/>
    </w:rPr>
  </w:style>
  <w:style w:type="character" w:customStyle="1" w:styleId="21">
    <w:name w:val="批注主题 字符"/>
    <w:link w:val="10"/>
    <w:qFormat/>
    <w:uiPriority w:val="0"/>
    <w:rPr>
      <w:rFonts w:ascii="Calibri" w:hAnsi="Calibri" w:cs="黑体"/>
      <w:b/>
      <w:bCs/>
      <w:kern w:val="2"/>
      <w:sz w:val="21"/>
      <w:szCs w:val="24"/>
    </w:rPr>
  </w:style>
  <w:style w:type="character" w:customStyle="1" w:styleId="22">
    <w:name w:val="标题 2 字符"/>
    <w:link w:val="3"/>
    <w:qFormat/>
    <w:uiPriority w:val="0"/>
    <w:rPr>
      <w:rFonts w:ascii="Arial" w:hAnsi="Arial" w:eastAsia="宋体"/>
      <w:b/>
      <w:sz w:val="24"/>
    </w:rPr>
  </w:style>
  <w:style w:type="character" w:customStyle="1" w:styleId="23">
    <w:name w:val="标题 3 字符"/>
    <w:link w:val="4"/>
    <w:qFormat/>
    <w:uiPriority w:val="0"/>
    <w:rPr>
      <w:rFonts w:hAnsi="Calibri" w:eastAsia="宋体"/>
      <w:b/>
      <w:sz w:val="24"/>
    </w:rPr>
  </w:style>
  <w:style w:type="character" w:customStyle="1" w:styleId="24">
    <w:name w:val="标题 1 字符"/>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35069</Words>
  <Characters>37035</Characters>
  <Lines>267</Lines>
  <Paragraphs>75</Paragraphs>
  <TotalTime>0</TotalTime>
  <ScaleCrop>false</ScaleCrop>
  <LinksUpToDate>false</LinksUpToDate>
  <CharactersWithSpaces>37261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2025-08-01T08:29:34Z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