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rPr>
      </w:pPr>
      <w:bookmarkStart w:id="0" w:name="_GoBack"/>
      <w:bookmarkEnd w:id="0"/>
      <w:r>
        <w:rPr>
          <w:rFonts w:hint="eastAsia" w:ascii="宋体" w:hAnsi="宋体" w:cs="宋体"/>
          <w:b/>
          <w:bCs/>
          <w:sz w:val="44"/>
          <w:szCs w:val="44"/>
        </w:rPr>
        <w:t>杭银理财幸福99月添益2001期理财产品说明书</w:t>
      </w:r>
    </w:p>
    <w:p>
      <w:pPr>
        <w:jc w:val="center"/>
        <w:rPr>
          <w:rFonts w:hint="eastAsia" w:ascii="宋体" w:hAnsi="宋体" w:cs="宋体"/>
          <w:b/>
          <w:bCs/>
          <w:sz w:val="44"/>
          <w:szCs w:val="44"/>
        </w:rPr>
      </w:pPr>
      <w:r>
        <w:rPr>
          <w:rFonts w:hint="eastAsia" w:ascii="宋体" w:hAnsi="宋体" w:cs="宋体"/>
          <w:sz w:val="28"/>
          <w:szCs w:val="28"/>
        </w:rPr>
        <w:t>（202201版）</w:t>
      </w:r>
    </w:p>
    <w:p>
      <w:pPr>
        <w:spacing w:line="360" w:lineRule="auto"/>
        <w:jc w:val="right"/>
        <w:rPr>
          <w:rFonts w:hint="eastAsia" w:ascii="宋体" w:hAnsi="宋体" w:cs="宋体"/>
          <w:bCs/>
        </w:rPr>
      </w:pPr>
      <w:r>
        <w:rPr>
          <w:rFonts w:hint="eastAsia" w:ascii="宋体" w:hAnsi="宋体" w:cs="宋体"/>
          <w:color w:val="000000"/>
        </w:rPr>
        <w:t>备案编号:</w:t>
      </w:r>
      <w:r>
        <w:rPr>
          <w:rFonts w:hint="eastAsia" w:ascii="宋体" w:hAnsi="宋体" w:cs="宋体"/>
          <w:bCs/>
        </w:rPr>
        <w:t>〖</w:t>
      </w:r>
      <w:r>
        <w:rPr>
          <w:rFonts w:ascii="宋体" w:hAnsi="宋体" w:cs="宋体"/>
        </w:rPr>
        <w:t>Z70022210002</w:t>
      </w:r>
      <w:r>
        <w:rPr>
          <w:rFonts w:hint="eastAsia" w:ascii="宋体" w:hAnsi="宋体" w:cs="宋体"/>
        </w:rPr>
        <w:t>71</w:t>
      </w:r>
      <w:r>
        <w:rPr>
          <w:rFonts w:hint="eastAsia" w:ascii="宋体" w:hAnsi="宋体" w:cs="宋体"/>
          <w:bCs/>
        </w:rPr>
        <w:t>〗</w:t>
      </w:r>
    </w:p>
    <w:p>
      <w:pPr>
        <w:spacing w:line="360" w:lineRule="auto"/>
        <w:jc w:val="center"/>
        <w:rPr>
          <w:rFonts w:hint="eastAsia" w:ascii="宋体" w:hAnsi="宋体" w:cs="宋体"/>
          <w:bCs/>
        </w:rPr>
      </w:pPr>
    </w:p>
    <w:p>
      <w:pPr>
        <w:numPr>
          <w:ilvl w:val="0"/>
          <w:numId w:val="1"/>
        </w:numPr>
        <w:spacing w:line="360" w:lineRule="auto"/>
        <w:ind w:firstLine="482" w:firstLineChars="200"/>
        <w:jc w:val="left"/>
        <w:outlineLvl w:val="1"/>
        <w:rPr>
          <w:rFonts w:ascii="宋体" w:hAnsi="宋体" w:cs="宋体"/>
          <w:b/>
        </w:rPr>
      </w:pPr>
      <w:r>
        <w:rPr>
          <w:rFonts w:hint="eastAsia" w:ascii="宋体" w:hAnsi="宋体" w:cs="宋体"/>
          <w:b/>
        </w:rPr>
        <w:t>重要须知</w:t>
      </w:r>
    </w:p>
    <w:p>
      <w:pPr>
        <w:numPr>
          <w:ilvl w:val="0"/>
          <w:numId w:val="2"/>
        </w:numPr>
        <w:spacing w:line="360" w:lineRule="auto"/>
        <w:ind w:firstLine="480" w:firstLineChars="200"/>
        <w:jc w:val="left"/>
        <w:outlineLvl w:val="2"/>
        <w:rPr>
          <w:rFonts w:hint="eastAsia" w:ascii="宋体" w:hAnsi="宋体" w:cs="宋体"/>
          <w:bCs/>
        </w:rPr>
      </w:pPr>
      <w:r>
        <w:rPr>
          <w:rFonts w:hint="eastAsia" w:ascii="宋体" w:hAnsi="宋体" w:cs="宋体"/>
          <w:bCs/>
        </w:rPr>
        <w:t>本理财计划不等同于银行存款、预期收益型理财产品或其他产品。</w:t>
      </w:r>
    </w:p>
    <w:p>
      <w:pPr>
        <w:numPr>
          <w:ilvl w:val="0"/>
          <w:numId w:val="2"/>
        </w:numPr>
        <w:spacing w:line="360" w:lineRule="auto"/>
        <w:ind w:firstLine="480" w:firstLineChars="200"/>
        <w:jc w:val="left"/>
        <w:outlineLvl w:val="2"/>
        <w:rPr>
          <w:rFonts w:hint="eastAsia" w:ascii="宋体" w:hAnsi="宋体" w:cs="宋体"/>
          <w:bCs/>
        </w:rPr>
      </w:pPr>
      <w:r>
        <w:rPr>
          <w:rFonts w:hint="eastAsia" w:ascii="宋体" w:hAnsi="宋体" w:cs="宋体"/>
          <w:bCs/>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2"/>
        <w:rPr>
          <w:rFonts w:hint="eastAsia" w:ascii="宋体" w:hAnsi="宋体" w:cs="宋体"/>
          <w:bCs/>
        </w:rPr>
      </w:pPr>
      <w:r>
        <w:rPr>
          <w:rFonts w:hint="eastAsia" w:ascii="宋体" w:hAnsi="宋体" w:cs="宋体"/>
          <w:bCs/>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2"/>
        <w:rPr>
          <w:rFonts w:hint="eastAsia" w:ascii="宋体" w:hAnsi="宋体" w:cs="宋体"/>
          <w:bCs/>
        </w:rPr>
      </w:pPr>
      <w:r>
        <w:rPr>
          <w:rFonts w:hint="eastAsia" w:ascii="宋体" w:hAnsi="宋体" w:cs="宋体"/>
          <w:b/>
        </w:rPr>
        <w:t>本理财计划是非保本净值型产品。管理人对本理财计划的本金和收益不提供保证承诺。</w:t>
      </w:r>
      <w:r>
        <w:rPr>
          <w:rFonts w:hint="eastAsia" w:ascii="宋体" w:hAnsi="宋体" w:cs="宋体"/>
          <w:bCs/>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2"/>
        <w:rPr>
          <w:rFonts w:hint="eastAsia" w:ascii="宋体" w:hAnsi="宋体" w:cs="宋体"/>
          <w:bCs/>
        </w:rPr>
      </w:pPr>
      <w:r>
        <w:rPr>
          <w:rFonts w:hint="eastAsia" w:ascii="宋体" w:hAnsi="宋体" w:cs="宋体"/>
          <w:bCs/>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风险揭示书》《投资者权益须知》《理财计划投资协议书》《理财计划销售协议书》，将共同构成投资者与管理人之间的理财计划交易合同。</w:t>
      </w:r>
    </w:p>
    <w:p>
      <w:pPr>
        <w:numPr>
          <w:ilvl w:val="0"/>
          <w:numId w:val="2"/>
        </w:numPr>
        <w:spacing w:line="360" w:lineRule="auto"/>
        <w:ind w:firstLine="480" w:firstLineChars="200"/>
        <w:jc w:val="left"/>
        <w:outlineLvl w:val="2"/>
        <w:rPr>
          <w:rFonts w:hint="eastAsia" w:ascii="宋体" w:hAnsi="宋体" w:cs="宋体"/>
          <w:bCs/>
        </w:rPr>
      </w:pPr>
      <w:r>
        <w:rPr>
          <w:rFonts w:hint="eastAsia" w:ascii="宋体" w:hAnsi="宋体" w:cs="宋体"/>
          <w:bCs/>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2"/>
        <w:rPr>
          <w:rFonts w:hint="eastAsia" w:ascii="宋体" w:hAnsi="宋体" w:cs="宋体"/>
          <w:bCs/>
        </w:rPr>
      </w:pPr>
      <w:r>
        <w:rPr>
          <w:rFonts w:hint="eastAsia" w:ascii="宋体" w:hAnsi="宋体" w:cs="宋体"/>
          <w:bCs/>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2"/>
        <w:rPr>
          <w:rFonts w:hint="eastAsia" w:ascii="宋体" w:hAnsi="宋体" w:cs="宋体"/>
          <w:bCs/>
        </w:rPr>
      </w:pPr>
      <w:r>
        <w:rPr>
          <w:rFonts w:hint="eastAsia" w:ascii="宋体" w:hAnsi="宋体" w:cs="宋体"/>
          <w:bCs/>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2"/>
        <w:rPr>
          <w:rFonts w:hint="eastAsia" w:ascii="宋体" w:hAnsi="宋体" w:cs="宋体"/>
          <w:bCs/>
        </w:rPr>
      </w:pPr>
      <w:r>
        <w:rPr>
          <w:rFonts w:hint="eastAsia" w:ascii="宋体" w:hAnsi="宋体" w:cs="宋体"/>
          <w:bCs/>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2"/>
        <w:rPr>
          <w:rFonts w:hint="eastAsia" w:ascii="宋体" w:hAnsi="宋体" w:cs="宋体"/>
          <w:bCs/>
        </w:rPr>
      </w:pPr>
      <w:r>
        <w:rPr>
          <w:rFonts w:hint="eastAsia" w:ascii="宋体" w:hAnsi="宋体" w:cs="宋体"/>
          <w:bCs/>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2"/>
        <w:rPr>
          <w:rFonts w:hint="eastAsia" w:ascii="宋体" w:hAnsi="宋体" w:cs="宋体"/>
          <w:bCs/>
        </w:rPr>
      </w:pPr>
      <w:r>
        <w:rPr>
          <w:rFonts w:hint="eastAsia" w:ascii="宋体" w:hAnsi="宋体" w:cs="宋体"/>
          <w:bCs/>
        </w:rPr>
        <w:t>在本理财计划存续期内，如因监管政策或法律法规发生变化，在不损害投资者利益的前提下，管理人有权单方对本理财计划说明书条款进行修订。</w:t>
      </w:r>
    </w:p>
    <w:p>
      <w:pPr>
        <w:numPr>
          <w:ilvl w:val="0"/>
          <w:numId w:val="2"/>
        </w:numPr>
        <w:spacing w:line="360" w:lineRule="auto"/>
        <w:ind w:firstLine="480" w:firstLineChars="200"/>
        <w:jc w:val="left"/>
        <w:outlineLvl w:val="2"/>
        <w:rPr>
          <w:rFonts w:hint="eastAsia" w:ascii="宋体" w:hAnsi="宋体" w:cs="宋体"/>
          <w:bCs/>
        </w:rPr>
      </w:pPr>
      <w:r>
        <w:rPr>
          <w:rFonts w:hint="eastAsia" w:ascii="宋体" w:hAnsi="宋体" w:cs="宋体"/>
          <w:bCs/>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2"/>
        <w:rPr>
          <w:rFonts w:hint="eastAsia" w:ascii="宋体" w:hAnsi="宋体" w:cs="宋体"/>
          <w:bCs/>
        </w:rPr>
      </w:pPr>
      <w:r>
        <w:rPr>
          <w:rFonts w:hint="eastAsia" w:ascii="宋体" w:hAnsi="宋体" w:cs="宋体"/>
          <w:bCs/>
        </w:rPr>
        <w:t>管理人有权依法对本理财计划产品说明书进行解释。</w:t>
      </w:r>
    </w:p>
    <w:p>
      <w:pPr>
        <w:spacing w:line="360" w:lineRule="auto"/>
        <w:jc w:val="left"/>
        <w:rPr>
          <w:rFonts w:hint="eastAsia" w:ascii="宋体" w:hAnsi="宋体" w:cs="宋体"/>
          <w:bCs/>
        </w:rPr>
      </w:pPr>
    </w:p>
    <w:p>
      <w:pPr>
        <w:numPr>
          <w:ilvl w:val="0"/>
          <w:numId w:val="3"/>
        </w:numPr>
        <w:spacing w:line="360" w:lineRule="auto"/>
        <w:ind w:firstLine="482" w:firstLineChars="200"/>
        <w:jc w:val="left"/>
        <w:outlineLvl w:val="1"/>
        <w:rPr>
          <w:rFonts w:ascii="宋体" w:hAnsi="宋体" w:cs="宋体"/>
          <w:b/>
        </w:rPr>
      </w:pPr>
      <w:r>
        <w:rPr>
          <w:rFonts w:hint="eastAsia" w:ascii="宋体" w:hAnsi="宋体" w:cs="宋体"/>
          <w:b/>
        </w:rPr>
        <w:t>释义</w:t>
      </w:r>
    </w:p>
    <w:p>
      <w:pPr>
        <w:pStyle w:val="17"/>
        <w:adjustRightInd/>
        <w:spacing w:line="360" w:lineRule="auto"/>
        <w:ind w:firstLine="480" w:firstLineChars="200"/>
        <w:rPr>
          <w:rFonts w:hint="eastAsia" w:ascii="宋体" w:hAnsi="宋体" w:cs="宋体"/>
          <w:bCs/>
          <w:color w:val="auto"/>
          <w:kern w:val="2"/>
        </w:rPr>
      </w:pPr>
      <w:r>
        <w:rPr>
          <w:rFonts w:hint="eastAsia" w:ascii="宋体" w:hAnsi="宋体" w:cs="宋体"/>
          <w:bCs/>
          <w:color w:val="auto"/>
          <w:kern w:val="2"/>
        </w:rPr>
        <w:t>本说明书中，除非另有明确说明，否则下列词语或简称具有如下含义：</w:t>
      </w:r>
    </w:p>
    <w:p>
      <w:pPr>
        <w:pStyle w:val="17"/>
        <w:numPr>
          <w:ilvl w:val="0"/>
          <w:numId w:val="4"/>
        </w:numPr>
        <w:adjustRightInd/>
        <w:spacing w:line="360" w:lineRule="auto"/>
        <w:ind w:firstLine="482" w:firstLineChars="200"/>
        <w:outlineLvl w:val="2"/>
        <w:rPr>
          <w:rFonts w:hint="eastAsia" w:ascii="宋体" w:hAnsi="宋体" w:cs="宋体"/>
          <w:b/>
          <w:color w:val="auto"/>
          <w:kern w:val="2"/>
        </w:rPr>
      </w:pPr>
      <w:r>
        <w:rPr>
          <w:rFonts w:hint="eastAsia" w:ascii="宋体" w:hAnsi="宋体" w:cs="宋体"/>
          <w:b/>
          <w:color w:val="auto"/>
          <w:kern w:val="2"/>
        </w:rPr>
        <w:t>参与主体用语</w:t>
      </w:r>
    </w:p>
    <w:p>
      <w:pPr>
        <w:pStyle w:val="17"/>
        <w:numPr>
          <w:ilvl w:val="0"/>
          <w:numId w:val="5"/>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理财计划管理人/产品管理人/管理人/本公司：</w:t>
      </w:r>
      <w:r>
        <w:rPr>
          <w:rFonts w:hint="eastAsia" w:ascii="宋体" w:hAnsi="宋体" w:cs="宋体"/>
          <w:bCs/>
          <w:color w:val="auto"/>
          <w:kern w:val="2"/>
        </w:rPr>
        <w:t>指杭银理财有限责任公司，主要从事面向不特定社会公众公开发行理财产品、面向合格投资者非公开发行理财产品、理财顾问和咨询服务等相关业务。杭银理财有限责任公司简称杭银理财，官网网站为https://</w:t>
      </w:r>
      <w:r>
        <w:rPr>
          <w:rFonts w:hint="eastAsia" w:ascii="宋体" w:hAnsi="宋体" w:cs="宋体"/>
          <w:bCs/>
          <w:color w:val="auto"/>
          <w:kern w:val="2"/>
        </w:rPr>
        <w:fldChar w:fldCharType="begin"/>
      </w:r>
      <w:r>
        <w:rPr>
          <w:rFonts w:hint="eastAsia" w:ascii="宋体" w:hAnsi="宋体" w:cs="宋体"/>
          <w:bCs/>
          <w:color w:val="auto"/>
          <w:kern w:val="2"/>
        </w:rPr>
        <w:instrText xml:space="preserve"> HYPERLINK "http://www.hzbank.com.cn" </w:instrText>
      </w:r>
      <w:r>
        <w:rPr>
          <w:rFonts w:hint="eastAsia" w:ascii="宋体" w:hAnsi="宋体" w:cs="宋体"/>
          <w:bCs/>
          <w:color w:val="auto"/>
          <w:kern w:val="2"/>
        </w:rPr>
        <w:fldChar w:fldCharType="separate"/>
      </w:r>
      <w:r>
        <w:rPr>
          <w:rFonts w:hint="eastAsia" w:ascii="宋体" w:hAnsi="宋体" w:cs="宋体"/>
          <w:bCs/>
          <w:color w:val="auto"/>
          <w:kern w:val="2"/>
        </w:rPr>
        <w:t>www.hzbankwealth.com.cn</w:t>
      </w:r>
      <w:r>
        <w:rPr>
          <w:rFonts w:hint="eastAsia" w:ascii="宋体" w:hAnsi="宋体" w:cs="宋体"/>
          <w:bCs/>
          <w:color w:val="auto"/>
          <w:kern w:val="2"/>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rPr>
        <w:t>。</w:t>
      </w:r>
    </w:p>
    <w:p>
      <w:pPr>
        <w:pStyle w:val="17"/>
        <w:numPr>
          <w:ilvl w:val="0"/>
          <w:numId w:val="5"/>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销售机构：</w:t>
      </w:r>
      <w:r>
        <w:rPr>
          <w:rFonts w:hint="eastAsia" w:ascii="宋体" w:hAnsi="宋体" w:cs="宋体"/>
          <w:bCs/>
          <w:color w:val="auto"/>
          <w:kern w:val="2"/>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auto"/>
          <w:kern w:val="2"/>
        </w:rPr>
        <w:fldChar w:fldCharType="begin"/>
      </w:r>
      <w:r>
        <w:rPr>
          <w:rFonts w:hint="eastAsia" w:ascii="宋体" w:hAnsi="宋体" w:cs="宋体"/>
          <w:bCs/>
          <w:color w:val="auto"/>
          <w:kern w:val="2"/>
        </w:rPr>
        <w:instrText xml:space="preserve"> HYPERLINK "http://www.hzbank.com.cn" </w:instrText>
      </w:r>
      <w:r>
        <w:rPr>
          <w:rFonts w:hint="eastAsia" w:ascii="宋体" w:hAnsi="宋体" w:cs="宋体"/>
          <w:bCs/>
          <w:color w:val="auto"/>
          <w:kern w:val="2"/>
        </w:rPr>
        <w:fldChar w:fldCharType="separate"/>
      </w:r>
      <w:r>
        <w:rPr>
          <w:rFonts w:hint="eastAsia" w:ascii="宋体" w:hAnsi="宋体" w:cs="宋体"/>
          <w:bCs/>
          <w:color w:val="auto"/>
          <w:kern w:val="2"/>
        </w:rPr>
        <w:t>www.hzbank.com.cn</w:t>
      </w:r>
      <w:r>
        <w:rPr>
          <w:rFonts w:hint="eastAsia" w:ascii="宋体" w:hAnsi="宋体" w:cs="宋体"/>
          <w:bCs/>
          <w:color w:val="auto"/>
          <w:kern w:val="2"/>
        </w:rPr>
        <w:fldChar w:fldCharType="end"/>
      </w:r>
      <w:r>
        <w:rPr>
          <w:rFonts w:hint="eastAsia" w:ascii="宋体" w:hAnsi="宋体" w:cs="宋体"/>
          <w:bCs/>
          <w:color w:val="auto"/>
          <w:kern w:val="2"/>
        </w:rPr>
        <w:t>，客服热线为95398。</w:t>
      </w:r>
    </w:p>
    <w:p>
      <w:pPr>
        <w:pStyle w:val="17"/>
        <w:numPr>
          <w:ilvl w:val="0"/>
          <w:numId w:val="5"/>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理财计划托管人/产品托管人/托管人：</w:t>
      </w:r>
      <w:r>
        <w:rPr>
          <w:rFonts w:hint="eastAsia" w:ascii="宋体" w:hAnsi="宋体" w:cs="宋体"/>
          <w:bCs/>
          <w:color w:val="auto"/>
          <w:kern w:val="2"/>
        </w:rPr>
        <w:t>指</w:t>
      </w:r>
      <w:r>
        <w:rPr>
          <w:rFonts w:hint="eastAsia" w:ascii="宋体" w:hAnsi="宋体" w:cs="宋体"/>
        </w:rPr>
        <w:t>〖</w:t>
      </w:r>
      <w:r>
        <w:rPr>
          <w:rFonts w:hint="eastAsia" w:ascii="宋体" w:hAnsi="宋体" w:cs="宋体"/>
          <w:bCs/>
          <w:color w:val="auto"/>
          <w:kern w:val="2"/>
        </w:rPr>
        <w:t>杭州银行股份有限公司</w:t>
      </w:r>
      <w:r>
        <w:rPr>
          <w:rFonts w:hint="eastAsia" w:ascii="宋体" w:hAnsi="宋体" w:cs="宋体"/>
        </w:rPr>
        <w:t>〗</w:t>
      </w:r>
      <w:r>
        <w:rPr>
          <w:rFonts w:hint="eastAsia" w:ascii="宋体" w:hAnsi="宋体" w:cs="宋体"/>
          <w:bCs/>
          <w:color w:val="auto"/>
          <w:kern w:val="2"/>
        </w:rPr>
        <w:t>。</w:t>
      </w:r>
    </w:p>
    <w:p>
      <w:pPr>
        <w:pStyle w:val="17"/>
        <w:numPr>
          <w:ilvl w:val="0"/>
          <w:numId w:val="5"/>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认购人：</w:t>
      </w:r>
      <w:r>
        <w:rPr>
          <w:rFonts w:hint="eastAsia" w:ascii="宋体" w:hAnsi="宋体" w:cs="宋体"/>
          <w:bCs/>
          <w:color w:val="auto"/>
          <w:kern w:val="2"/>
        </w:rPr>
        <w:t>指在理财计划认购期间签署理财计划合同并向理财计划管理人交付认购资金的个人、机构投资者。</w:t>
      </w:r>
    </w:p>
    <w:p>
      <w:pPr>
        <w:pStyle w:val="17"/>
        <w:numPr>
          <w:ilvl w:val="0"/>
          <w:numId w:val="5"/>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理财计划份额持有人/持有人：</w:t>
      </w:r>
      <w:r>
        <w:rPr>
          <w:rFonts w:hint="eastAsia" w:ascii="宋体" w:hAnsi="宋体" w:cs="宋体"/>
          <w:bCs/>
          <w:color w:val="auto"/>
          <w:kern w:val="2"/>
        </w:rPr>
        <w:t>指认购/申购申请后，经过管理人确认成功后，从而持有理财计划份额的投资者。</w:t>
      </w:r>
    </w:p>
    <w:p>
      <w:pPr>
        <w:pStyle w:val="17"/>
        <w:numPr>
          <w:ilvl w:val="0"/>
          <w:numId w:val="5"/>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监管机构：</w:t>
      </w:r>
      <w:r>
        <w:rPr>
          <w:rFonts w:hint="eastAsia" w:ascii="宋体" w:hAnsi="宋体" w:cs="宋体"/>
          <w:bCs/>
          <w:color w:val="auto"/>
          <w:kern w:val="2"/>
        </w:rPr>
        <w:t>指对管理人（包括本理财计划管理人、所投资的的信托计划/资管计划的管理人/受托人、相关投资顾问等）实施监督管理的机构，包括但不限于中国人民银行、</w:t>
      </w:r>
      <w:r>
        <w:rPr>
          <w:rFonts w:hint="eastAsia" w:ascii="宋体" w:hAnsi="宋体" w:cs="宋体"/>
          <w:bCs/>
          <w:color w:val="auto"/>
          <w:kern w:val="2"/>
          <w:lang w:eastAsia="zh-CN"/>
        </w:rPr>
        <w:t>国家金融监督管理总局</w:t>
      </w:r>
      <w:r>
        <w:rPr>
          <w:rFonts w:hint="eastAsia" w:ascii="宋体" w:hAnsi="宋体" w:cs="宋体"/>
          <w:bCs/>
          <w:color w:val="auto"/>
          <w:kern w:val="2"/>
        </w:rPr>
        <w:t>、中国证券监督管理委员会、外汇管理局、银行业理财登记托管中心等。</w:t>
      </w:r>
    </w:p>
    <w:p>
      <w:pPr>
        <w:pStyle w:val="17"/>
        <w:numPr>
          <w:ilvl w:val="0"/>
          <w:numId w:val="4"/>
        </w:numPr>
        <w:adjustRightInd/>
        <w:spacing w:line="360" w:lineRule="auto"/>
        <w:ind w:firstLine="482" w:firstLineChars="200"/>
        <w:outlineLvl w:val="2"/>
        <w:rPr>
          <w:rFonts w:hint="eastAsia" w:ascii="宋体" w:hAnsi="宋体" w:cs="宋体"/>
          <w:b/>
          <w:color w:val="auto"/>
          <w:kern w:val="2"/>
        </w:rPr>
      </w:pPr>
      <w:r>
        <w:rPr>
          <w:rFonts w:hint="eastAsia" w:ascii="宋体" w:hAnsi="宋体" w:cs="宋体"/>
          <w:b/>
          <w:color w:val="auto"/>
          <w:kern w:val="2"/>
        </w:rPr>
        <w:t>法律文件用语</w:t>
      </w:r>
    </w:p>
    <w:p>
      <w:pPr>
        <w:pStyle w:val="17"/>
        <w:numPr>
          <w:ilvl w:val="0"/>
          <w:numId w:val="6"/>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理财计划说明书/产品说明书：</w:t>
      </w:r>
      <w:r>
        <w:rPr>
          <w:rFonts w:hint="eastAsia" w:ascii="宋体" w:hAnsi="宋体" w:cs="宋体"/>
          <w:bCs/>
          <w:color w:val="auto"/>
          <w:kern w:val="2"/>
        </w:rPr>
        <w:t>指《杭银理财幸福99</w:t>
      </w:r>
      <w:r>
        <w:rPr>
          <w:rFonts w:hint="eastAsia" w:ascii="宋体" w:hAnsi="宋体" w:cs="宋体"/>
          <w:bCs/>
        </w:rPr>
        <w:t>月添益2001期理财产品说明书</w:t>
      </w:r>
      <w:r>
        <w:rPr>
          <w:rFonts w:hint="eastAsia" w:ascii="宋体" w:hAnsi="宋体" w:cs="宋体"/>
          <w:bCs/>
          <w:color w:val="auto"/>
          <w:kern w:val="2"/>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风险揭示书：</w:t>
      </w:r>
      <w:r>
        <w:rPr>
          <w:rFonts w:hint="eastAsia" w:ascii="宋体" w:hAnsi="宋体" w:cs="宋体"/>
          <w:bCs/>
          <w:color w:val="auto"/>
          <w:kern w:val="2"/>
        </w:rPr>
        <w:t>指作为杭银理财幸福99</w:t>
      </w:r>
      <w:r>
        <w:rPr>
          <w:rFonts w:hint="eastAsia" w:ascii="宋体" w:hAnsi="宋体" w:cs="宋体"/>
          <w:bCs/>
        </w:rPr>
        <w:t>月添益2001期理财合同不可分割组成部分的风险揭示书，</w:t>
      </w:r>
      <w:r>
        <w:rPr>
          <w:rFonts w:hint="eastAsia" w:ascii="宋体" w:hAnsi="宋体" w:cs="宋体"/>
          <w:bCs/>
          <w:color w:val="auto"/>
          <w:kern w:val="2"/>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投资者权益须知：</w:t>
      </w:r>
      <w:r>
        <w:rPr>
          <w:rFonts w:hint="eastAsia" w:ascii="宋体" w:hAnsi="宋体" w:cs="宋体"/>
          <w:bCs/>
          <w:color w:val="auto"/>
          <w:kern w:val="2"/>
        </w:rPr>
        <w:t>指作为杭银理财幸福99</w:t>
      </w:r>
      <w:r>
        <w:rPr>
          <w:rFonts w:hint="eastAsia" w:ascii="宋体" w:hAnsi="宋体" w:cs="宋体"/>
          <w:bCs/>
        </w:rPr>
        <w:t>月添益2001期理财合同不可分割组成部分的投资者权益须知，</w:t>
      </w:r>
      <w:r>
        <w:rPr>
          <w:rFonts w:hint="eastAsia" w:ascii="宋体" w:hAnsi="宋体" w:cs="宋体"/>
          <w:bCs/>
          <w:color w:val="auto"/>
          <w:kern w:val="2"/>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理财计划投资协议书：</w:t>
      </w:r>
      <w:r>
        <w:rPr>
          <w:rFonts w:hint="eastAsia" w:ascii="宋体" w:hAnsi="宋体" w:cs="宋体"/>
          <w:bCs/>
          <w:color w:val="auto"/>
          <w:kern w:val="2"/>
        </w:rPr>
        <w:t>指作为杭银理财幸福99</w:t>
      </w:r>
      <w:r>
        <w:rPr>
          <w:rFonts w:hint="eastAsia" w:ascii="宋体" w:hAnsi="宋体" w:cs="宋体"/>
          <w:bCs/>
        </w:rPr>
        <w:t>月添益2001期理财合同不可分割组成部分的理财计划投资协议书，</w:t>
      </w:r>
      <w:r>
        <w:rPr>
          <w:rFonts w:hint="eastAsia" w:ascii="宋体" w:hAnsi="宋体" w:cs="宋体"/>
          <w:bCs/>
          <w:color w:val="auto"/>
          <w:kern w:val="2"/>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理财计划销售协议书：</w:t>
      </w:r>
      <w:r>
        <w:rPr>
          <w:rFonts w:hint="eastAsia" w:ascii="宋体" w:hAnsi="宋体" w:cs="宋体"/>
          <w:bCs/>
          <w:color w:val="auto"/>
          <w:kern w:val="2"/>
        </w:rPr>
        <w:t>指作为杭银理财幸福99</w:t>
      </w:r>
      <w:r>
        <w:rPr>
          <w:rFonts w:hint="eastAsia" w:ascii="宋体" w:hAnsi="宋体" w:cs="宋体"/>
          <w:bCs/>
        </w:rPr>
        <w:t>月添益2001期理财</w:t>
      </w:r>
      <w:r>
        <w:rPr>
          <w:rFonts w:hint="eastAsia" w:ascii="宋体" w:hAnsi="宋体" w:cs="宋体"/>
          <w:bCs/>
          <w:color w:val="auto"/>
          <w:kern w:val="2"/>
        </w:rPr>
        <w:t>合同不可分割组成部分的理财计划销售协议书，以及对该文件的有效修改与补充。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理财计划合同/销售文件：</w:t>
      </w:r>
      <w:r>
        <w:rPr>
          <w:rFonts w:hint="eastAsia" w:ascii="宋体" w:hAnsi="宋体" w:cs="宋体"/>
          <w:bCs/>
          <w:color w:val="auto"/>
          <w:kern w:val="2"/>
        </w:rPr>
        <w:t>指《理财计划风险揭示书》《理财计划产品说明书》《投资者权益须知》《理财计划投资协议书》《理财计划销售协议书》五个部分。</w:t>
      </w:r>
    </w:p>
    <w:p>
      <w:pPr>
        <w:pStyle w:val="17"/>
        <w:numPr>
          <w:ilvl w:val="0"/>
          <w:numId w:val="4"/>
        </w:numPr>
        <w:adjustRightInd/>
        <w:spacing w:line="360" w:lineRule="auto"/>
        <w:ind w:firstLine="482" w:firstLineChars="200"/>
        <w:outlineLvl w:val="2"/>
        <w:rPr>
          <w:rFonts w:hint="eastAsia" w:ascii="宋体" w:hAnsi="宋体" w:cs="宋体"/>
          <w:b/>
          <w:color w:val="auto"/>
          <w:kern w:val="2"/>
        </w:rPr>
      </w:pPr>
      <w:r>
        <w:rPr>
          <w:rFonts w:hint="eastAsia" w:ascii="宋体" w:hAnsi="宋体" w:cs="宋体"/>
          <w:b/>
          <w:color w:val="auto"/>
          <w:kern w:val="2"/>
        </w:rPr>
        <w:t>理财产品用语</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理财计划/理财产品/产品：</w:t>
      </w:r>
      <w:r>
        <w:rPr>
          <w:rFonts w:hint="eastAsia" w:ascii="宋体" w:hAnsi="宋体" w:cs="宋体"/>
          <w:bCs/>
          <w:color w:val="auto"/>
          <w:kern w:val="2"/>
        </w:rPr>
        <w:t>指杭银理财幸福99</w:t>
      </w:r>
      <w:r>
        <w:rPr>
          <w:rFonts w:hint="eastAsia" w:ascii="宋体" w:hAnsi="宋体" w:cs="宋体"/>
          <w:bCs/>
        </w:rPr>
        <w:t>月添益2001期理财。</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rPr>
        <w:t>理财计划份额/产品份额：</w:t>
      </w:r>
      <w:r>
        <w:rPr>
          <w:rFonts w:hint="eastAsia" w:ascii="宋体" w:hAnsi="宋体" w:cs="宋体"/>
          <w:bCs/>
        </w:rPr>
        <w:t>指管理人根据理财计划合同向投资者发行的资产收益凭证。理财计划份额持有人基于其所持有的理财计划份额享有理财计划相关利益、承担理财计划相关风险。</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rPr>
        <w:t>理财计划份额净值/产品份额净值：</w:t>
      </w:r>
      <w:r>
        <w:rPr>
          <w:rFonts w:hint="eastAsia" w:ascii="宋体" w:hAnsi="宋体" w:cs="宋体"/>
          <w:bCs/>
        </w:rPr>
        <w:t>指理财计划份额的单位净值，即每1份理财计划份额以人民币或外币（以产品说明书交易币种为准）计价的价格。</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rPr>
        <w:t>理财计划份额累计净值/产品份额累计净值：</w:t>
      </w:r>
      <w:r>
        <w:rPr>
          <w:rFonts w:hint="eastAsia" w:ascii="宋体" w:hAnsi="宋体" w:cs="宋体"/>
          <w:bCs/>
        </w:rPr>
        <w:t>指理财计划份额的单位净值与理财计划成立后历次累计单位收益分配的总和。</w:t>
      </w:r>
    </w:p>
    <w:p>
      <w:pPr>
        <w:pStyle w:val="17"/>
        <w:numPr>
          <w:ilvl w:val="0"/>
          <w:numId w:val="7"/>
        </w:numPr>
        <w:adjustRightInd/>
        <w:spacing w:line="360" w:lineRule="auto"/>
        <w:ind w:firstLine="482" w:firstLineChars="200"/>
        <w:rPr>
          <w:rFonts w:hint="eastAsia" w:ascii="宋体" w:hAnsi="宋体" w:cs="宋体"/>
          <w:b/>
        </w:rPr>
      </w:pPr>
      <w:r>
        <w:rPr>
          <w:rFonts w:hint="eastAsia" w:ascii="宋体" w:hAnsi="宋体" w:cs="宋体"/>
          <w:b/>
        </w:rPr>
        <w:t>工作日：</w:t>
      </w:r>
      <w:r>
        <w:rPr>
          <w:rFonts w:hint="eastAsia" w:ascii="宋体" w:hAnsi="宋体" w:cs="宋体"/>
          <w:bCs/>
        </w:rPr>
        <w:t>指除国家法定节假日和休息日外的日期。</w:t>
      </w:r>
    </w:p>
    <w:p>
      <w:pPr>
        <w:pStyle w:val="17"/>
        <w:numPr>
          <w:ilvl w:val="0"/>
          <w:numId w:val="7"/>
        </w:numPr>
        <w:adjustRightInd/>
        <w:spacing w:line="360" w:lineRule="auto"/>
        <w:ind w:firstLine="482" w:firstLineChars="200"/>
        <w:rPr>
          <w:rFonts w:hint="eastAsia" w:ascii="宋体" w:hAnsi="宋体" w:cs="宋体"/>
          <w:b/>
        </w:rPr>
      </w:pPr>
      <w:r>
        <w:rPr>
          <w:rFonts w:hint="eastAsia" w:ascii="宋体" w:hAnsi="宋体" w:cs="宋体"/>
          <w:b/>
        </w:rPr>
        <w:t>交易日：</w:t>
      </w:r>
      <w:r>
        <w:rPr>
          <w:rFonts w:hint="eastAsia" w:ascii="宋体" w:hAnsi="宋体" w:cs="宋体"/>
          <w:bCs/>
        </w:rPr>
        <w:t>指上海证券交易所、深圳证券交易所的正常交易日。</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rPr>
        <w:t>成立日：</w:t>
      </w:r>
      <w:r>
        <w:rPr>
          <w:rFonts w:hint="eastAsia" w:ascii="宋体" w:hAnsi="宋体" w:cs="宋体"/>
          <w:bCs/>
        </w:rPr>
        <w:t>指理财计划完成首次募集发行后正式成立运作日。</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认购期：</w:t>
      </w:r>
      <w:r>
        <w:rPr>
          <w:rFonts w:hint="eastAsia" w:ascii="宋体" w:hAnsi="宋体" w:cs="宋体"/>
          <w:bCs/>
          <w:color w:val="auto"/>
          <w:kern w:val="2"/>
        </w:rPr>
        <w:t>指理财计划成立前，理财计划管理人接受理财计划认购的时间。</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封闭期：</w:t>
      </w:r>
      <w:r>
        <w:rPr>
          <w:rFonts w:hint="eastAsia" w:ascii="宋体" w:hAnsi="宋体" w:cs="宋体"/>
          <w:bCs/>
          <w:color w:val="auto"/>
          <w:kern w:val="2"/>
        </w:rPr>
        <w:t>指理财计划成立后，理财计划不接受投资者申购赎回的时间。</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建仓期：</w:t>
      </w:r>
      <w:r>
        <w:rPr>
          <w:rFonts w:hint="eastAsia" w:ascii="宋体" w:hAnsi="宋体" w:cs="宋体"/>
          <w:bCs/>
          <w:color w:val="auto"/>
          <w:kern w:val="2"/>
        </w:rPr>
        <w:t>指理财计划成立后，在一定期限内投资比例无法满足本理财计划约定的投资比例要求。</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投资周期：</w:t>
      </w:r>
      <w:r>
        <w:rPr>
          <w:rFonts w:hint="eastAsia" w:ascii="宋体" w:hAnsi="宋体" w:cs="宋体"/>
          <w:bCs/>
          <w:color w:val="auto"/>
          <w:kern w:val="2"/>
        </w:rPr>
        <w:t>指理财计划成立或申购/赎回开放期确认后，至下一个申购/赎回开放期确认前的时间。如申购和赎回开放期确认时间不一致，应明确以申购投资周期或赎回投资周期作为理财计划的投资周期。</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到期日：</w:t>
      </w:r>
      <w:r>
        <w:rPr>
          <w:rFonts w:hint="eastAsia" w:ascii="宋体" w:hAnsi="宋体" w:cs="宋体"/>
          <w:bCs/>
          <w:color w:val="auto"/>
          <w:kern w:val="2"/>
        </w:rPr>
        <w:t>指理财计划终止运作的日期。</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收益分配基准日：</w:t>
      </w:r>
      <w:r>
        <w:rPr>
          <w:rFonts w:hint="eastAsia" w:ascii="宋体" w:hAnsi="宋体" w:cs="宋体"/>
          <w:bCs/>
          <w:color w:val="auto"/>
          <w:kern w:val="2"/>
        </w:rPr>
        <w:t>指理财计划进行收益分配时用以确认分配收益金额的最终确认日期。</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节假日临时调整：</w:t>
      </w:r>
      <w:r>
        <w:rPr>
          <w:rFonts w:hint="eastAsia" w:ascii="宋体" w:hAnsi="宋体" w:cs="宋体"/>
          <w:bCs/>
          <w:color w:val="auto"/>
          <w:kern w:val="2"/>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提前终止权：</w:t>
      </w:r>
      <w:r>
        <w:rPr>
          <w:rFonts w:hint="eastAsia" w:ascii="宋体" w:hAnsi="宋体" w:cs="宋体"/>
          <w:bCs/>
        </w:rPr>
        <w:t>指在本理财计划存续期内，管理人单方面决定全部提前终止本理财计划的权利。</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提前终止日：</w:t>
      </w:r>
      <w:r>
        <w:rPr>
          <w:rFonts w:hint="eastAsia" w:ascii="宋体" w:hAnsi="宋体" w:cs="宋体"/>
          <w:bCs/>
          <w:color w:val="auto"/>
          <w:kern w:val="2"/>
        </w:rPr>
        <w:t>指</w:t>
      </w:r>
      <w:r>
        <w:rPr>
          <w:rFonts w:hint="eastAsia" w:ascii="宋体" w:hAnsi="宋体" w:cs="宋体"/>
          <w:bCs/>
        </w:rPr>
        <w:t>管理人行使提前终止权的日期，即本理财计划被提前终止、开始停止计算收益的日期。</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资金到账日：</w:t>
      </w:r>
      <w:r>
        <w:rPr>
          <w:rFonts w:hint="eastAsia" w:ascii="宋体" w:hAnsi="宋体" w:cs="宋体"/>
          <w:bCs/>
        </w:rPr>
        <w:t>指理财计划终止运作后，资金返还至投资者账户的日期。</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开放日：</w:t>
      </w:r>
      <w:r>
        <w:rPr>
          <w:rFonts w:hint="eastAsia" w:ascii="宋体" w:hAnsi="宋体" w:cs="宋体"/>
          <w:bCs/>
          <w:color w:val="auto"/>
          <w:kern w:val="2"/>
        </w:rPr>
        <w:t>指为投资者办理申购、赎回交易的日期。</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rPr>
        <w:t>开放期：</w:t>
      </w:r>
      <w:r>
        <w:rPr>
          <w:rFonts w:hint="eastAsia" w:ascii="宋体" w:hAnsi="宋体" w:cs="宋体"/>
          <w:bCs/>
        </w:rPr>
        <w:t>指管理人向投资者提供申购、赎回交易的时间。</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确认日：</w:t>
      </w:r>
      <w:r>
        <w:rPr>
          <w:rFonts w:hint="eastAsia" w:ascii="宋体" w:hAnsi="宋体" w:cs="宋体"/>
          <w:bCs/>
          <w:color w:val="auto"/>
          <w:kern w:val="2"/>
        </w:rPr>
        <w:t>指管理人确认投资者申购、赎回交易是否有效的日期。</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认购：</w:t>
      </w:r>
      <w:r>
        <w:rPr>
          <w:rFonts w:hint="eastAsia" w:ascii="宋体" w:hAnsi="宋体" w:cs="宋体"/>
          <w:bCs/>
          <w:color w:val="auto"/>
          <w:kern w:val="2"/>
        </w:rPr>
        <w:t>指投资者根据理财计划约定申请购买本理财计划份额的行为。</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申购：</w:t>
      </w:r>
      <w:r>
        <w:rPr>
          <w:rFonts w:hint="eastAsia" w:ascii="宋体" w:hAnsi="宋体" w:cs="宋体"/>
          <w:bCs/>
          <w:color w:val="auto"/>
          <w:kern w:val="2"/>
        </w:rPr>
        <w:t>指理财计划申购开放期内，投资者向管理人进行理财计划份额购买的行为。</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赎回：</w:t>
      </w:r>
      <w:r>
        <w:rPr>
          <w:rFonts w:hint="eastAsia" w:ascii="宋体" w:hAnsi="宋体" w:cs="宋体"/>
          <w:bCs/>
          <w:color w:val="auto"/>
          <w:kern w:val="2"/>
        </w:rPr>
        <w:t>指理财计划赎回开放期内，投资者向管理人进行理财计划份额卖出的行为。</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收益分配：</w:t>
      </w:r>
      <w:r>
        <w:rPr>
          <w:rFonts w:hint="eastAsia" w:ascii="宋体" w:hAnsi="宋体" w:cs="宋体"/>
          <w:bCs/>
          <w:color w:val="auto"/>
          <w:kern w:val="2"/>
        </w:rPr>
        <w:t>指管理人在满足收益分配基准日理财计划份额净值大于1元的情况下，定期或不定期将大于1元部分的收益进行全部或部分分配的行为。</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rPr>
        <w:t>理财计划费用/产品费用：</w:t>
      </w:r>
      <w:r>
        <w:rPr>
          <w:rFonts w:hint="eastAsia" w:ascii="宋体" w:hAnsi="宋体" w:cs="宋体"/>
          <w:bCs/>
        </w:rPr>
        <w:t>指管理人为成立理财计划及处理理财计划事务而支出的所有费用，包括但不限于管理人收取的固定管理费、浮动管理费、销售服务费、托管人收取的托管费、交易费用、执行费用等相关费用，具体以实际发生为准。</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rPr>
        <w:t>其他费用：</w:t>
      </w:r>
      <w:r>
        <w:rPr>
          <w:rFonts w:hint="eastAsia" w:ascii="宋体" w:hAnsi="宋体" w:cs="宋体"/>
          <w:bCs/>
        </w:rPr>
        <w:t>指除理财计划费用以外，理财计划涉及的其他相关费用，包括但不限于认购费、申购费、赎回费、投顾费等，具体以本说明书第八条约定为准。</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rPr>
        <w:t>理财计划估值：</w:t>
      </w:r>
      <w:r>
        <w:rPr>
          <w:rFonts w:hint="eastAsia" w:ascii="宋体" w:hAnsi="宋体" w:cs="宋体"/>
          <w:bCs/>
        </w:rPr>
        <w:t>指计算评估理财计划资产以确定理财计划份额净值的过程。</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理财业绩比较基准：</w:t>
      </w:r>
      <w:r>
        <w:rPr>
          <w:rFonts w:hint="eastAsia" w:ascii="宋体" w:hAnsi="宋体" w:cs="宋体"/>
          <w:bCs/>
          <w:color w:val="auto"/>
          <w:kern w:val="2"/>
        </w:rPr>
        <w:t>指管理人基于过往投资经验及对市场波动的判断与预测而对本理财计划设定的投资目标，不代表本理财计划的未来表现和实际收益，或管理人对本理财计划的收益承诺。</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指定账户：</w:t>
      </w:r>
      <w:r>
        <w:rPr>
          <w:rFonts w:hint="eastAsia" w:ascii="宋体" w:hAnsi="宋体" w:cs="宋体"/>
          <w:bCs/>
          <w:color w:val="auto"/>
          <w:kern w:val="2"/>
        </w:rPr>
        <w:t>指投资者开立的，在理财计划认/申购时指定扣划本金、返还本金或收益的银行账户。</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流</w:t>
      </w:r>
      <w:r>
        <w:rPr>
          <w:rFonts w:hint="eastAsia"/>
          <w:b/>
        </w:rPr>
        <w:t>动性受限资产：</w:t>
      </w:r>
      <w:r>
        <w:rPr>
          <w:rFonts w:hint="eastAsia"/>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b/>
          <w:bCs/>
        </w:rPr>
        <w:t>7个工作日可变现资产：</w:t>
      </w:r>
      <w:r>
        <w:rPr>
          <w:rFonts w:hint="eastAsia"/>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17"/>
        <w:numPr>
          <w:ilvl w:val="0"/>
          <w:numId w:val="4"/>
        </w:numPr>
        <w:adjustRightInd/>
        <w:spacing w:line="360" w:lineRule="auto"/>
        <w:ind w:firstLine="482" w:firstLineChars="200"/>
        <w:outlineLvl w:val="2"/>
        <w:rPr>
          <w:rFonts w:hint="eastAsia" w:ascii="宋体" w:hAnsi="宋体" w:cs="宋体"/>
          <w:b/>
          <w:color w:val="auto"/>
          <w:kern w:val="2"/>
        </w:rPr>
      </w:pPr>
      <w:r>
        <w:rPr>
          <w:rFonts w:hint="eastAsia" w:ascii="宋体" w:hAnsi="宋体" w:cs="宋体"/>
          <w:b/>
          <w:color w:val="auto"/>
          <w:kern w:val="2"/>
        </w:rPr>
        <w:t>相关事件用语</w:t>
      </w:r>
    </w:p>
    <w:p>
      <w:pPr>
        <w:pStyle w:val="17"/>
        <w:numPr>
          <w:ilvl w:val="0"/>
          <w:numId w:val="8"/>
        </w:numPr>
        <w:adjustRightInd/>
        <w:spacing w:line="360" w:lineRule="auto"/>
        <w:ind w:firstLine="482" w:firstLineChars="200"/>
        <w:rPr>
          <w:rFonts w:hint="eastAsia" w:ascii="宋体" w:hAnsi="宋体" w:cs="宋体"/>
          <w:bCs/>
          <w:color w:val="auto"/>
          <w:kern w:val="2"/>
        </w:rPr>
      </w:pPr>
      <w:r>
        <w:rPr>
          <w:rFonts w:hint="eastAsia" w:ascii="宋体" w:hAnsi="宋体" w:cs="宋体"/>
          <w:b/>
          <w:color w:val="auto"/>
          <w:kern w:val="2"/>
        </w:rPr>
        <w:t>不可抗力：</w:t>
      </w:r>
      <w:r>
        <w:rPr>
          <w:rFonts w:hint="eastAsia" w:ascii="宋体" w:hAnsi="宋体" w:cs="宋体"/>
          <w:bCs/>
          <w:color w:val="auto"/>
          <w:kern w:val="2"/>
        </w:rPr>
        <w:t>指理财计划各方不能预见、不能避免且不能克服的客观情况，该事件妨碍、影响或延误任何一方依据相关理财计划文件履行其全面或部分义务。该事件包括但不限于:</w:t>
      </w:r>
    </w:p>
    <w:p>
      <w:pPr>
        <w:pStyle w:val="17"/>
        <w:adjustRightInd/>
        <w:spacing w:line="360" w:lineRule="auto"/>
        <w:ind w:firstLine="480" w:firstLineChars="200"/>
        <w:rPr>
          <w:bCs/>
        </w:rPr>
      </w:pPr>
      <w:r>
        <w:rPr>
          <w:rFonts w:hint="eastAsia" w:ascii="宋体" w:hAnsi="宋体" w:cs="宋体"/>
          <w:bCs/>
          <w:color w:val="auto"/>
          <w:kern w:val="2"/>
        </w:rPr>
        <w:t>（1）地震、台风、海啸、洪水、火灾、停电、瘟疫、突发公共卫生事件；</w:t>
      </w:r>
    </w:p>
    <w:p>
      <w:pPr>
        <w:pStyle w:val="17"/>
        <w:adjustRightInd/>
        <w:spacing w:line="360" w:lineRule="auto"/>
        <w:ind w:firstLine="480" w:firstLineChars="200"/>
        <w:rPr>
          <w:rFonts w:hint="eastAsia" w:ascii="宋体" w:hAnsi="宋体" w:cs="宋体"/>
          <w:bCs/>
          <w:color w:val="auto"/>
          <w:kern w:val="2"/>
        </w:rPr>
      </w:pPr>
      <w:r>
        <w:rPr>
          <w:rFonts w:hint="eastAsia" w:ascii="宋体" w:hAnsi="宋体" w:cs="宋体"/>
          <w:bCs/>
          <w:color w:val="auto"/>
          <w:kern w:val="2"/>
        </w:rPr>
        <w:t>（2）战争、政变、恐怖主义行动、骚乱、罢工；</w:t>
      </w:r>
    </w:p>
    <w:p>
      <w:pPr>
        <w:pStyle w:val="17"/>
        <w:adjustRightInd/>
        <w:spacing w:line="360" w:lineRule="auto"/>
        <w:ind w:firstLine="480" w:firstLineChars="200"/>
        <w:rPr>
          <w:rFonts w:hint="eastAsia" w:ascii="宋体" w:hAnsi="宋体" w:cs="宋体"/>
          <w:bCs/>
          <w:color w:val="auto"/>
          <w:kern w:val="2"/>
        </w:rPr>
      </w:pPr>
      <w:r>
        <w:rPr>
          <w:rFonts w:hint="eastAsia" w:ascii="宋体" w:hAnsi="宋体" w:cs="宋体"/>
          <w:bCs/>
          <w:color w:val="auto"/>
          <w:kern w:val="2"/>
        </w:rPr>
        <w:t>（3）新的适用法律或国家政策的颁布或实施、对原适用法律或国家政策的修改；</w:t>
      </w:r>
    </w:p>
    <w:p>
      <w:pPr>
        <w:pStyle w:val="17"/>
        <w:adjustRightInd/>
        <w:spacing w:line="360" w:lineRule="auto"/>
        <w:ind w:firstLine="480" w:firstLineChars="200"/>
        <w:rPr>
          <w:rFonts w:hint="eastAsia" w:ascii="宋体" w:hAnsi="宋体" w:cs="宋体"/>
          <w:bCs/>
          <w:color w:val="auto"/>
          <w:kern w:val="2"/>
        </w:rPr>
      </w:pPr>
      <w:r>
        <w:rPr>
          <w:rFonts w:hint="eastAsia" w:ascii="宋体" w:hAnsi="宋体" w:cs="宋体"/>
          <w:bCs/>
          <w:color w:val="auto"/>
          <w:kern w:val="2"/>
        </w:rPr>
        <w:t>（4）金融管理部门强制要求终止理财计划（该等强制要求不可归咎于任何一方）；</w:t>
      </w:r>
    </w:p>
    <w:p>
      <w:pPr>
        <w:pStyle w:val="17"/>
        <w:adjustRightInd/>
        <w:spacing w:line="360" w:lineRule="auto"/>
        <w:ind w:firstLine="480" w:firstLineChars="200"/>
        <w:rPr>
          <w:rFonts w:hint="eastAsia" w:ascii="宋体" w:hAnsi="宋体" w:cs="宋体"/>
          <w:bCs/>
          <w:color w:val="auto"/>
          <w:kern w:val="2"/>
        </w:rPr>
      </w:pPr>
      <w:r>
        <w:rPr>
          <w:rFonts w:hint="eastAsia" w:ascii="宋体" w:hAnsi="宋体" w:cs="宋体"/>
          <w:bCs/>
          <w:color w:val="auto"/>
          <w:kern w:val="2"/>
        </w:rPr>
        <w:t>（5）因理财计划各方和/或其关联方运营网络系统遭受黑客攻击、电信部门技术调整或故障等原因而造成的理财计划各方和/或其关联方之服务、营业的中断或者延迟。</w:t>
      </w:r>
    </w:p>
    <w:p>
      <w:pPr>
        <w:pStyle w:val="17"/>
        <w:numPr>
          <w:ilvl w:val="0"/>
          <w:numId w:val="9"/>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巨额赎回：</w:t>
      </w:r>
      <w:r>
        <w:rPr>
          <w:rFonts w:hint="eastAsia" w:ascii="宋体" w:hAnsi="宋体" w:cs="宋体"/>
          <w:bCs/>
          <w:color w:val="auto"/>
          <w:kern w:val="2"/>
        </w:rPr>
        <w:t>指理财计划的申购和赎回开放期内，理财计划任一开放日净赎回申请份额超过上一工作日日终理财计划总份额的〖10%〗，即为发生巨额赎回行为。</w:t>
      </w:r>
    </w:p>
    <w:p>
      <w:pPr>
        <w:pStyle w:val="17"/>
        <w:adjustRightInd/>
        <w:spacing w:line="360" w:lineRule="auto"/>
        <w:rPr>
          <w:rFonts w:hint="eastAsia" w:ascii="宋体" w:hAnsi="宋体" w:cs="宋体"/>
          <w:b/>
          <w:color w:val="auto"/>
          <w:kern w:val="2"/>
        </w:rPr>
      </w:pPr>
    </w:p>
    <w:p>
      <w:pPr>
        <w:pStyle w:val="17"/>
        <w:numPr>
          <w:ilvl w:val="0"/>
          <w:numId w:val="10"/>
        </w:numPr>
        <w:adjustRightInd/>
        <w:spacing w:line="360" w:lineRule="auto"/>
        <w:ind w:firstLine="482" w:firstLineChars="200"/>
        <w:outlineLvl w:val="1"/>
        <w:rPr>
          <w:rFonts w:hint="eastAsia" w:ascii="宋体" w:hAnsi="宋体" w:cs="宋体"/>
          <w:b/>
          <w:color w:val="auto"/>
          <w:kern w:val="2"/>
        </w:rPr>
      </w:pPr>
      <w:r>
        <w:rPr>
          <w:rFonts w:hint="eastAsia" w:ascii="宋体" w:hAnsi="宋体" w:cs="宋体"/>
          <w:b/>
          <w:color w:val="auto"/>
          <w:kern w:val="2"/>
        </w:rPr>
        <w:t>风险评级</w:t>
      </w:r>
    </w:p>
    <w:p>
      <w:pPr>
        <w:pStyle w:val="17"/>
        <w:adjustRightInd/>
        <w:spacing w:line="360" w:lineRule="auto"/>
        <w:ind w:firstLine="480" w:firstLineChars="200"/>
        <w:rPr>
          <w:rFonts w:hint="eastAsia" w:ascii="宋体" w:hAnsi="宋体" w:cs="宋体"/>
          <w:bCs/>
          <w:color w:val="auto"/>
          <w:kern w:val="2"/>
        </w:rPr>
      </w:pPr>
      <w:r>
        <w:rPr>
          <w:rFonts w:hint="eastAsia" w:ascii="宋体" w:hAnsi="宋体" w:cs="宋体"/>
          <w:bCs/>
          <w:color w:val="auto"/>
          <w:kern w:val="2"/>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rPr>
        <w:t>本理财计划的风险等级为〖R2〗，〖中低〗风险。</w:t>
      </w:r>
      <w:r>
        <w:rPr>
          <w:rFonts w:hint="eastAsia" w:ascii="宋体" w:hAnsi="宋体" w:cs="宋体"/>
          <w:bCs/>
          <w:color w:val="auto"/>
          <w:kern w:val="2"/>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内部风险评级</w:t>
            </w:r>
          </w:p>
        </w:tc>
        <w:tc>
          <w:tcPr>
            <w:tcW w:w="1382"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风险程度</w:t>
            </w:r>
          </w:p>
        </w:tc>
        <w:tc>
          <w:tcPr>
            <w:tcW w:w="4755"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R1</w:t>
            </w:r>
          </w:p>
        </w:tc>
        <w:tc>
          <w:tcPr>
            <w:tcW w:w="1382"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低</w:t>
            </w:r>
          </w:p>
        </w:tc>
        <w:tc>
          <w:tcPr>
            <w:tcW w:w="4755"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保守型、稳健型、平衡型、成长型、进取型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
                <w:color w:val="auto"/>
                <w:kern w:val="2"/>
              </w:rPr>
            </w:pPr>
            <w:r>
              <w:rPr>
                <w:rFonts w:hint="eastAsia" w:ascii="宋体" w:hAnsi="宋体" w:cs="宋体"/>
                <w:b/>
                <w:color w:val="auto"/>
                <w:kern w:val="2"/>
              </w:rPr>
              <w:t>R2</w:t>
            </w:r>
          </w:p>
        </w:tc>
        <w:tc>
          <w:tcPr>
            <w:tcW w:w="1382" w:type="dxa"/>
            <w:noWrap w:val="0"/>
            <w:vAlign w:val="top"/>
          </w:tcPr>
          <w:p>
            <w:pPr>
              <w:pStyle w:val="17"/>
              <w:adjustRightInd/>
              <w:spacing w:line="360" w:lineRule="auto"/>
              <w:jc w:val="center"/>
              <w:rPr>
                <w:rFonts w:ascii="宋体" w:hAnsi="宋体" w:cs="宋体"/>
                <w:b/>
                <w:color w:val="auto"/>
                <w:kern w:val="2"/>
              </w:rPr>
            </w:pPr>
            <w:r>
              <w:rPr>
                <w:rFonts w:hint="eastAsia" w:ascii="宋体" w:hAnsi="宋体" w:cs="宋体"/>
                <w:b/>
                <w:color w:val="auto"/>
                <w:kern w:val="2"/>
              </w:rPr>
              <w:t>中低</w:t>
            </w:r>
          </w:p>
        </w:tc>
        <w:tc>
          <w:tcPr>
            <w:tcW w:w="4755" w:type="dxa"/>
            <w:noWrap w:val="0"/>
            <w:vAlign w:val="top"/>
          </w:tcPr>
          <w:p>
            <w:pPr>
              <w:pStyle w:val="17"/>
              <w:adjustRightInd/>
              <w:spacing w:line="360" w:lineRule="auto"/>
              <w:jc w:val="center"/>
              <w:rPr>
                <w:rFonts w:ascii="宋体" w:hAnsi="宋体" w:cs="宋体"/>
                <w:b/>
                <w:color w:val="auto"/>
                <w:kern w:val="2"/>
              </w:rPr>
            </w:pPr>
            <w:r>
              <w:rPr>
                <w:rFonts w:hint="eastAsia" w:ascii="宋体" w:hAnsi="宋体" w:cs="宋体"/>
                <w:b/>
                <w:color w:val="auto"/>
                <w:kern w:val="2"/>
              </w:rPr>
              <w:t>稳健型、平衡型、成长型、进取型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R3</w:t>
            </w:r>
          </w:p>
        </w:tc>
        <w:tc>
          <w:tcPr>
            <w:tcW w:w="1382"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中</w:t>
            </w:r>
          </w:p>
        </w:tc>
        <w:tc>
          <w:tcPr>
            <w:tcW w:w="4755"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R4</w:t>
            </w:r>
          </w:p>
        </w:tc>
        <w:tc>
          <w:tcPr>
            <w:tcW w:w="1382"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中高</w:t>
            </w:r>
          </w:p>
        </w:tc>
        <w:tc>
          <w:tcPr>
            <w:tcW w:w="4755"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R5</w:t>
            </w:r>
          </w:p>
        </w:tc>
        <w:tc>
          <w:tcPr>
            <w:tcW w:w="1382"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高</w:t>
            </w:r>
          </w:p>
        </w:tc>
        <w:tc>
          <w:tcPr>
            <w:tcW w:w="4755"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进取型</w:t>
            </w:r>
          </w:p>
        </w:tc>
      </w:tr>
    </w:tbl>
    <w:p>
      <w:pPr>
        <w:pStyle w:val="17"/>
        <w:adjustRightInd/>
        <w:spacing w:line="360" w:lineRule="auto"/>
        <w:ind w:firstLine="480" w:firstLineChars="200"/>
        <w:rPr>
          <w:rFonts w:ascii="宋体" w:hAnsi="宋体" w:cs="宋体"/>
          <w:bCs/>
          <w:color w:val="auto"/>
          <w:kern w:val="2"/>
        </w:rPr>
      </w:pPr>
      <w:r>
        <w:rPr>
          <w:rFonts w:hint="eastAsia" w:ascii="宋体" w:hAnsi="宋体" w:cs="宋体"/>
          <w:bCs/>
          <w:color w:val="auto"/>
          <w:kern w:val="2"/>
        </w:rPr>
        <w:t>投资者风险承受能力评级水平以销售机构评估为准。</w:t>
      </w:r>
    </w:p>
    <w:p>
      <w:pPr>
        <w:pStyle w:val="17"/>
        <w:adjustRightInd/>
        <w:spacing w:line="360" w:lineRule="auto"/>
        <w:rPr>
          <w:rFonts w:hint="eastAsia" w:ascii="宋体" w:hAnsi="宋体" w:cs="宋体"/>
          <w:b/>
          <w:color w:val="auto"/>
          <w:kern w:val="2"/>
        </w:rPr>
      </w:pPr>
    </w:p>
    <w:p>
      <w:pPr>
        <w:pStyle w:val="17"/>
        <w:numPr>
          <w:ilvl w:val="0"/>
          <w:numId w:val="10"/>
        </w:numPr>
        <w:adjustRightInd/>
        <w:spacing w:line="360" w:lineRule="auto"/>
        <w:outlineLvl w:val="1"/>
        <w:rPr>
          <w:rFonts w:hint="eastAsia" w:ascii="宋体" w:hAnsi="宋体" w:cs="宋体"/>
          <w:b/>
          <w:color w:val="auto"/>
          <w:kern w:val="2"/>
        </w:rPr>
      </w:pPr>
      <w:r>
        <w:rPr>
          <w:rFonts w:hint="eastAsia" w:ascii="宋体" w:hAnsi="宋体" w:cs="宋体"/>
          <w:b/>
          <w:color w:val="auto"/>
          <w:kern w:val="2"/>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产品名称</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sz w:val="21"/>
                <w:szCs w:val="21"/>
              </w:rPr>
              <w:t>杭银理财幸福99</w:t>
            </w:r>
            <w:r>
              <w:rPr>
                <w:rFonts w:hint="eastAsia" w:ascii="宋体" w:hAnsi="宋体" w:cs="宋体"/>
                <w:bCs/>
                <w:sz w:val="21"/>
                <w:szCs w:val="21"/>
              </w:rPr>
              <w:t>月添益2001期</w:t>
            </w:r>
            <w:r>
              <w:rPr>
                <w:rFonts w:hint="eastAsia" w:ascii="宋体" w:hAnsi="宋体" w:cs="宋体"/>
                <w:sz w:val="21"/>
                <w:szCs w:val="21"/>
              </w:rPr>
              <w:t>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cs="宋体"/>
                <w:sz w:val="21"/>
                <w:szCs w:val="21"/>
              </w:rPr>
            </w:pPr>
            <w:r>
              <w:rPr>
                <w:rFonts w:hint="eastAsia" w:ascii="宋体" w:hAnsi="宋体" w:cs="宋体"/>
                <w:sz w:val="21"/>
                <w:szCs w:val="21"/>
              </w:rPr>
              <w:t>产品简称</w:t>
            </w:r>
          </w:p>
        </w:tc>
        <w:tc>
          <w:tcPr>
            <w:tcW w:w="7185" w:type="dxa"/>
            <w:noWrap w:val="0"/>
            <w:vAlign w:val="center"/>
          </w:tcPr>
          <w:p>
            <w:pPr>
              <w:widowControl/>
              <w:spacing w:line="360" w:lineRule="auto"/>
              <w:contextualSpacing/>
              <w:rPr>
                <w:rFonts w:ascii="宋体" w:hAnsi="宋体" w:cs="宋体"/>
                <w:sz w:val="21"/>
                <w:szCs w:val="21"/>
              </w:rPr>
            </w:pPr>
            <w:r>
              <w:rPr>
                <w:rFonts w:hint="eastAsia" w:ascii="宋体" w:hAnsi="宋体" w:cs="宋体"/>
                <w:sz w:val="21"/>
                <w:szCs w:val="21"/>
              </w:rPr>
              <w:t>月添益2001期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cs="宋体"/>
                <w:sz w:val="21"/>
                <w:szCs w:val="21"/>
              </w:rPr>
            </w:pPr>
            <w:r>
              <w:rPr>
                <w:rFonts w:hint="eastAsia" w:ascii="宋体" w:hAnsi="宋体" w:cs="宋体"/>
                <w:sz w:val="21"/>
                <w:szCs w:val="21"/>
              </w:rPr>
              <w:t>产品编号</w:t>
            </w:r>
          </w:p>
        </w:tc>
        <w:tc>
          <w:tcPr>
            <w:tcW w:w="7185" w:type="dxa"/>
            <w:noWrap w:val="0"/>
            <w:vAlign w:val="center"/>
          </w:tcPr>
          <w:p>
            <w:pPr>
              <w:widowControl/>
              <w:spacing w:line="360" w:lineRule="auto"/>
              <w:contextualSpacing/>
              <w:rPr>
                <w:rFonts w:ascii="宋体" w:hAnsi="宋体" w:cs="宋体"/>
                <w:color w:val="000000"/>
                <w:sz w:val="21"/>
                <w:szCs w:val="21"/>
              </w:rPr>
            </w:pPr>
            <w:r>
              <w:rPr>
                <w:rFonts w:hint="eastAsia" w:ascii="宋体" w:hAnsi="宋体" w:cs="宋体"/>
                <w:sz w:val="21"/>
                <w:szCs w:val="21"/>
              </w:rPr>
              <w:t>〖</w:t>
            </w:r>
            <w:r>
              <w:rPr>
                <w:rFonts w:hint="eastAsia" w:ascii="宋体" w:hAnsi="宋体" w:cs="宋体"/>
                <w:color w:val="000000"/>
                <w:sz w:val="21"/>
                <w:szCs w:val="21"/>
              </w:rPr>
              <w:t>TYG1M2001</w:t>
            </w:r>
            <w:r>
              <w:rPr>
                <w:rFonts w:hint="eastAsia" w:ascii="宋体" w:hAnsi="宋体" w:cs="宋体"/>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登记编码</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本理财计划在全国银行业理财信息登记系统的原登记编码是〖</w:t>
            </w:r>
            <w:r>
              <w:rPr>
                <w:rFonts w:ascii="宋体" w:hAnsi="宋体" w:cs="宋体"/>
                <w:color w:val="000000"/>
                <w:kern w:val="0"/>
                <w:sz w:val="21"/>
                <w:szCs w:val="21"/>
              </w:rPr>
              <w:t>C10920</w:t>
            </w:r>
            <w:r>
              <w:rPr>
                <w:rFonts w:hint="eastAsia" w:ascii="宋体" w:hAnsi="宋体" w:cs="宋体"/>
                <w:color w:val="000000"/>
                <w:kern w:val="0"/>
                <w:sz w:val="21"/>
                <w:szCs w:val="21"/>
              </w:rPr>
              <w:t>20000457</w:t>
            </w:r>
            <w:r>
              <w:rPr>
                <w:rFonts w:hint="eastAsia" w:ascii="宋体" w:hAnsi="宋体" w:cs="宋体"/>
                <w:color w:val="000000"/>
                <w:sz w:val="21"/>
                <w:szCs w:val="21"/>
              </w:rPr>
              <w:t>〗</w:t>
            </w:r>
            <w:r>
              <w:rPr>
                <w:rFonts w:hint="eastAsia" w:ascii="宋体" w:hAnsi="宋体" w:cs="宋体"/>
                <w:color w:val="000000"/>
                <w:kern w:val="0"/>
              </w:rPr>
              <w:t>，</w:t>
            </w:r>
            <w:r>
              <w:rPr>
                <w:rFonts w:hint="eastAsia" w:ascii="宋体" w:hAnsi="宋体" w:cs="宋体"/>
                <w:color w:val="000000"/>
                <w:sz w:val="21"/>
                <w:szCs w:val="21"/>
              </w:rPr>
              <w:t>变更登记后为〖</w:t>
            </w:r>
            <w:r>
              <w:rPr>
                <w:rFonts w:ascii="宋体" w:hAnsi="宋体" w:cs="宋体"/>
                <w:sz w:val="21"/>
                <w:szCs w:val="21"/>
              </w:rPr>
              <w:t>Z70022210002</w:t>
            </w:r>
            <w:r>
              <w:rPr>
                <w:rFonts w:hint="eastAsia" w:ascii="宋体" w:hAnsi="宋体" w:cs="宋体"/>
                <w:sz w:val="21"/>
                <w:szCs w:val="21"/>
              </w:rPr>
              <w:t>71</w:t>
            </w:r>
            <w:r>
              <w:rPr>
                <w:rFonts w:hint="eastAsia" w:ascii="宋体" w:hAnsi="宋体" w:cs="宋体"/>
                <w:color w:val="000000"/>
                <w:sz w:val="21"/>
                <w:szCs w:val="21"/>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发行对象</w:t>
            </w:r>
          </w:p>
        </w:tc>
        <w:tc>
          <w:tcPr>
            <w:tcW w:w="7185" w:type="dxa"/>
            <w:noWrap w:val="0"/>
            <w:vAlign w:val="center"/>
          </w:tcPr>
          <w:p>
            <w:pPr>
              <w:widowControl/>
              <w:spacing w:line="360" w:lineRule="auto"/>
              <w:contextualSpacing/>
              <w:rPr>
                <w:rFonts w:hint="eastAsia" w:ascii="宋体" w:hAnsi="宋体" w:cs="宋体"/>
                <w:bCs/>
                <w:sz w:val="21"/>
                <w:szCs w:val="21"/>
              </w:rPr>
            </w:pPr>
            <w:r>
              <w:rPr>
                <w:rFonts w:hint="eastAsia" w:ascii="宋体" w:hAnsi="宋体" w:cs="宋体"/>
                <w:color w:val="000000"/>
                <w:sz w:val="21"/>
                <w:szCs w:val="21"/>
              </w:rPr>
              <w:t>本理财计划适合</w:t>
            </w:r>
            <w:r>
              <w:rPr>
                <w:rFonts w:hint="eastAsia" w:ascii="宋体" w:hAnsi="宋体" w:cs="宋体"/>
                <w:b/>
                <w:sz w:val="21"/>
                <w:szCs w:val="21"/>
              </w:rPr>
              <w:t>〖</w:t>
            </w:r>
            <w:r>
              <w:rPr>
                <w:rFonts w:hint="eastAsia" w:ascii="宋体" w:hAnsi="宋体" w:cs="宋体"/>
                <w:b/>
                <w:color w:val="000000"/>
                <w:sz w:val="21"/>
                <w:szCs w:val="21"/>
              </w:rPr>
              <w:t>机构投资者</w:t>
            </w:r>
            <w:r>
              <w:rPr>
                <w:rFonts w:hint="eastAsia" w:ascii="宋体" w:hAnsi="宋体" w:cs="宋体"/>
                <w:b/>
                <w:sz w:val="21"/>
                <w:szCs w:val="21"/>
              </w:rPr>
              <w:t>〗</w:t>
            </w:r>
            <w:r>
              <w:rPr>
                <w:rFonts w:hint="eastAsia" w:ascii="宋体" w:hAnsi="宋体" w:cs="宋体"/>
                <w:b/>
                <w:color w:val="000000"/>
                <w:sz w:val="21"/>
                <w:szCs w:val="21"/>
              </w:rPr>
              <w:t>以及</w:t>
            </w:r>
            <w:r>
              <w:rPr>
                <w:rFonts w:hint="eastAsia" w:ascii="宋体" w:hAnsi="宋体" w:cs="宋体"/>
                <w:b/>
                <w:sz w:val="21"/>
                <w:szCs w:val="21"/>
              </w:rPr>
              <w:t>〖稳健型、平衡型、成长型、进取型〗</w:t>
            </w:r>
            <w:r>
              <w:rPr>
                <w:rFonts w:hint="eastAsia" w:ascii="宋体" w:hAnsi="宋体" w:cs="宋体"/>
                <w:b/>
                <w:color w:val="000000"/>
                <w:sz w:val="21"/>
                <w:szCs w:val="21"/>
              </w:rPr>
              <w:t>的个人投资者。</w:t>
            </w:r>
            <w:r>
              <w:rPr>
                <w:rFonts w:hint="eastAsia" w:ascii="宋体" w:hAnsi="宋体" w:cs="宋体"/>
                <w:bCs/>
                <w:sz w:val="21"/>
                <w:szCs w:val="21"/>
              </w:rPr>
              <w:t>投资者风险承受能力评级水平以销售机构评估为准。</w:t>
            </w:r>
          </w:p>
          <w:p>
            <w:pPr>
              <w:widowControl/>
              <w:spacing w:line="360" w:lineRule="auto"/>
              <w:contextualSpacing/>
              <w:rPr>
                <w:rFonts w:hint="eastAsia" w:ascii="宋体" w:hAnsi="宋体" w:cs="宋体"/>
                <w:b w:val="0"/>
                <w:bCs/>
                <w:color w:val="000000"/>
                <w:sz w:val="21"/>
                <w:szCs w:val="21"/>
                <w:highlight w:val="none"/>
                <w:lang w:val="en-US" w:eastAsia="zh-CN"/>
              </w:rPr>
            </w:pPr>
            <w:r>
              <w:rPr>
                <w:rFonts w:hint="eastAsia" w:ascii="宋体" w:hAnsi="宋体" w:cs="宋体"/>
                <w:bCs/>
                <w:sz w:val="21"/>
                <w:szCs w:val="21"/>
                <w:lang w:val="en-US" w:eastAsia="zh-CN"/>
              </w:rPr>
              <w:t>A份额</w:t>
            </w:r>
            <w:r>
              <w:rPr>
                <w:rFonts w:hint="eastAsia" w:ascii="宋体" w:hAnsi="宋体" w:cs="宋体"/>
                <w:b w:val="0"/>
                <w:bCs/>
                <w:color w:val="000000"/>
                <w:sz w:val="21"/>
                <w:szCs w:val="21"/>
                <w:highlight w:val="none"/>
                <w:lang w:val="en-US" w:eastAsia="zh-CN"/>
              </w:rPr>
              <w:t>（销售代码</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TYG1M2001</w:t>
            </w:r>
            <w:r>
              <w:rPr>
                <w:rFonts w:hint="eastAsia" w:ascii="宋体" w:hAnsi="宋体" w:cs="宋体"/>
                <w:color w:val="000000"/>
                <w:sz w:val="21"/>
                <w:szCs w:val="21"/>
                <w:highlight w:val="none"/>
              </w:rPr>
              <w:t>〗</w:t>
            </w:r>
            <w:r>
              <w:rPr>
                <w:rFonts w:hint="eastAsia" w:ascii="宋体" w:hAnsi="宋体" w:cs="宋体"/>
                <w:b w:val="0"/>
                <w:bCs/>
                <w:color w:val="000000"/>
                <w:sz w:val="21"/>
                <w:szCs w:val="21"/>
                <w:highlight w:val="none"/>
                <w:lang w:val="en-US" w:eastAsia="zh-CN"/>
              </w:rPr>
              <w:t>）面向</w:t>
            </w:r>
            <w:r>
              <w:rPr>
                <w:rFonts w:hint="eastAsia" w:ascii="宋体" w:hAnsi="宋体" w:cs="宋体"/>
                <w:color w:val="000000"/>
                <w:sz w:val="21"/>
                <w:szCs w:val="21"/>
                <w:highlight w:val="none"/>
              </w:rPr>
              <w:t>〖</w:t>
            </w:r>
            <w:r>
              <w:rPr>
                <w:rFonts w:hint="eastAsia" w:ascii="宋体" w:hAnsi="宋体" w:cs="宋体"/>
                <w:sz w:val="21"/>
                <w:szCs w:val="21"/>
                <w:highlight w:val="none"/>
              </w:rPr>
              <w:t>普通个人投资者和机构客户</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发售</w:t>
            </w:r>
            <w:r>
              <w:rPr>
                <w:rFonts w:hint="eastAsia" w:ascii="宋体" w:hAnsi="宋体" w:cs="宋体"/>
                <w:b w:val="0"/>
                <w:bCs/>
                <w:color w:val="000000"/>
                <w:sz w:val="21"/>
                <w:szCs w:val="21"/>
                <w:highlight w:val="none"/>
                <w:lang w:val="en-US" w:eastAsia="zh-CN"/>
              </w:rPr>
              <w:t>。</w:t>
            </w:r>
          </w:p>
          <w:p>
            <w:pPr>
              <w:widowControl/>
              <w:spacing w:line="360" w:lineRule="auto"/>
              <w:contextualSpacing/>
              <w:rPr>
                <w:rFonts w:hint="eastAsia" w:ascii="宋体" w:hAnsi="宋体" w:cs="宋体"/>
                <w:b w:val="0"/>
                <w:bCs/>
                <w:color w:val="000000"/>
                <w:sz w:val="21"/>
                <w:szCs w:val="21"/>
                <w:highlight w:val="none"/>
                <w:lang w:val="en-US" w:eastAsia="zh-CN"/>
              </w:rPr>
            </w:pPr>
            <w:r>
              <w:rPr>
                <w:rFonts w:hint="eastAsia" w:ascii="宋体" w:hAnsi="宋体" w:cs="宋体"/>
                <w:b w:val="0"/>
                <w:bCs/>
                <w:color w:val="000000"/>
                <w:sz w:val="21"/>
                <w:szCs w:val="21"/>
                <w:highlight w:val="none"/>
                <w:lang w:val="en-US" w:eastAsia="zh-CN"/>
              </w:rPr>
              <w:t>B份额（</w:t>
            </w:r>
            <w:r>
              <w:rPr>
                <w:rFonts w:hint="eastAsia" w:ascii="宋体" w:hAnsi="宋体" w:cs="宋体"/>
                <w:bCs w:val="0"/>
                <w:color w:val="000000"/>
                <w:sz w:val="21"/>
                <w:szCs w:val="21"/>
                <w:highlight w:val="none"/>
                <w:lang w:val="en-US" w:eastAsia="zh-CN"/>
              </w:rPr>
              <w:t>销售代码</w:t>
            </w:r>
            <w:r>
              <w:rPr>
                <w:rFonts w:hint="eastAsia" w:ascii="宋体" w:hAnsi="宋体" w:cs="宋体"/>
                <w:szCs w:val="21"/>
              </w:rPr>
              <w:t>〖TYG1M2001</w:t>
            </w:r>
            <w:r>
              <w:rPr>
                <w:rFonts w:hint="eastAsia" w:ascii="宋体" w:hAnsi="宋体" w:cs="宋体"/>
                <w:szCs w:val="21"/>
                <w:lang w:val="en-US" w:eastAsia="zh-CN"/>
              </w:rPr>
              <w:t>B</w:t>
            </w:r>
            <w:r>
              <w:rPr>
                <w:rFonts w:hint="eastAsia" w:ascii="宋体" w:hAnsi="宋体" w:cs="宋体"/>
                <w:szCs w:val="21"/>
              </w:rPr>
              <w:t>〗</w:t>
            </w:r>
            <w:r>
              <w:rPr>
                <w:rFonts w:hint="eastAsia" w:ascii="宋体" w:hAnsi="宋体" w:cs="宋体"/>
                <w:b w:val="0"/>
                <w:bCs/>
                <w:color w:val="000000"/>
                <w:sz w:val="21"/>
                <w:szCs w:val="21"/>
                <w:highlight w:val="none"/>
                <w:lang w:val="en-US" w:eastAsia="zh-CN"/>
              </w:rPr>
              <w:t>）面向</w:t>
            </w:r>
            <w:r>
              <w:rPr>
                <w:rFonts w:hint="eastAsia" w:ascii="宋体" w:hAnsi="宋体" w:cs="宋体"/>
                <w:b w:val="0"/>
                <w:bCs/>
                <w:color w:val="000000"/>
                <w:sz w:val="21"/>
                <w:szCs w:val="21"/>
                <w:highlight w:val="none"/>
                <w:lang w:eastAsia="zh-CN"/>
              </w:rPr>
              <w:t>〖</w:t>
            </w:r>
            <w:r>
              <w:rPr>
                <w:rFonts w:hint="eastAsia" w:ascii="宋体" w:hAnsi="宋体" w:cs="宋体"/>
                <w:b w:val="0"/>
                <w:bCs/>
                <w:color w:val="000000"/>
                <w:sz w:val="21"/>
                <w:szCs w:val="21"/>
                <w:highlight w:val="none"/>
                <w:lang w:val="en-US" w:eastAsia="zh-CN"/>
              </w:rPr>
              <w:t>其他代销机构</w:t>
            </w:r>
            <w:r>
              <w:rPr>
                <w:rFonts w:hint="eastAsia" w:ascii="宋体" w:hAnsi="宋体" w:cs="宋体"/>
                <w:b w:val="0"/>
                <w:bCs/>
                <w:color w:val="000000"/>
                <w:sz w:val="21"/>
                <w:szCs w:val="21"/>
                <w:highlight w:val="none"/>
                <w:lang w:eastAsia="zh-CN"/>
              </w:rPr>
              <w:t>〗</w:t>
            </w:r>
            <w:r>
              <w:rPr>
                <w:rFonts w:hint="eastAsia" w:ascii="宋体" w:hAnsi="宋体" w:cs="宋体"/>
                <w:b w:val="0"/>
                <w:bCs/>
                <w:color w:val="000000"/>
                <w:sz w:val="21"/>
                <w:szCs w:val="21"/>
                <w:highlight w:val="none"/>
                <w:lang w:val="en-US" w:eastAsia="zh-CN"/>
              </w:rPr>
              <w:t>发售。</w:t>
            </w:r>
          </w:p>
          <w:p>
            <w:pPr>
              <w:widowControl/>
              <w:spacing w:line="360" w:lineRule="auto"/>
              <w:contextualSpacing/>
              <w:rPr>
                <w:rFonts w:hint="eastAsia" w:ascii="宋体" w:hAnsi="宋体" w:cs="宋体"/>
                <w:bCs/>
                <w:sz w:val="21"/>
                <w:szCs w:val="21"/>
              </w:rPr>
            </w:pPr>
            <w:r>
              <w:rPr>
                <w:rFonts w:hint="eastAsia" w:ascii="宋体" w:hAnsi="宋体" w:cs="宋体"/>
                <w:b w:val="0"/>
                <w:bCs/>
                <w:color w:val="000000"/>
                <w:sz w:val="21"/>
                <w:szCs w:val="21"/>
                <w:highlight w:val="none"/>
                <w:lang w:val="en-US" w:eastAsia="zh-CN"/>
              </w:rPr>
              <w:t>C份额（销售代码</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TYG1M2001C</w:t>
            </w:r>
            <w:r>
              <w:rPr>
                <w:rFonts w:hint="eastAsia" w:ascii="宋体" w:hAnsi="宋体" w:cs="宋体"/>
                <w:color w:val="000000"/>
                <w:sz w:val="21"/>
                <w:szCs w:val="21"/>
                <w:highlight w:val="none"/>
              </w:rPr>
              <w:t>〗</w:t>
            </w:r>
            <w:r>
              <w:rPr>
                <w:rFonts w:hint="eastAsia" w:ascii="宋体" w:hAnsi="宋体" w:cs="宋体"/>
                <w:b w:val="0"/>
                <w:bCs/>
                <w:color w:val="000000"/>
                <w:sz w:val="21"/>
                <w:szCs w:val="21"/>
                <w:highlight w:val="none"/>
                <w:lang w:val="en-US" w:eastAsia="zh-CN"/>
              </w:rPr>
              <w:t>）面向</w:t>
            </w:r>
            <w:r>
              <w:rPr>
                <w:rFonts w:hint="eastAsia" w:ascii="宋体" w:hAnsi="宋体" w:cs="宋体"/>
                <w:color w:val="000000"/>
                <w:sz w:val="21"/>
                <w:szCs w:val="21"/>
                <w:highlight w:val="none"/>
              </w:rPr>
              <w:t>〖</w:t>
            </w:r>
            <w:r>
              <w:rPr>
                <w:rFonts w:hint="eastAsia" w:ascii="宋体" w:hAnsi="宋体" w:cs="宋体"/>
                <w:sz w:val="21"/>
                <w:szCs w:val="21"/>
                <w:highlight w:val="none"/>
                <w:lang w:val="en-US" w:eastAsia="zh-CN"/>
              </w:rPr>
              <w:t>其他代销机构</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发售。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发行方式</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sz w:val="21"/>
                <w:szCs w:val="21"/>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产品类型</w:t>
            </w:r>
          </w:p>
        </w:tc>
        <w:tc>
          <w:tcPr>
            <w:tcW w:w="7185" w:type="dxa"/>
            <w:noWrap w:val="0"/>
            <w:vAlign w:val="center"/>
          </w:tcPr>
          <w:p>
            <w:pPr>
              <w:widowControl/>
              <w:spacing w:line="360" w:lineRule="auto"/>
              <w:contextualSpacing/>
              <w:rPr>
                <w:rFonts w:ascii="宋体" w:hAnsi="宋体" w:cs="宋体"/>
                <w:color w:val="000000"/>
                <w:sz w:val="21"/>
                <w:szCs w:val="21"/>
              </w:rPr>
            </w:pPr>
            <w:r>
              <w:rPr>
                <w:rFonts w:hint="eastAsia" w:ascii="宋体" w:hAnsi="宋体" w:cs="宋体"/>
                <w:sz w:val="21"/>
                <w:szCs w:val="21"/>
              </w:rPr>
              <w:t>〖固定收益类〗</w:t>
            </w:r>
            <w:r>
              <w:rPr>
                <w:rFonts w:hint="eastAsia" w:ascii="宋体" w:hAnsi="宋体" w:cs="宋体"/>
                <w:color w:val="000000"/>
                <w:sz w:val="21"/>
                <w:szCs w:val="21"/>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widowControl/>
              <w:spacing w:line="360" w:lineRule="auto"/>
              <w:contextualSpacing/>
              <w:jc w:val="center"/>
              <w:rPr>
                <w:rFonts w:ascii="宋体" w:hAnsi="宋体" w:cs="宋体"/>
                <w:color w:val="000000"/>
                <w:sz w:val="21"/>
                <w:szCs w:val="21"/>
              </w:rPr>
            </w:pPr>
            <w:r>
              <w:rPr>
                <w:rFonts w:hint="eastAsia" w:ascii="宋体" w:hAnsi="宋体" w:cs="宋体"/>
                <w:color w:val="000000"/>
                <w:sz w:val="21"/>
                <w:szCs w:val="21"/>
              </w:rPr>
              <w:t>运作模式</w:t>
            </w:r>
          </w:p>
        </w:tc>
        <w:tc>
          <w:tcPr>
            <w:tcW w:w="7185" w:type="dxa"/>
            <w:noWrap w:val="0"/>
            <w:vAlign w:val="center"/>
          </w:tcPr>
          <w:p>
            <w:pPr>
              <w:widowControl/>
              <w:spacing w:line="360" w:lineRule="auto"/>
              <w:contextualSpacing/>
              <w:rPr>
                <w:rFonts w:ascii="宋体" w:hAnsi="宋体" w:cs="宋体"/>
                <w:color w:val="000000"/>
                <w:sz w:val="21"/>
                <w:szCs w:val="21"/>
              </w:rPr>
            </w:pPr>
            <w:r>
              <w:rPr>
                <w:rFonts w:hint="eastAsia" w:ascii="宋体" w:hAnsi="宋体" w:cs="宋体"/>
                <w:color w:val="000000"/>
                <w:sz w:val="21"/>
                <w:szCs w:val="21"/>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分级产品</w:t>
            </w:r>
          </w:p>
        </w:tc>
        <w:tc>
          <w:tcPr>
            <w:tcW w:w="7185" w:type="dxa"/>
            <w:noWrap w:val="0"/>
            <w:vAlign w:val="center"/>
          </w:tcPr>
          <w:p>
            <w:pPr>
              <w:widowControl/>
              <w:spacing w:line="360" w:lineRule="auto"/>
              <w:contextualSpacing/>
              <w:rPr>
                <w:rFonts w:hint="eastAsia" w:ascii="宋体" w:hAnsi="宋体" w:cs="宋体"/>
                <w:sz w:val="21"/>
                <w:szCs w:val="21"/>
              </w:rPr>
            </w:pPr>
            <w:r>
              <w:rPr>
                <w:rFonts w:hint="eastAsia" w:ascii="宋体" w:hAnsi="宋体" w:cs="宋体"/>
                <w:color w:val="000000"/>
                <w:sz w:val="21"/>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销售范围</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sz w:val="21"/>
                <w:szCs w:val="21"/>
              </w:rPr>
              <w:t>〖</w:t>
            </w:r>
            <w:r>
              <w:rPr>
                <w:rFonts w:hint="eastAsia" w:ascii="宋体" w:hAnsi="宋体" w:cs="宋体"/>
                <w:color w:val="000000"/>
                <w:sz w:val="21"/>
                <w:szCs w:val="21"/>
              </w:rPr>
              <w:t>全国</w:t>
            </w:r>
            <w:r>
              <w:rPr>
                <w:rFonts w:hint="eastAsia" w:ascii="宋体" w:hAnsi="宋体" w:cs="宋体"/>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销售渠道</w:t>
            </w:r>
          </w:p>
        </w:tc>
        <w:tc>
          <w:tcPr>
            <w:tcW w:w="7185" w:type="dxa"/>
            <w:noWrap w:val="0"/>
            <w:vAlign w:val="center"/>
          </w:tcPr>
          <w:p>
            <w:pPr>
              <w:widowControl/>
              <w:spacing w:line="360" w:lineRule="auto"/>
              <w:contextualSpacing/>
              <w:jc w:val="left"/>
              <w:rPr>
                <w:rFonts w:hint="eastAsia" w:ascii="宋体" w:hAnsi="宋体" w:cs="宋体"/>
                <w:color w:val="000000"/>
                <w:sz w:val="21"/>
                <w:szCs w:val="21"/>
              </w:rPr>
            </w:pPr>
            <w:r>
              <w:rPr>
                <w:rFonts w:hint="eastAsia" w:ascii="宋体" w:hAnsi="宋体" w:cs="宋体"/>
                <w:color w:val="000000"/>
                <w:sz w:val="21"/>
                <w:szCs w:val="21"/>
              </w:rPr>
              <w:t>可通过杭银理财直销渠道和代理销售机构的</w:t>
            </w:r>
            <w:r>
              <w:rPr>
                <w:rFonts w:hint="eastAsia" w:ascii="宋体" w:hAnsi="宋体" w:cs="宋体"/>
                <w:sz w:val="21"/>
                <w:szCs w:val="21"/>
              </w:rPr>
              <w:t>〖</w:t>
            </w:r>
            <w:r>
              <w:rPr>
                <w:rFonts w:hint="eastAsia" w:ascii="宋体" w:hAnsi="宋体" w:cs="宋体"/>
                <w:color w:val="000000"/>
                <w:sz w:val="21"/>
                <w:szCs w:val="21"/>
              </w:rPr>
              <w:t>营业网点、网上银行、手机银行</w:t>
            </w:r>
            <w:r>
              <w:rPr>
                <w:rFonts w:hint="eastAsia" w:ascii="宋体" w:hAnsi="宋体" w:cs="宋体"/>
                <w:sz w:val="21"/>
                <w:szCs w:val="21"/>
              </w:rPr>
              <w:t>〗</w:t>
            </w:r>
            <w:r>
              <w:rPr>
                <w:rFonts w:hint="eastAsia" w:ascii="宋体" w:hAnsi="宋体" w:cs="宋体"/>
                <w:color w:val="000000"/>
                <w:sz w:val="21"/>
                <w:szCs w:val="21"/>
              </w:rPr>
              <w:t>等渠道购买，通过代理销售机构购买的，具体销售渠道以代理销售机构披露为准。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交易币种</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sz w:val="21"/>
                <w:szCs w:val="21"/>
              </w:rPr>
              <w:t>〖</w:t>
            </w:r>
            <w:r>
              <w:rPr>
                <w:rFonts w:hint="eastAsia" w:ascii="宋体" w:hAnsi="宋体" w:cs="宋体"/>
                <w:color w:val="000000"/>
                <w:sz w:val="21"/>
                <w:szCs w:val="21"/>
              </w:rPr>
              <w:t>人民币</w:t>
            </w:r>
            <w:r>
              <w:rPr>
                <w:rFonts w:hint="eastAsia" w:ascii="宋体" w:hAnsi="宋体" w:cs="宋体"/>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发行规模上限</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lang w:val="en-US" w:eastAsia="zh-CN"/>
              </w:rPr>
              <w:t>A、C份额：合计</w:t>
            </w:r>
            <w:r>
              <w:rPr>
                <w:rFonts w:hint="eastAsia" w:ascii="宋体" w:hAnsi="宋体" w:cs="宋体"/>
                <w:color w:val="000000"/>
                <w:sz w:val="21"/>
                <w:szCs w:val="21"/>
              </w:rPr>
              <w:t>〖100〗亿元</w:t>
            </w:r>
          </w:p>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highlight w:val="none"/>
                <w:lang w:val="en-US" w:eastAsia="zh-CN"/>
              </w:rPr>
              <w:t>B份额：合计</w:t>
            </w:r>
            <w:r>
              <w:rPr>
                <w:rFonts w:hint="eastAsia" w:ascii="宋体" w:hAnsi="宋体" w:cs="宋体"/>
                <w:color w:val="000000"/>
                <w:sz w:val="21"/>
                <w:szCs w:val="21"/>
                <w:highlight w:val="none"/>
              </w:rPr>
              <w:t>〖10〗亿元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认购期</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〖2020〗年〖4〗月〖17〗日-〖2020〗年〖4〗月〖23〗日</w:t>
            </w:r>
            <w:r>
              <w:rPr>
                <w:rFonts w:hint="eastAsia" w:ascii="宋体" w:hAnsi="宋体" w:cs="宋体"/>
                <w:color w:val="000000"/>
                <w:kern w:val="0"/>
                <w:sz w:val="21"/>
                <w:szCs w:val="21"/>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认购时间</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认购期首日〖9：00〗至认购结束日〖17：00〗</w:t>
            </w:r>
            <w:r>
              <w:rPr>
                <w:rFonts w:hint="eastAsia" w:ascii="宋体" w:hAnsi="宋体" w:cs="宋体"/>
                <w:color w:val="000000"/>
                <w:kern w:val="0"/>
                <w:sz w:val="21"/>
                <w:szCs w:val="21"/>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成立日</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〖2020〗年〖4〗月〖24〗日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理财期限</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无固定期限（实际理财期限受制于管理人提前终止权等条款）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rPr>
            </w:pPr>
            <w:r>
              <w:rPr>
                <w:rFonts w:hint="eastAsia" w:ascii="宋体" w:hAnsi="宋体" w:cs="宋体"/>
                <w:color w:val="000000"/>
                <w:sz w:val="21"/>
                <w:szCs w:val="21"/>
              </w:rPr>
              <w:t>封闭期</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〖2020〗年〖4〗月〖24〗日-〖2020〗年〖6〗月〖14〗日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认购/申购</w:t>
            </w:r>
          </w:p>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起点金额</w:t>
            </w:r>
          </w:p>
        </w:tc>
        <w:tc>
          <w:tcPr>
            <w:tcW w:w="7185" w:type="dxa"/>
            <w:noWrap w:val="0"/>
            <w:vAlign w:val="center"/>
          </w:tcPr>
          <w:p>
            <w:pPr>
              <w:widowControl/>
              <w:spacing w:line="360" w:lineRule="auto"/>
              <w:contextualSpacing/>
              <w:rPr>
                <w:rFonts w:hint="eastAsia" w:ascii="宋体" w:hAnsi="宋体" w:cs="宋体"/>
                <w:color w:val="000000"/>
                <w:kern w:val="0"/>
                <w:sz w:val="21"/>
                <w:szCs w:val="21"/>
              </w:rPr>
            </w:pPr>
            <w:r>
              <w:rPr>
                <w:rFonts w:hint="eastAsia" w:ascii="宋体" w:hAnsi="宋体" w:cs="宋体"/>
                <w:color w:val="000000"/>
                <w:sz w:val="21"/>
                <w:szCs w:val="21"/>
              </w:rPr>
              <w:t>起点</w:t>
            </w:r>
            <w:r>
              <w:rPr>
                <w:rFonts w:hint="eastAsia" w:ascii="宋体" w:hAnsi="宋体" w:cs="宋体"/>
                <w:sz w:val="21"/>
                <w:szCs w:val="21"/>
              </w:rPr>
              <w:t>〖1〗</w:t>
            </w:r>
            <w:r>
              <w:rPr>
                <w:rFonts w:hint="eastAsia" w:ascii="宋体" w:hAnsi="宋体" w:cs="宋体"/>
                <w:color w:val="000000"/>
                <w:sz w:val="21"/>
                <w:szCs w:val="21"/>
              </w:rPr>
              <w:t>元整，超过认购/申购起点部分，应为</w:t>
            </w:r>
            <w:r>
              <w:rPr>
                <w:rFonts w:hint="eastAsia" w:ascii="宋体" w:hAnsi="宋体" w:cs="宋体"/>
                <w:sz w:val="21"/>
                <w:szCs w:val="21"/>
              </w:rPr>
              <w:t>〖1〗</w:t>
            </w:r>
            <w:r>
              <w:rPr>
                <w:rFonts w:hint="eastAsia" w:ascii="宋体" w:hAnsi="宋体" w:cs="宋体"/>
                <w:color w:val="000000"/>
                <w:sz w:val="21"/>
                <w:szCs w:val="21"/>
              </w:rPr>
              <w:t>元的整数倍。</w:t>
            </w:r>
            <w:r>
              <w:rPr>
                <w:rFonts w:hint="eastAsia" w:ascii="宋体" w:hAnsi="宋体" w:cs="宋体"/>
                <w:color w:val="000000"/>
                <w:kern w:val="0"/>
                <w:sz w:val="21"/>
                <w:szCs w:val="21"/>
              </w:rPr>
              <w:t>（具体以销售机构规定为准）</w:t>
            </w:r>
          </w:p>
          <w:p>
            <w:pPr>
              <w:widowControl/>
              <w:spacing w:line="360" w:lineRule="auto"/>
              <w:contextualSpacing/>
              <w:rPr>
                <w:rFonts w:hint="eastAsia" w:ascii="宋体" w:hAnsi="宋体" w:cs="宋体"/>
                <w:color w:val="000000"/>
                <w:kern w:val="0"/>
                <w:sz w:val="21"/>
                <w:szCs w:val="21"/>
              </w:rPr>
            </w:pPr>
            <w:r>
              <w:rPr>
                <w:rFonts w:hint="eastAsia" w:ascii="宋体" w:hAnsi="宋体" w:cs="宋体"/>
                <w:sz w:val="21"/>
                <w:szCs w:val="21"/>
              </w:rPr>
              <w:t>投资者全额赎回不再持有本产品份额后再次申购，视同首次申购处理。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认购份额</w:t>
            </w:r>
          </w:p>
        </w:tc>
        <w:tc>
          <w:tcPr>
            <w:tcW w:w="7185" w:type="dxa"/>
            <w:noWrap w:val="0"/>
            <w:vAlign w:val="center"/>
          </w:tcPr>
          <w:p>
            <w:pPr>
              <w:widowControl/>
              <w:spacing w:line="360" w:lineRule="auto"/>
              <w:contextualSpacing/>
              <w:rPr>
                <w:rFonts w:ascii="宋体" w:hAnsi="宋体" w:cs="宋体"/>
                <w:color w:val="000000"/>
                <w:sz w:val="21"/>
                <w:szCs w:val="21"/>
              </w:rPr>
            </w:pPr>
            <w:r>
              <w:rPr>
                <w:rFonts w:hint="eastAsia" w:ascii="宋体" w:hAnsi="宋体" w:cs="宋体"/>
                <w:color w:val="000000"/>
                <w:sz w:val="21"/>
                <w:szCs w:val="21"/>
              </w:rPr>
              <w:t>认购份额=认购金额/1元。认购份额保留至0.01份理财产品份额，小数点后两位以下四舍五入。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产品成立</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cs="宋体"/>
                <w:sz w:val="21"/>
                <w:szCs w:val="21"/>
              </w:rPr>
              <w:t>〖2000〗</w:t>
            </w:r>
            <w:r>
              <w:rPr>
                <w:rFonts w:hint="eastAsia" w:ascii="宋体" w:hAnsi="宋体" w:cs="宋体"/>
                <w:color w:val="000000"/>
                <w:sz w:val="21"/>
                <w:szCs w:val="21"/>
              </w:rPr>
              <w:t>万元，则管理人可宣布本理财计划不成立并在原定理财计划成立日当日通过管理人或销售机构发布不成立信息，投资者购买的理财资金将在原定成立日后2个工作日内划转至投资者指定理财账户，</w:t>
            </w:r>
            <w:r>
              <w:rPr>
                <w:rFonts w:hint="eastAsia" w:ascii="宋体" w:hAnsi="宋体" w:cs="宋体"/>
                <w:b/>
                <w:color w:val="000000"/>
                <w:sz w:val="21"/>
                <w:szCs w:val="21"/>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rPr>
            </w:pPr>
            <w:r>
              <w:rPr>
                <w:rFonts w:hint="eastAsia" w:ascii="宋体" w:hAnsi="宋体" w:cs="宋体"/>
                <w:color w:val="000000"/>
                <w:sz w:val="21"/>
                <w:szCs w:val="21"/>
              </w:rPr>
              <w:t>开放期</w:t>
            </w:r>
          </w:p>
        </w:tc>
        <w:tc>
          <w:tcPr>
            <w:tcW w:w="7185" w:type="dxa"/>
            <w:noWrap w:val="0"/>
            <w:vAlign w:val="center"/>
          </w:tcPr>
          <w:p>
            <w:pPr>
              <w:widowControl/>
              <w:spacing w:line="360" w:lineRule="auto"/>
              <w:contextualSpacing/>
              <w:rPr>
                <w:rFonts w:ascii="宋体" w:hAnsi="宋体" w:cs="宋体"/>
                <w:color w:val="000000"/>
                <w:sz w:val="21"/>
                <w:szCs w:val="21"/>
              </w:rPr>
            </w:pPr>
            <w:r>
              <w:rPr>
                <w:rFonts w:hint="eastAsia" w:ascii="宋体" w:hAnsi="宋体" w:cs="宋体"/>
                <w:color w:val="000000"/>
                <w:sz w:val="21"/>
                <w:szCs w:val="21"/>
              </w:rPr>
              <w:t>理财计划</w:t>
            </w:r>
            <w:r>
              <w:rPr>
                <w:rFonts w:hint="eastAsia" w:ascii="宋体" w:hAnsi="宋体" w:cs="宋体"/>
                <w:sz w:val="21"/>
                <w:szCs w:val="21"/>
              </w:rPr>
              <w:t>〖每月〗开放一次,</w:t>
            </w:r>
            <w:r>
              <w:rPr>
                <w:rFonts w:hint="eastAsia" w:ascii="宋体" w:hAnsi="宋体" w:cs="宋体"/>
                <w:sz w:val="21"/>
                <w:szCs w:val="21"/>
                <w:lang w:val="en-US" w:eastAsia="zh-CN"/>
              </w:rPr>
              <w:t>A、C份额</w:t>
            </w:r>
            <w:r>
              <w:rPr>
                <w:rFonts w:hint="eastAsia" w:ascii="宋体" w:hAnsi="宋体" w:cs="宋体"/>
                <w:color w:val="000000"/>
                <w:sz w:val="21"/>
                <w:szCs w:val="21"/>
              </w:rPr>
              <w:t>〖开放期为产品确认日前5-7个工作日〗，</w:t>
            </w:r>
            <w:r>
              <w:rPr>
                <w:rFonts w:hint="eastAsia" w:ascii="宋体" w:hAnsi="宋体" w:cs="宋体"/>
                <w:sz w:val="21"/>
                <w:szCs w:val="21"/>
                <w:highlight w:val="none"/>
                <w:lang w:val="en-US" w:eastAsia="zh-CN"/>
              </w:rPr>
              <w:t>B份额</w:t>
            </w:r>
            <w:r>
              <w:rPr>
                <w:rFonts w:hint="eastAsia" w:ascii="宋体" w:hAnsi="宋体" w:cs="宋体"/>
                <w:color w:val="000000"/>
                <w:sz w:val="21"/>
                <w:szCs w:val="21"/>
                <w:highlight w:val="none"/>
              </w:rPr>
              <w:t>〖开放期为产品确认日前</w:t>
            </w:r>
            <w:r>
              <w:rPr>
                <w:rFonts w:hint="eastAsia" w:ascii="宋体" w:hAnsi="宋体" w:cs="宋体"/>
                <w:color w:val="000000"/>
                <w:sz w:val="21"/>
                <w:szCs w:val="21"/>
                <w:highlight w:val="none"/>
                <w:lang w:val="en-US" w:eastAsia="zh-CN"/>
              </w:rPr>
              <w:t>1</w:t>
            </w:r>
            <w:r>
              <w:rPr>
                <w:rFonts w:hint="eastAsia" w:ascii="宋体" w:hAnsi="宋体" w:cs="宋体"/>
                <w:color w:val="000000"/>
                <w:sz w:val="21"/>
                <w:szCs w:val="21"/>
                <w:highlight w:val="none"/>
              </w:rPr>
              <w:t>个工作日〗</w:t>
            </w:r>
            <w:r>
              <w:rPr>
                <w:rFonts w:hint="eastAsia" w:ascii="宋体" w:hAnsi="宋体" w:cs="宋体"/>
                <w:color w:val="000000"/>
                <w:sz w:val="21"/>
                <w:szCs w:val="21"/>
              </w:rPr>
              <w:t>，</w:t>
            </w:r>
            <w:r>
              <w:rPr>
                <w:rFonts w:hint="eastAsia" w:ascii="宋体" w:hAnsi="宋体" w:cs="宋体"/>
                <w:sz w:val="21"/>
                <w:szCs w:val="21"/>
              </w:rPr>
              <w:t>具体开放期将以管理人公告为准。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rPr>
            </w:pPr>
            <w:r>
              <w:rPr>
                <w:rFonts w:hint="eastAsia" w:ascii="宋体" w:hAnsi="宋体" w:cs="宋体"/>
                <w:color w:val="000000"/>
                <w:sz w:val="21"/>
                <w:szCs w:val="21"/>
              </w:rPr>
              <w:t>交易时间</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1.本理财计划在每个开放期的开放日工作时间均可进行申购和赎回，申购和赎回申请将在确认日，即开放期后的第</w:t>
            </w:r>
            <w:r>
              <w:rPr>
                <w:rFonts w:hint="eastAsia" w:ascii="宋体" w:hAnsi="宋体" w:cs="宋体"/>
                <w:sz w:val="21"/>
                <w:szCs w:val="21"/>
              </w:rPr>
              <w:t>〖1〗个</w:t>
            </w:r>
            <w:r>
              <w:rPr>
                <w:rFonts w:hint="eastAsia" w:ascii="宋体" w:hAnsi="宋体" w:cs="宋体"/>
                <w:bCs/>
                <w:sz w:val="21"/>
                <w:szCs w:val="21"/>
              </w:rPr>
              <w:t>工作日进行确认。</w:t>
            </w:r>
            <w:r>
              <w:rPr>
                <w:rFonts w:hint="eastAsia" w:ascii="宋体" w:hAnsi="宋体" w:cs="宋体"/>
                <w:color w:val="000000"/>
                <w:sz w:val="21"/>
                <w:szCs w:val="21"/>
              </w:rPr>
              <w:t>确认日如遇非工作日，则顺延至</w:t>
            </w:r>
            <w:r>
              <w:rPr>
                <w:rFonts w:hint="eastAsia" w:ascii="宋体" w:hAnsi="宋体" w:cs="宋体"/>
                <w:sz w:val="21"/>
                <w:szCs w:val="21"/>
              </w:rPr>
              <w:t>〖</w:t>
            </w:r>
            <w:r>
              <w:rPr>
                <w:rFonts w:hint="eastAsia" w:ascii="宋体" w:hAnsi="宋体" w:cs="宋体"/>
                <w:color w:val="000000"/>
                <w:sz w:val="21"/>
                <w:szCs w:val="21"/>
              </w:rPr>
              <w:t>下一工作日</w:t>
            </w:r>
            <w:r>
              <w:rPr>
                <w:rFonts w:hint="eastAsia" w:ascii="宋体" w:hAnsi="宋体" w:cs="宋体"/>
                <w:sz w:val="21"/>
                <w:szCs w:val="21"/>
              </w:rPr>
              <w:t>〗</w:t>
            </w:r>
            <w:r>
              <w:rPr>
                <w:rFonts w:hint="eastAsia" w:ascii="宋体" w:hAnsi="宋体" w:cs="宋体"/>
                <w:color w:val="000000"/>
                <w:sz w:val="21"/>
                <w:szCs w:val="21"/>
              </w:rPr>
              <w:t>。</w:t>
            </w:r>
          </w:p>
          <w:p>
            <w:pPr>
              <w:widowControl/>
              <w:spacing w:line="360" w:lineRule="auto"/>
              <w:contextualSpacing/>
              <w:rPr>
                <w:rFonts w:hint="eastAsia" w:ascii="宋体" w:hAnsi="宋体" w:cs="宋体"/>
                <w:color w:val="000000"/>
                <w:kern w:val="0"/>
                <w:sz w:val="21"/>
                <w:szCs w:val="21"/>
              </w:rPr>
            </w:pPr>
            <w:r>
              <w:rPr>
                <w:rFonts w:hint="eastAsia" w:ascii="宋体" w:hAnsi="宋体" w:cs="宋体"/>
                <w:color w:val="000000"/>
                <w:sz w:val="21"/>
                <w:szCs w:val="21"/>
              </w:rPr>
              <w:t>2.工作时间为每个工作日上午〖9:00〗至下午〖17:00〗。确认日如遇非工作日，则顺延至</w:t>
            </w:r>
            <w:r>
              <w:rPr>
                <w:rFonts w:hint="eastAsia" w:ascii="宋体" w:hAnsi="宋体" w:cs="宋体"/>
                <w:sz w:val="21"/>
                <w:szCs w:val="21"/>
              </w:rPr>
              <w:t>〖</w:t>
            </w:r>
            <w:r>
              <w:rPr>
                <w:rFonts w:hint="eastAsia" w:ascii="宋体" w:hAnsi="宋体" w:cs="宋体"/>
                <w:color w:val="000000"/>
                <w:sz w:val="21"/>
                <w:szCs w:val="21"/>
              </w:rPr>
              <w:t>下一工作日</w:t>
            </w:r>
            <w:r>
              <w:rPr>
                <w:rFonts w:hint="eastAsia" w:ascii="宋体" w:hAnsi="宋体" w:cs="宋体"/>
                <w:sz w:val="21"/>
                <w:szCs w:val="21"/>
              </w:rPr>
              <w:t>〗</w:t>
            </w:r>
            <w:r>
              <w:rPr>
                <w:rFonts w:hint="eastAsia" w:ascii="宋体" w:hAnsi="宋体" w:cs="宋体"/>
                <w:color w:val="000000"/>
                <w:sz w:val="21"/>
                <w:szCs w:val="21"/>
              </w:rPr>
              <w:t>。</w:t>
            </w:r>
            <w:r>
              <w:rPr>
                <w:rFonts w:hint="eastAsia" w:ascii="宋体" w:hAnsi="宋体" w:cs="宋体"/>
                <w:color w:val="000000"/>
                <w:kern w:val="0"/>
                <w:sz w:val="21"/>
                <w:szCs w:val="21"/>
              </w:rPr>
              <w:t>（具体以销售机构规定为准）</w:t>
            </w:r>
          </w:p>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3.认购/开放期内提交的交易申请，在产品成立日/确认日前一日下午17:00之前可以撤单。</w:t>
            </w:r>
            <w:r>
              <w:rPr>
                <w:rFonts w:hint="eastAsia" w:ascii="宋体" w:hAnsi="宋体" w:cs="宋体"/>
                <w:color w:val="000000"/>
                <w:kern w:val="0"/>
                <w:sz w:val="21"/>
                <w:szCs w:val="21"/>
              </w:rPr>
              <w:t>（具体以销售机构规定为准）</w:t>
            </w:r>
          </w:p>
          <w:p>
            <w:pPr>
              <w:widowControl/>
              <w:spacing w:line="360" w:lineRule="auto"/>
              <w:contextualSpacing/>
              <w:rPr>
                <w:rFonts w:hint="eastAsia" w:ascii="宋体" w:hAnsi="宋体" w:cs="宋体"/>
                <w:bCs/>
                <w:sz w:val="21"/>
                <w:szCs w:val="21"/>
              </w:rPr>
            </w:pPr>
            <w:r>
              <w:rPr>
                <w:rFonts w:hint="eastAsia" w:ascii="宋体" w:hAnsi="宋体" w:cs="宋体"/>
                <w:bCs/>
                <w:sz w:val="21"/>
                <w:szCs w:val="21"/>
              </w:rPr>
              <w:t>4.上述交易安排如有调整，请以管理人公告为准。</w:t>
            </w:r>
          </w:p>
          <w:p>
            <w:pPr>
              <w:widowControl/>
              <w:spacing w:line="360" w:lineRule="auto"/>
              <w:contextualSpacing/>
              <w:rPr>
                <w:rFonts w:ascii="宋体" w:hAnsi="宋体" w:cs="宋体"/>
                <w:bCs/>
                <w:sz w:val="21"/>
                <w:szCs w:val="21"/>
              </w:rPr>
            </w:pPr>
            <w:r>
              <w:rPr>
                <w:rFonts w:hint="eastAsia" w:ascii="宋体" w:hAnsi="宋体" w:cs="宋体"/>
                <w:bCs/>
                <w:sz w:val="21"/>
                <w:szCs w:val="21"/>
              </w:rPr>
              <w:t>5.如果投资者在一个投资周期开放期内未提出赎回申请，则该投资周期终止后，投资者的理财资金继续进入下一个投资周期进行理财运作。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rPr>
            </w:pPr>
            <w:r>
              <w:rPr>
                <w:rFonts w:hint="eastAsia" w:ascii="宋体" w:hAnsi="宋体" w:cs="宋体"/>
                <w:color w:val="000000"/>
                <w:sz w:val="21"/>
                <w:szCs w:val="21"/>
              </w:rPr>
              <w:t>巨额赎回</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理财计划存续期内，若理财计划开放日净赎回申请份额超过上一日日终理财计划总份额</w:t>
            </w:r>
            <w:r>
              <w:rPr>
                <w:rFonts w:hint="eastAsia" w:ascii="宋体" w:hAnsi="宋体" w:cs="宋体"/>
                <w:sz w:val="21"/>
                <w:szCs w:val="21"/>
              </w:rPr>
              <w:t>〖</w:t>
            </w:r>
            <w:r>
              <w:rPr>
                <w:rFonts w:hint="eastAsia" w:ascii="宋体" w:hAnsi="宋体" w:cs="宋体"/>
                <w:color w:val="000000"/>
                <w:sz w:val="21"/>
                <w:szCs w:val="21"/>
              </w:rPr>
              <w:t>10%</w:t>
            </w:r>
            <w:r>
              <w:rPr>
                <w:rFonts w:hint="eastAsia" w:ascii="宋体" w:hAnsi="宋体" w:cs="宋体"/>
                <w:sz w:val="21"/>
                <w:szCs w:val="21"/>
              </w:rPr>
              <w:t>〗</w:t>
            </w:r>
            <w:r>
              <w:rPr>
                <w:rFonts w:hint="eastAsia" w:ascii="宋体" w:hAnsi="宋体" w:cs="宋体"/>
                <w:color w:val="000000"/>
                <w:sz w:val="21"/>
                <w:szCs w:val="21"/>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rPr>
            </w:pPr>
            <w:r>
              <w:rPr>
                <w:rFonts w:hint="eastAsia" w:ascii="宋体" w:hAnsi="宋体" w:cs="宋体"/>
                <w:color w:val="000000"/>
                <w:sz w:val="21"/>
                <w:szCs w:val="21"/>
              </w:rPr>
              <w:t>单户限额</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sz w:val="21"/>
                <w:szCs w:val="21"/>
                <w:lang w:val="en-US" w:eastAsia="zh-CN"/>
              </w:rPr>
              <w:t>各份额：</w:t>
            </w:r>
            <w:r>
              <w:rPr>
                <w:rFonts w:hint="eastAsia" w:ascii="宋体" w:hAnsi="宋体" w:cs="宋体"/>
                <w:sz w:val="21"/>
                <w:szCs w:val="21"/>
              </w:rPr>
              <w:t>单户最高存续份额为〖1亿份〗。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rPr>
            </w:pPr>
            <w:r>
              <w:rPr>
                <w:rFonts w:hint="eastAsia" w:ascii="宋体" w:hAnsi="宋体" w:cs="宋体"/>
                <w:color w:val="000000"/>
                <w:sz w:val="21"/>
                <w:szCs w:val="21"/>
              </w:rPr>
              <w:t>申购份额</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bCs/>
                <w:sz w:val="21"/>
                <w:szCs w:val="21"/>
              </w:rPr>
              <w:t>申购份额=申购金额/确认日前一日的单位净值。申购</w:t>
            </w:r>
            <w:r>
              <w:rPr>
                <w:rFonts w:hint="eastAsia" w:ascii="宋体" w:hAnsi="宋体" w:cs="宋体"/>
                <w:color w:val="000000"/>
                <w:sz w:val="21"/>
                <w:szCs w:val="21"/>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rPr>
            </w:pPr>
            <w:r>
              <w:rPr>
                <w:rFonts w:hint="eastAsia" w:ascii="宋体" w:hAnsi="宋体" w:cs="宋体"/>
                <w:color w:val="000000"/>
                <w:sz w:val="21"/>
                <w:szCs w:val="21"/>
              </w:rPr>
              <w:t>赎回金额</w:t>
            </w:r>
          </w:p>
        </w:tc>
        <w:tc>
          <w:tcPr>
            <w:tcW w:w="7185" w:type="dxa"/>
            <w:noWrap w:val="0"/>
            <w:vAlign w:val="center"/>
          </w:tcPr>
          <w:p>
            <w:pPr>
              <w:widowControl/>
              <w:spacing w:line="360" w:lineRule="auto"/>
              <w:contextualSpacing/>
              <w:rPr>
                <w:rFonts w:ascii="宋体" w:hAnsi="宋体" w:cs="宋体"/>
                <w:color w:val="000000"/>
                <w:sz w:val="21"/>
                <w:szCs w:val="21"/>
              </w:rPr>
            </w:pPr>
            <w:r>
              <w:rPr>
                <w:rFonts w:hint="eastAsia" w:ascii="宋体" w:hAnsi="宋体" w:cs="宋体"/>
                <w:color w:val="000000"/>
                <w:sz w:val="21"/>
                <w:szCs w:val="21"/>
              </w:rPr>
              <w:t>赎回金额=赎</w:t>
            </w:r>
            <w:r>
              <w:rPr>
                <w:rFonts w:hint="eastAsia" w:ascii="宋体" w:hAnsi="宋体" w:cs="宋体"/>
                <w:bCs/>
                <w:sz w:val="21"/>
                <w:szCs w:val="21"/>
              </w:rPr>
              <w:t>回份额×确认日前一日的单位净值。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单位净值</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单位净值=理财计划估值日理财计划总净值/理财计划总份额，单位净值</w:t>
            </w:r>
            <w:r>
              <w:rPr>
                <w:rFonts w:hint="eastAsia" w:ascii="宋体" w:hAnsi="宋体" w:cs="宋体"/>
                <w:sz w:val="21"/>
                <w:szCs w:val="21"/>
              </w:rPr>
              <w:t>〖</w:t>
            </w:r>
            <w:r>
              <w:rPr>
                <w:rFonts w:hint="eastAsia" w:ascii="宋体" w:hAnsi="宋体" w:cs="宋体"/>
                <w:color w:val="000000"/>
                <w:sz w:val="21"/>
                <w:szCs w:val="21"/>
              </w:rPr>
              <w:t>保留小数点后四位</w:t>
            </w:r>
            <w:r>
              <w:rPr>
                <w:rFonts w:hint="eastAsia" w:ascii="宋体" w:hAnsi="宋体" w:cs="宋体"/>
                <w:sz w:val="21"/>
                <w:szCs w:val="21"/>
              </w:rPr>
              <w:t>〗，四位后去尾</w:t>
            </w:r>
            <w:r>
              <w:rPr>
                <w:rFonts w:hint="eastAsia" w:ascii="宋体" w:hAnsi="宋体" w:cs="宋体"/>
                <w:color w:val="000000"/>
                <w:sz w:val="21"/>
                <w:szCs w:val="21"/>
              </w:rPr>
              <w:t>。</w:t>
            </w:r>
          </w:p>
          <w:p>
            <w:pPr>
              <w:widowControl/>
              <w:spacing w:line="360" w:lineRule="auto"/>
              <w:contextualSpacing/>
              <w:rPr>
                <w:rFonts w:hint="eastAsia" w:ascii="宋体" w:hAnsi="宋体" w:cs="宋体"/>
                <w:b/>
                <w:color w:val="000000"/>
                <w:sz w:val="21"/>
                <w:szCs w:val="21"/>
              </w:rPr>
            </w:pPr>
            <w:r>
              <w:rPr>
                <w:rFonts w:hint="eastAsia" w:ascii="宋体" w:hAnsi="宋体" w:cs="宋体"/>
                <w:color w:val="000000"/>
                <w:sz w:val="21"/>
                <w:szCs w:val="21"/>
              </w:rPr>
              <w:t>理财计划总净值=理财计划认购总额+理财计划所获总收益-理财计划总费用（包括但不限于固定管理费、托管费、销售服务费、浮动管理费（如有）等）。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资金与收益支付方式</w:t>
            </w:r>
          </w:p>
        </w:tc>
        <w:tc>
          <w:tcPr>
            <w:tcW w:w="7185" w:type="dxa"/>
            <w:noWrap w:val="0"/>
            <w:vAlign w:val="center"/>
          </w:tcPr>
          <w:p>
            <w:pPr>
              <w:widowControl/>
              <w:spacing w:line="360" w:lineRule="auto"/>
              <w:contextualSpacing/>
              <w:rPr>
                <w:rFonts w:ascii="宋体" w:hAnsi="宋体" w:cs="宋体"/>
                <w:color w:val="000000"/>
                <w:sz w:val="21"/>
                <w:szCs w:val="21"/>
              </w:rPr>
            </w:pPr>
            <w:r>
              <w:rPr>
                <w:rFonts w:hint="eastAsia" w:ascii="宋体" w:hAnsi="宋体" w:cs="宋体"/>
                <w:color w:val="000000"/>
                <w:sz w:val="21"/>
                <w:szCs w:val="21"/>
              </w:rPr>
              <w:t>1.赎回资金确认后，</w:t>
            </w:r>
            <w:r>
              <w:rPr>
                <w:rFonts w:hint="eastAsia" w:ascii="宋体" w:hAnsi="宋体" w:cs="宋体"/>
                <w:color w:val="000000"/>
                <w:sz w:val="21"/>
                <w:szCs w:val="21"/>
                <w:highlight w:val="none"/>
              </w:rPr>
              <w:t>最快</w:t>
            </w:r>
            <w:r>
              <w:rPr>
                <w:rFonts w:hint="eastAsia" w:ascii="宋体" w:hAnsi="宋体" w:cs="宋体"/>
                <w:sz w:val="21"/>
                <w:szCs w:val="21"/>
                <w:highlight w:val="none"/>
                <w:lang w:val="en-US" w:eastAsia="zh-CN"/>
              </w:rPr>
              <w:t>于确认日当</w:t>
            </w:r>
            <w:r>
              <w:rPr>
                <w:rFonts w:hint="eastAsia" w:ascii="宋体" w:hAnsi="宋体" w:cs="宋体"/>
                <w:color w:val="000000"/>
                <w:sz w:val="21"/>
                <w:szCs w:val="21"/>
                <w:highlight w:val="none"/>
              </w:rPr>
              <w:t>日</w:t>
            </w:r>
            <w:r>
              <w:rPr>
                <w:rFonts w:hint="eastAsia" w:ascii="宋体" w:hAnsi="宋体" w:cs="宋体"/>
                <w:color w:val="000000"/>
                <w:sz w:val="21"/>
                <w:szCs w:val="21"/>
              </w:rPr>
              <w:t>，最晚</w:t>
            </w:r>
            <w:r>
              <w:rPr>
                <w:rFonts w:hint="eastAsia" w:ascii="宋体" w:hAnsi="宋体" w:cs="宋体"/>
                <w:sz w:val="21"/>
                <w:szCs w:val="21"/>
              </w:rPr>
              <w:t>〖3〗</w:t>
            </w:r>
            <w:r>
              <w:rPr>
                <w:rFonts w:hint="eastAsia" w:ascii="宋体" w:hAnsi="宋体" w:cs="宋体"/>
                <w:color w:val="000000"/>
                <w:sz w:val="21"/>
                <w:szCs w:val="21"/>
              </w:rPr>
              <w:t>个工作日内（遇节假日顺延）理财资金与收益一次性支付。如遇资金在途或法定工作日调整，实际资金到账日以公告为准。</w:t>
            </w:r>
            <w:r>
              <w:rPr>
                <w:rFonts w:hint="eastAsia" w:ascii="宋体" w:hAnsi="宋体" w:cs="宋体"/>
                <w:color w:val="000000"/>
                <w:kern w:val="0"/>
                <w:sz w:val="21"/>
                <w:szCs w:val="21"/>
              </w:rPr>
              <w:t>（具体以销售机构规定为准）</w:t>
            </w:r>
          </w:p>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2.理财计划到期后，最快</w:t>
            </w:r>
            <w:r>
              <w:rPr>
                <w:rFonts w:hint="eastAsia" w:ascii="宋体" w:hAnsi="宋体" w:cs="宋体"/>
                <w:sz w:val="21"/>
                <w:szCs w:val="21"/>
              </w:rPr>
              <w:t>〖1〗</w:t>
            </w:r>
            <w:r>
              <w:rPr>
                <w:rFonts w:hint="eastAsia" w:ascii="宋体" w:hAnsi="宋体" w:cs="宋体"/>
                <w:color w:val="000000"/>
                <w:sz w:val="21"/>
                <w:szCs w:val="21"/>
              </w:rPr>
              <w:t>个工作日，最晚</w:t>
            </w:r>
            <w:r>
              <w:rPr>
                <w:rFonts w:hint="eastAsia" w:ascii="宋体" w:hAnsi="宋体" w:cs="宋体"/>
                <w:sz w:val="21"/>
                <w:szCs w:val="21"/>
              </w:rPr>
              <w:t>〖3〗</w:t>
            </w:r>
            <w:r>
              <w:rPr>
                <w:rFonts w:hint="eastAsia" w:ascii="宋体" w:hAnsi="宋体" w:cs="宋体"/>
                <w:color w:val="000000"/>
                <w:sz w:val="21"/>
                <w:szCs w:val="21"/>
              </w:rPr>
              <w:t>个工作日内（遇节假日顺延）理财资金与收益一次性支付。如遇资金在途或法定工作日调整，实际资金到账日以公告为准。</w:t>
            </w:r>
            <w:r>
              <w:rPr>
                <w:rFonts w:hint="eastAsia" w:ascii="宋体" w:hAnsi="宋体" w:cs="宋体"/>
                <w:color w:val="000000"/>
                <w:kern w:val="0"/>
                <w:sz w:val="21"/>
                <w:szCs w:val="21"/>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rPr>
            </w:pPr>
            <w:r>
              <w:rPr>
                <w:rFonts w:hint="eastAsia" w:ascii="宋体" w:hAnsi="宋体" w:cs="宋体"/>
                <w:color w:val="000000"/>
                <w:sz w:val="21"/>
                <w:szCs w:val="21"/>
              </w:rPr>
              <w:t>收益分配</w:t>
            </w:r>
          </w:p>
        </w:tc>
        <w:tc>
          <w:tcPr>
            <w:tcW w:w="7185" w:type="dxa"/>
            <w:noWrap w:val="0"/>
            <w:vAlign w:val="center"/>
          </w:tcPr>
          <w:p>
            <w:pPr>
              <w:widowControl/>
              <w:spacing w:line="360" w:lineRule="auto"/>
              <w:contextualSpacing/>
              <w:rPr>
                <w:rFonts w:ascii="宋体" w:hAnsi="宋体" w:cs="宋体"/>
                <w:b/>
                <w:sz w:val="21"/>
                <w:szCs w:val="21"/>
              </w:rPr>
            </w:pPr>
            <w:r>
              <w:rPr>
                <w:rFonts w:hint="eastAsia" w:ascii="宋体" w:hAnsi="宋体" w:cs="宋体"/>
                <w:color w:val="000000"/>
                <w:sz w:val="21"/>
                <w:szCs w:val="21"/>
              </w:rPr>
              <w:t>在满足收益分配基准日理财计划份额净值大于1元的情况下，管理人</w:t>
            </w:r>
            <w:r>
              <w:rPr>
                <w:rFonts w:hint="eastAsia" w:ascii="宋体" w:hAnsi="宋体" w:cs="宋体"/>
                <w:sz w:val="21"/>
                <w:szCs w:val="21"/>
              </w:rPr>
              <w:t>〖不</w:t>
            </w:r>
            <w:r>
              <w:rPr>
                <w:rFonts w:hint="eastAsia" w:ascii="宋体" w:hAnsi="宋体" w:cs="宋体"/>
                <w:color w:val="000000"/>
                <w:sz w:val="21"/>
                <w:szCs w:val="21"/>
              </w:rPr>
              <w:t>定期</w:t>
            </w:r>
            <w:r>
              <w:rPr>
                <w:rFonts w:hint="eastAsia" w:ascii="宋体" w:hAnsi="宋体" w:cs="宋体"/>
                <w:sz w:val="21"/>
                <w:szCs w:val="21"/>
              </w:rPr>
              <w:t>〗</w:t>
            </w:r>
            <w:r>
              <w:rPr>
                <w:rFonts w:hint="eastAsia" w:ascii="宋体" w:hAnsi="宋体" w:cs="宋体"/>
                <w:color w:val="000000"/>
                <w:sz w:val="21"/>
                <w:szCs w:val="21"/>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业绩比较基准</w:t>
            </w:r>
          </w:p>
        </w:tc>
        <w:tc>
          <w:tcPr>
            <w:tcW w:w="7185" w:type="dxa"/>
            <w:noWrap w:val="0"/>
            <w:vAlign w:val="center"/>
          </w:tcPr>
          <w:p>
            <w:pPr>
              <w:widowControl/>
              <w:spacing w:line="360" w:lineRule="auto"/>
              <w:contextualSpacing/>
              <w:rPr>
                <w:rFonts w:hint="eastAsia" w:ascii="宋体" w:hAnsi="宋体" w:cs="宋体"/>
                <w:bCs/>
                <w:color w:val="FF0000"/>
                <w:sz w:val="21"/>
                <w:szCs w:val="21"/>
              </w:rPr>
            </w:pPr>
            <w:r>
              <w:rPr>
                <w:rFonts w:hint="eastAsia" w:ascii="宋体" w:hAnsi="宋体" w:cs="宋体"/>
                <w:sz w:val="21"/>
                <w:szCs w:val="21"/>
              </w:rPr>
              <w:t>本理财计划</w:t>
            </w:r>
            <w:r>
              <w:rPr>
                <w:rFonts w:hint="eastAsia" w:ascii="宋体" w:hAnsi="宋体" w:cs="宋体"/>
                <w:sz w:val="21"/>
                <w:szCs w:val="21"/>
                <w:lang w:val="en-US" w:eastAsia="zh-CN"/>
              </w:rPr>
              <w:t>各份额</w:t>
            </w:r>
            <w:r>
              <w:rPr>
                <w:rFonts w:hint="eastAsia" w:ascii="宋体" w:hAnsi="宋体" w:cs="宋体"/>
                <w:sz w:val="21"/>
                <w:szCs w:val="21"/>
              </w:rPr>
              <w:t>业绩比较基准为〖</w:t>
            </w:r>
            <w:r>
              <w:rPr>
                <w:rFonts w:hint="eastAsia" w:ascii="宋体" w:hAnsi="宋体" w:cs="宋体"/>
                <w:color w:val="000000"/>
                <w:sz w:val="21"/>
                <w:szCs w:val="21"/>
                <w:highlight w:val="none"/>
                <w:lang w:val="en-US" w:eastAsia="zh-CN"/>
              </w:rPr>
              <w:t>中国人民银行公布的7天通知存款利率</w:t>
            </w:r>
            <w:r>
              <w:rPr>
                <w:rFonts w:hint="eastAsia" w:ascii="宋体" w:hAnsi="宋体" w:cs="宋体"/>
                <w:sz w:val="21"/>
                <w:szCs w:val="21"/>
              </w:rPr>
              <w:t>〗（年化）。</w:t>
            </w:r>
          </w:p>
          <w:p>
            <w:pPr>
              <w:widowControl/>
              <w:spacing w:line="360" w:lineRule="auto"/>
              <w:jc w:val="left"/>
              <w:rPr>
                <w:rFonts w:hint="eastAsia" w:ascii="宋体" w:hAnsi="宋体" w:cs="宋体"/>
                <w:b/>
                <w:bCs/>
                <w:sz w:val="21"/>
                <w:szCs w:val="21"/>
              </w:rPr>
            </w:pPr>
            <w:r>
              <w:rPr>
                <w:rFonts w:hint="eastAsia" w:ascii="宋体" w:hAnsi="宋体" w:cs="宋体"/>
                <w:b/>
                <w:bCs/>
                <w:sz w:val="21"/>
                <w:szCs w:val="21"/>
              </w:rPr>
              <w:t>业绩基准测算依据：</w:t>
            </w:r>
          </w:p>
          <w:p>
            <w:pPr>
              <w:widowControl/>
              <w:spacing w:line="360" w:lineRule="auto"/>
              <w:jc w:val="left"/>
              <w:rPr>
                <w:rFonts w:ascii="宋体" w:hAnsi="宋体" w:cs="宋体"/>
                <w:b/>
                <w:bCs/>
                <w:sz w:val="21"/>
                <w:szCs w:val="21"/>
              </w:rPr>
            </w:pPr>
            <w:r>
              <w:rPr>
                <w:rFonts w:hint="eastAsia" w:ascii="宋体" w:hAnsi="宋体" w:cs="宋体"/>
                <w:b/>
                <w:bCs/>
                <w:sz w:val="21"/>
                <w:szCs w:val="21"/>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p>
          <w:p>
            <w:pPr>
              <w:widowControl/>
              <w:spacing w:line="360" w:lineRule="auto"/>
              <w:jc w:val="left"/>
              <w:rPr>
                <w:rFonts w:hint="eastAsia" w:ascii="宋体" w:hAnsi="宋体" w:cs="宋体"/>
                <w:b/>
                <w:bCs/>
                <w:sz w:val="21"/>
                <w:szCs w:val="21"/>
              </w:rPr>
            </w:pPr>
            <w:r>
              <w:rPr>
                <w:rFonts w:hint="eastAsia" w:ascii="宋体" w:hAnsi="宋体" w:cs="宋体"/>
                <w:sz w:val="21"/>
                <w:szCs w:val="21"/>
              </w:rPr>
              <w:t>管理人有权根据市场情况及理财计划运作情况调整业绩基准，并至少于新业绩基准启用前</w:t>
            </w:r>
            <w:r>
              <w:rPr>
                <w:rFonts w:hint="eastAsia" w:ascii="宋体" w:hAnsi="宋体" w:cs="宋体"/>
                <w:kern w:val="0"/>
                <w:sz w:val="21"/>
                <w:szCs w:val="21"/>
              </w:rPr>
              <w:t>〖3〗</w:t>
            </w:r>
            <w:r>
              <w:rPr>
                <w:rFonts w:hint="eastAsia" w:ascii="宋体" w:hAnsi="宋体" w:cs="宋体"/>
                <w:sz w:val="21"/>
                <w:szCs w:val="21"/>
              </w:rPr>
              <w:t>个工作日公告。</w:t>
            </w:r>
          </w:p>
          <w:p>
            <w:pPr>
              <w:widowControl/>
              <w:spacing w:line="360" w:lineRule="auto"/>
              <w:contextualSpacing/>
              <w:rPr>
                <w:rFonts w:hint="eastAsia" w:ascii="宋体" w:hAnsi="宋体" w:cs="宋体"/>
                <w:color w:val="000000"/>
                <w:sz w:val="21"/>
                <w:szCs w:val="21"/>
              </w:rPr>
            </w:pPr>
            <w:r>
              <w:rPr>
                <w:rFonts w:hint="eastAsia" w:ascii="宋体" w:hAnsi="宋体" w:cs="宋体"/>
                <w:b/>
                <w:sz w:val="21"/>
                <w:szCs w:val="21"/>
              </w:rPr>
              <w:t>本理财计划为净值型理财产品，其业绩表现将随市场波动具有不确定性。本理财计划业绩比较基准由管理人根据投资范围及投资策略，结合市场环境因素进行测算而得出。业绩比较基准是管理人基于理财计划收益风险特征、投资策略、过往经验等因素对理财计划业绩设定的投资目标。本公司提醒投资者关注，业绩比较基准</w:t>
            </w:r>
            <w:r>
              <w:rPr>
                <w:rFonts w:hint="eastAsia" w:ascii="宋体" w:hAnsi="宋体" w:cs="宋体"/>
                <w:b/>
                <w:sz w:val="21"/>
                <w:szCs w:val="21"/>
                <w:lang w:eastAsia="zh-CN"/>
              </w:rPr>
              <w:t>不是预期收益率，</w:t>
            </w:r>
            <w:r>
              <w:rPr>
                <w:rFonts w:hint="eastAsia" w:ascii="宋体" w:hAnsi="宋体" w:cs="宋体"/>
                <w:b/>
                <w:sz w:val="21"/>
                <w:szCs w:val="21"/>
              </w:rPr>
              <w:t>并不代表理财计划的未来表现和实际收益率，不构成对理财计划收益的承诺。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产品费用</w:t>
            </w:r>
          </w:p>
        </w:tc>
        <w:tc>
          <w:tcPr>
            <w:tcW w:w="7185" w:type="dxa"/>
            <w:noWrap w:val="0"/>
            <w:vAlign w:val="center"/>
          </w:tcPr>
          <w:p>
            <w:pPr>
              <w:widowControl/>
              <w:spacing w:line="360" w:lineRule="auto"/>
              <w:contextualSpacing/>
              <w:rPr>
                <w:rFonts w:hint="eastAsia" w:ascii="宋体" w:hAnsi="宋体" w:cs="宋体"/>
                <w:bCs/>
                <w:color w:val="FF0000"/>
                <w:sz w:val="21"/>
                <w:szCs w:val="21"/>
              </w:rPr>
            </w:pPr>
            <w:r>
              <w:rPr>
                <w:rFonts w:hint="eastAsia" w:ascii="宋体" w:hAnsi="宋体" w:cs="宋体"/>
                <w:color w:val="000000"/>
                <w:sz w:val="21"/>
                <w:szCs w:val="21"/>
              </w:rPr>
              <w:t>1.销售服务费：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A份额</w:t>
            </w:r>
            <w:r>
              <w:rPr>
                <w:rFonts w:hint="eastAsia" w:ascii="宋体" w:hAnsi="宋体" w:cs="宋体"/>
                <w:sz w:val="21"/>
                <w:szCs w:val="21"/>
                <w:highlight w:val="none"/>
              </w:rPr>
              <w:t>〗</w:t>
            </w:r>
            <w:r>
              <w:rPr>
                <w:rFonts w:hint="eastAsia" w:ascii="宋体" w:hAnsi="宋体" w:cs="宋体"/>
                <w:color w:val="000000"/>
                <w:sz w:val="21"/>
                <w:szCs w:val="21"/>
              </w:rPr>
              <w:t>收取年化</w:t>
            </w:r>
            <w:r>
              <w:rPr>
                <w:rFonts w:hint="eastAsia" w:ascii="宋体" w:hAnsi="宋体" w:cs="宋体"/>
                <w:sz w:val="21"/>
                <w:szCs w:val="21"/>
              </w:rPr>
              <w:t>〖0.</w:t>
            </w:r>
            <w:r>
              <w:rPr>
                <w:rFonts w:hint="eastAsia" w:ascii="宋体" w:hAnsi="宋体" w:cs="宋体"/>
                <w:sz w:val="21"/>
                <w:szCs w:val="21"/>
                <w:lang w:val="en-US" w:eastAsia="zh-CN"/>
              </w:rPr>
              <w:t>3</w:t>
            </w:r>
            <w:r>
              <w:rPr>
                <w:rFonts w:hint="eastAsia" w:ascii="宋体" w:hAnsi="宋体" w:cs="宋体"/>
                <w:sz w:val="21"/>
                <w:szCs w:val="21"/>
              </w:rPr>
              <w:t>0%〗</w:t>
            </w:r>
            <w:r>
              <w:rPr>
                <w:rFonts w:hint="eastAsia" w:ascii="宋体" w:hAnsi="宋体" w:cs="宋体"/>
                <w:color w:val="000000"/>
                <w:sz w:val="21"/>
                <w:szCs w:val="21"/>
              </w:rPr>
              <w:t>的销售服务费</w:t>
            </w:r>
            <w:r>
              <w:rPr>
                <w:rFonts w:hint="eastAsia" w:ascii="宋体" w:hAnsi="宋体" w:cs="宋体"/>
                <w:color w:val="000000"/>
                <w:sz w:val="21"/>
                <w:szCs w:val="21"/>
                <w:lang w:eastAsia="zh-CN"/>
              </w:rPr>
              <w:t>，</w:t>
            </w:r>
            <w:r>
              <w:rPr>
                <w:rFonts w:hint="eastAsia" w:ascii="宋体" w:hAnsi="宋体" w:cs="宋体"/>
                <w:sz w:val="21"/>
                <w:szCs w:val="21"/>
                <w:highlight w:val="none"/>
                <w:lang w:val="en-US" w:eastAsia="zh-CN"/>
              </w:rPr>
              <w:t>B份额</w:t>
            </w:r>
            <w:r>
              <w:rPr>
                <w:rFonts w:hint="eastAsia" w:ascii="宋体" w:hAnsi="宋体" w:cs="宋体"/>
                <w:color w:val="000000"/>
                <w:sz w:val="21"/>
                <w:szCs w:val="21"/>
                <w:highlight w:val="none"/>
              </w:rPr>
              <w:t>收取年化</w:t>
            </w:r>
            <w:r>
              <w:rPr>
                <w:rFonts w:hint="eastAsia" w:ascii="宋体" w:hAnsi="宋体" w:cs="宋体"/>
                <w:sz w:val="21"/>
                <w:szCs w:val="21"/>
                <w:highlight w:val="none"/>
              </w:rPr>
              <w:t>〖0.</w:t>
            </w:r>
            <w:r>
              <w:rPr>
                <w:rFonts w:hint="eastAsia" w:ascii="宋体" w:hAnsi="宋体" w:cs="宋体"/>
                <w:sz w:val="21"/>
                <w:szCs w:val="21"/>
                <w:highlight w:val="none"/>
                <w:lang w:val="en-US" w:eastAsia="zh-CN"/>
              </w:rPr>
              <w:t>3</w:t>
            </w:r>
            <w:r>
              <w:rPr>
                <w:rFonts w:hint="eastAsia" w:ascii="宋体" w:hAnsi="宋体" w:cs="宋体"/>
                <w:sz w:val="21"/>
                <w:szCs w:val="21"/>
                <w:highlight w:val="none"/>
              </w:rPr>
              <w:t>0%〗</w:t>
            </w:r>
            <w:r>
              <w:rPr>
                <w:rFonts w:hint="eastAsia" w:ascii="宋体" w:hAnsi="宋体" w:cs="宋体"/>
                <w:color w:val="000000"/>
                <w:sz w:val="21"/>
                <w:szCs w:val="21"/>
                <w:highlight w:val="none"/>
              </w:rPr>
              <w:t>的销售服务费</w:t>
            </w:r>
            <w:r>
              <w:rPr>
                <w:rFonts w:hint="eastAsia" w:ascii="宋体" w:hAnsi="宋体" w:cs="宋体"/>
                <w:color w:val="000000"/>
                <w:sz w:val="21"/>
                <w:szCs w:val="21"/>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C份额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rPr>
              <w:t>。</w:t>
            </w:r>
          </w:p>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2.托管费：收取年化</w:t>
            </w:r>
            <w:r>
              <w:rPr>
                <w:rFonts w:hint="eastAsia" w:ascii="宋体" w:hAnsi="宋体" w:cs="宋体"/>
                <w:sz w:val="21"/>
                <w:szCs w:val="21"/>
              </w:rPr>
              <w:t>〖0.025%〗</w:t>
            </w:r>
            <w:r>
              <w:rPr>
                <w:rFonts w:hint="eastAsia" w:ascii="宋体" w:hAnsi="宋体" w:cs="宋体"/>
                <w:color w:val="000000"/>
                <w:sz w:val="21"/>
                <w:szCs w:val="21"/>
              </w:rPr>
              <w:t>的托管费。</w:t>
            </w:r>
          </w:p>
          <w:p>
            <w:pPr>
              <w:widowControl/>
              <w:spacing w:line="360" w:lineRule="auto"/>
              <w:contextualSpacing/>
              <w:rPr>
                <w:rFonts w:hint="eastAsia" w:ascii="宋体" w:hAnsi="宋体" w:cs="宋体"/>
                <w:bCs/>
                <w:color w:val="FF0000"/>
                <w:sz w:val="21"/>
                <w:szCs w:val="21"/>
              </w:rPr>
            </w:pPr>
            <w:r>
              <w:rPr>
                <w:rFonts w:hint="eastAsia" w:ascii="宋体" w:hAnsi="宋体" w:cs="宋体"/>
                <w:color w:val="000000"/>
                <w:sz w:val="21"/>
                <w:szCs w:val="21"/>
              </w:rPr>
              <w:t>3.固定管理费：</w:t>
            </w:r>
            <w:r>
              <w:rPr>
                <w:rFonts w:hint="eastAsia" w:ascii="宋体" w:hAnsi="宋体" w:cs="宋体"/>
                <w:sz w:val="21"/>
                <w:szCs w:val="21"/>
                <w:highlight w:val="none"/>
              </w:rPr>
              <w:t>〖</w:t>
            </w:r>
            <w:r>
              <w:rPr>
                <w:rFonts w:hint="eastAsia" w:ascii="宋体" w:hAnsi="宋体" w:cs="宋体"/>
                <w:sz w:val="21"/>
                <w:szCs w:val="21"/>
                <w:highlight w:val="none"/>
                <w:lang w:val="en-US" w:eastAsia="zh-CN"/>
              </w:rPr>
              <w:t>A份额</w:t>
            </w:r>
            <w:r>
              <w:rPr>
                <w:rFonts w:hint="eastAsia" w:ascii="宋体" w:hAnsi="宋体" w:cs="宋体"/>
                <w:sz w:val="21"/>
                <w:szCs w:val="21"/>
                <w:highlight w:val="none"/>
              </w:rPr>
              <w:t>〗</w:t>
            </w:r>
            <w:r>
              <w:rPr>
                <w:rFonts w:hint="eastAsia" w:ascii="宋体" w:hAnsi="宋体" w:cs="宋体"/>
                <w:color w:val="000000"/>
                <w:sz w:val="21"/>
                <w:szCs w:val="21"/>
              </w:rPr>
              <w:t>收取年化</w:t>
            </w:r>
            <w:r>
              <w:rPr>
                <w:rFonts w:hint="eastAsia" w:ascii="宋体" w:hAnsi="宋体" w:cs="宋体"/>
                <w:sz w:val="21"/>
                <w:szCs w:val="21"/>
              </w:rPr>
              <w:t>〖0.</w:t>
            </w:r>
            <w:r>
              <w:rPr>
                <w:rFonts w:hint="eastAsia" w:ascii="宋体" w:hAnsi="宋体" w:cs="宋体"/>
                <w:sz w:val="21"/>
                <w:szCs w:val="21"/>
                <w:lang w:val="en-US" w:eastAsia="zh-CN"/>
              </w:rPr>
              <w:t>2</w:t>
            </w:r>
            <w:r>
              <w:rPr>
                <w:rFonts w:hint="eastAsia" w:ascii="宋体" w:hAnsi="宋体" w:cs="宋体"/>
                <w:sz w:val="21"/>
                <w:szCs w:val="21"/>
              </w:rPr>
              <w:t>0%〗</w:t>
            </w:r>
            <w:r>
              <w:rPr>
                <w:rFonts w:hint="eastAsia" w:ascii="宋体" w:hAnsi="宋体" w:cs="宋体"/>
                <w:color w:val="000000"/>
                <w:sz w:val="21"/>
                <w:szCs w:val="21"/>
              </w:rPr>
              <w:t>的固定管理费</w:t>
            </w:r>
            <w:r>
              <w:rPr>
                <w:rFonts w:hint="eastAsia" w:ascii="宋体" w:hAnsi="宋体" w:cs="宋体"/>
                <w:color w:val="000000"/>
                <w:sz w:val="21"/>
                <w:szCs w:val="21"/>
                <w:lang w:eastAsia="zh-CN"/>
              </w:rPr>
              <w:t>，</w:t>
            </w:r>
            <w:r>
              <w:rPr>
                <w:rFonts w:hint="eastAsia" w:ascii="宋体" w:hAnsi="宋体" w:cs="宋体"/>
                <w:sz w:val="21"/>
                <w:szCs w:val="21"/>
                <w:highlight w:val="none"/>
                <w:lang w:val="en-US" w:eastAsia="zh-CN"/>
              </w:rPr>
              <w:t>B份额</w:t>
            </w:r>
            <w:r>
              <w:rPr>
                <w:rFonts w:hint="eastAsia" w:ascii="宋体" w:hAnsi="宋体" w:cs="宋体"/>
                <w:color w:val="000000"/>
                <w:sz w:val="21"/>
                <w:szCs w:val="21"/>
                <w:highlight w:val="none"/>
              </w:rPr>
              <w:t>收取年化</w:t>
            </w:r>
            <w:r>
              <w:rPr>
                <w:rFonts w:hint="eastAsia" w:ascii="宋体" w:hAnsi="宋体" w:cs="宋体"/>
                <w:sz w:val="21"/>
                <w:szCs w:val="21"/>
                <w:highlight w:val="none"/>
              </w:rPr>
              <w:t>〖0.</w:t>
            </w:r>
            <w:r>
              <w:rPr>
                <w:rFonts w:hint="eastAsia" w:ascii="宋体" w:hAnsi="宋体" w:cs="宋体"/>
                <w:sz w:val="21"/>
                <w:szCs w:val="21"/>
                <w:highlight w:val="none"/>
                <w:lang w:val="en-US" w:eastAsia="zh-CN"/>
              </w:rPr>
              <w:t>2</w:t>
            </w:r>
            <w:r>
              <w:rPr>
                <w:rFonts w:hint="eastAsia" w:ascii="宋体" w:hAnsi="宋体" w:cs="宋体"/>
                <w:sz w:val="21"/>
                <w:szCs w:val="21"/>
                <w:highlight w:val="none"/>
              </w:rPr>
              <w:t>0%〗</w:t>
            </w:r>
            <w:r>
              <w:rPr>
                <w:rFonts w:hint="eastAsia" w:ascii="宋体" w:hAnsi="宋体" w:cs="宋体"/>
                <w:color w:val="000000"/>
                <w:sz w:val="21"/>
                <w:szCs w:val="21"/>
                <w:highlight w:val="none"/>
              </w:rPr>
              <w:t>的固定管理费</w:t>
            </w:r>
            <w:r>
              <w:rPr>
                <w:rFonts w:hint="eastAsia" w:ascii="宋体" w:hAnsi="宋体" w:cs="宋体"/>
                <w:color w:val="000000"/>
                <w:sz w:val="21"/>
                <w:szCs w:val="21"/>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C份额</w:t>
            </w:r>
            <w:r>
              <w:rPr>
                <w:rFonts w:hint="eastAsia" w:ascii="宋体" w:hAnsi="宋体" w:cs="宋体"/>
                <w:sz w:val="21"/>
                <w:szCs w:val="21"/>
                <w:highlight w:val="none"/>
              </w:rPr>
              <w:t>〗</w:t>
            </w:r>
            <w:r>
              <w:rPr>
                <w:rFonts w:hint="eastAsia" w:ascii="宋体" w:hAnsi="宋体" w:cs="宋体"/>
                <w:color w:val="000000"/>
                <w:sz w:val="21"/>
                <w:szCs w:val="21"/>
              </w:rPr>
              <w:t>收取年化</w:t>
            </w:r>
            <w:r>
              <w:rPr>
                <w:rFonts w:hint="eastAsia" w:ascii="宋体" w:hAnsi="宋体" w:cs="宋体"/>
                <w:sz w:val="21"/>
                <w:szCs w:val="21"/>
              </w:rPr>
              <w:t>〖0.30%〗</w:t>
            </w:r>
            <w:r>
              <w:rPr>
                <w:rFonts w:hint="eastAsia" w:ascii="宋体" w:hAnsi="宋体" w:cs="宋体"/>
                <w:color w:val="000000"/>
                <w:sz w:val="21"/>
                <w:szCs w:val="21"/>
              </w:rPr>
              <w:t>的固定管理费。</w:t>
            </w:r>
          </w:p>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4.认购费：本理财计划免除认购费。</w:t>
            </w:r>
          </w:p>
          <w:p>
            <w:pPr>
              <w:widowControl/>
              <w:spacing w:line="360" w:lineRule="auto"/>
              <w:contextualSpacing/>
              <w:rPr>
                <w:rFonts w:hint="eastAsia" w:ascii="宋体" w:hAnsi="宋体" w:cs="宋体"/>
                <w:color w:val="000000"/>
                <w:sz w:val="21"/>
                <w:szCs w:val="21"/>
              </w:rPr>
            </w:pPr>
            <w:r>
              <w:rPr>
                <w:rFonts w:hint="eastAsia" w:ascii="宋体" w:hAnsi="宋体" w:cs="宋体"/>
                <w:bCs/>
                <w:sz w:val="21"/>
                <w:szCs w:val="21"/>
              </w:rPr>
              <w:t>5.申购费：</w:t>
            </w:r>
            <w:r>
              <w:rPr>
                <w:rFonts w:hint="eastAsia" w:ascii="宋体" w:hAnsi="宋体" w:cs="宋体"/>
                <w:color w:val="000000"/>
                <w:sz w:val="21"/>
                <w:szCs w:val="21"/>
              </w:rPr>
              <w:t>本理财计划免除申购费。</w:t>
            </w:r>
          </w:p>
          <w:p>
            <w:pPr>
              <w:widowControl/>
              <w:spacing w:line="360" w:lineRule="auto"/>
              <w:contextualSpacing/>
              <w:rPr>
                <w:rFonts w:ascii="宋体" w:hAnsi="宋体" w:cs="宋体"/>
                <w:bCs/>
                <w:sz w:val="21"/>
                <w:szCs w:val="21"/>
              </w:rPr>
            </w:pPr>
            <w:r>
              <w:rPr>
                <w:rFonts w:hint="eastAsia" w:ascii="宋体" w:hAnsi="宋体" w:cs="宋体"/>
                <w:bCs/>
                <w:sz w:val="21"/>
                <w:szCs w:val="21"/>
              </w:rPr>
              <w:t>6.赎回费：</w:t>
            </w:r>
            <w:r>
              <w:rPr>
                <w:rFonts w:hint="eastAsia" w:ascii="宋体" w:hAnsi="宋体" w:cs="宋体"/>
                <w:color w:val="000000"/>
                <w:sz w:val="21"/>
                <w:szCs w:val="21"/>
              </w:rPr>
              <w:t>本理财计划免除赎回费。</w:t>
            </w:r>
          </w:p>
          <w:p>
            <w:pPr>
              <w:widowControl/>
              <w:spacing w:line="360" w:lineRule="auto"/>
              <w:contextualSpacing/>
              <w:rPr>
                <w:rFonts w:hint="eastAsia" w:ascii="宋体" w:hAnsi="宋体" w:cs="宋体"/>
                <w:bCs/>
                <w:color w:val="FF0000"/>
                <w:sz w:val="21"/>
                <w:szCs w:val="21"/>
              </w:rPr>
            </w:pPr>
            <w:r>
              <w:rPr>
                <w:rFonts w:hint="eastAsia" w:ascii="宋体" w:hAnsi="宋体" w:cs="宋体"/>
                <w:color w:val="000000"/>
                <w:sz w:val="21"/>
                <w:szCs w:val="21"/>
              </w:rPr>
              <w:t>7.浮动管理费。本理财计划免除浮动管理费。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提前终止</w:t>
            </w:r>
          </w:p>
        </w:tc>
        <w:tc>
          <w:tcPr>
            <w:tcW w:w="7185" w:type="dxa"/>
            <w:noWrap w:val="0"/>
            <w:vAlign w:val="center"/>
          </w:tcPr>
          <w:p>
            <w:pPr>
              <w:widowControl/>
              <w:spacing w:line="360" w:lineRule="auto"/>
              <w:contextualSpacing/>
              <w:rPr>
                <w:rFonts w:hint="eastAsia" w:ascii="宋体" w:hAnsi="宋体" w:cs="宋体"/>
                <w:b/>
                <w:color w:val="000000"/>
                <w:kern w:val="0"/>
                <w:sz w:val="21"/>
                <w:szCs w:val="21"/>
              </w:rPr>
            </w:pPr>
            <w:r>
              <w:rPr>
                <w:rFonts w:hint="eastAsia" w:ascii="宋体" w:hAnsi="宋体" w:cs="宋体"/>
                <w:b/>
                <w:color w:val="000000"/>
                <w:kern w:val="0"/>
                <w:sz w:val="21"/>
                <w:szCs w:val="21"/>
              </w:rPr>
              <w:t>如遇国家金融政策出现重大调整并影响到本理财计划的正常运行的、市场收益率大幅波动可能或实质影响理财计划收益等情况，管理人有权提前全部或部分终止本理财计划。具体参见说明书“交易规则”部分。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税费规定</w:t>
            </w:r>
          </w:p>
        </w:tc>
        <w:tc>
          <w:tcPr>
            <w:tcW w:w="7185" w:type="dxa"/>
            <w:noWrap w:val="0"/>
            <w:vAlign w:val="center"/>
          </w:tcPr>
          <w:p>
            <w:pPr>
              <w:spacing w:line="360" w:lineRule="auto"/>
              <w:outlineLvl w:val="0"/>
              <w:rPr>
                <w:rFonts w:hint="eastAsia" w:ascii="宋体" w:hAnsi="宋体" w:cs="宋体"/>
                <w:color w:val="000000"/>
                <w:sz w:val="21"/>
                <w:szCs w:val="21"/>
              </w:rPr>
            </w:pPr>
            <w:r>
              <w:rPr>
                <w:rFonts w:hint="eastAsia" w:ascii="宋体" w:hAnsi="宋体" w:cs="宋体"/>
                <w:color w:val="000000"/>
                <w:sz w:val="21"/>
                <w:szCs w:val="21"/>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kern w:val="0"/>
                <w:sz w:val="21"/>
                <w:szCs w:val="21"/>
              </w:rPr>
            </w:pPr>
            <w:r>
              <w:rPr>
                <w:rFonts w:hint="eastAsia" w:ascii="宋体" w:hAnsi="宋体" w:cs="宋体"/>
                <w:color w:val="000000"/>
                <w:sz w:val="21"/>
                <w:szCs w:val="21"/>
              </w:rPr>
              <w:t>融资服务</w:t>
            </w:r>
          </w:p>
        </w:tc>
        <w:tc>
          <w:tcPr>
            <w:tcW w:w="7185" w:type="dxa"/>
            <w:noWrap w:val="0"/>
            <w:vAlign w:val="bottom"/>
          </w:tcPr>
          <w:p>
            <w:pPr>
              <w:spacing w:line="360" w:lineRule="auto"/>
              <w:rPr>
                <w:rFonts w:hint="eastAsia" w:ascii="宋体" w:hAnsi="宋体" w:cs="宋体"/>
                <w:b/>
                <w:color w:val="000000"/>
                <w:kern w:val="0"/>
                <w:sz w:val="21"/>
                <w:szCs w:val="21"/>
              </w:rPr>
            </w:pPr>
            <w:r>
              <w:rPr>
                <w:rFonts w:hint="eastAsia" w:ascii="宋体" w:hAnsi="宋体" w:cs="宋体"/>
                <w:b/>
                <w:color w:val="000000"/>
                <w:kern w:val="0"/>
                <w:sz w:val="21"/>
                <w:szCs w:val="21"/>
              </w:rPr>
              <w:t>投资者在理财期限内不能提前赎回，如需质押按销售机构相关规定执行。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color w:val="000000"/>
                <w:kern w:val="0"/>
                <w:sz w:val="21"/>
                <w:szCs w:val="21"/>
              </w:rPr>
            </w:pPr>
            <w:r>
              <w:rPr>
                <w:rFonts w:hint="eastAsia" w:ascii="宋体" w:hAnsi="宋体" w:cs="宋体"/>
                <w:color w:val="000000"/>
                <w:sz w:val="21"/>
                <w:szCs w:val="21"/>
              </w:rPr>
              <w:t>认购期内按照活期存款利率计息，认购期内的利息不计入认购本金份额。到期日（或理财计划实际终止日）到理财资金返还到账日为还本清算期，还本清算期内不计付利息。</w:t>
            </w:r>
            <w:r>
              <w:rPr>
                <w:rFonts w:hint="eastAsia" w:ascii="宋体" w:hAnsi="宋体" w:cs="宋体"/>
                <w:color w:val="000000"/>
                <w:kern w:val="0"/>
                <w:sz w:val="21"/>
                <w:szCs w:val="21"/>
              </w:rPr>
              <w:t>（具体以销售机构规定为准）</w:t>
            </w:r>
          </w:p>
          <w:p>
            <w:pPr>
              <w:spacing w:line="360" w:lineRule="auto"/>
              <w:rPr>
                <w:rFonts w:hint="eastAsia" w:ascii="宋体" w:hAnsi="宋体" w:cs="宋体"/>
                <w:color w:val="000000"/>
                <w:kern w:val="0"/>
                <w:sz w:val="21"/>
                <w:szCs w:val="21"/>
              </w:rPr>
            </w:pPr>
            <w:r>
              <w:rPr>
                <w:rFonts w:hint="eastAsia" w:ascii="宋体" w:hAnsi="宋体" w:cs="宋体"/>
                <w:color w:val="000000"/>
                <w:kern w:val="0"/>
                <w:sz w:val="21"/>
                <w:szCs w:val="21"/>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rPr>
      </w:pPr>
      <w:r>
        <w:rPr>
          <w:rFonts w:hint="eastAsia" w:ascii="宋体" w:hAnsi="宋体"/>
          <w:b/>
          <w:color w:val="000000"/>
        </w:rPr>
        <w:t>特别说明：</w:t>
      </w:r>
      <w:r>
        <w:rPr>
          <w:rFonts w:hint="eastAsia" w:ascii="宋体" w:hAnsi="宋体" w:cs="宋体"/>
          <w:b/>
          <w:color w:val="000000"/>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rPr>
      </w:pPr>
    </w:p>
    <w:p>
      <w:pPr>
        <w:numPr>
          <w:ilvl w:val="0"/>
          <w:numId w:val="11"/>
        </w:numPr>
        <w:spacing w:line="360" w:lineRule="auto"/>
        <w:ind w:firstLine="482" w:firstLineChars="200"/>
        <w:outlineLvl w:val="1"/>
        <w:rPr>
          <w:rFonts w:hint="eastAsia" w:ascii="宋体" w:hAnsi="宋体" w:cs="宋体"/>
          <w:b/>
          <w:color w:val="000000"/>
        </w:rPr>
      </w:pPr>
      <w:r>
        <w:rPr>
          <w:rFonts w:hint="eastAsia" w:ascii="宋体" w:hAnsi="宋体" w:cs="宋体"/>
          <w:b/>
          <w:color w:val="000000"/>
        </w:rPr>
        <w:t>投资管理</w:t>
      </w:r>
    </w:p>
    <w:p>
      <w:pPr>
        <w:numPr>
          <w:ilvl w:val="0"/>
          <w:numId w:val="12"/>
        </w:numPr>
        <w:spacing w:line="360" w:lineRule="auto"/>
        <w:ind w:firstLine="482" w:firstLineChars="200"/>
        <w:jc w:val="left"/>
        <w:outlineLvl w:val="2"/>
        <w:rPr>
          <w:rFonts w:hint="eastAsia" w:ascii="宋体" w:hAnsi="宋体" w:cs="宋体"/>
          <w:b/>
        </w:rPr>
      </w:pPr>
      <w:r>
        <w:rPr>
          <w:rFonts w:hint="eastAsia" w:ascii="宋体" w:hAnsi="宋体" w:cs="宋体"/>
          <w:b/>
        </w:rPr>
        <w:t>投资范围</w:t>
      </w:r>
    </w:p>
    <w:p>
      <w:pPr>
        <w:spacing w:line="360" w:lineRule="auto"/>
        <w:ind w:firstLine="480" w:firstLineChars="200"/>
        <w:jc w:val="left"/>
        <w:rPr>
          <w:rFonts w:hint="eastAsia" w:ascii="宋体" w:hAnsi="宋体" w:cs="宋体"/>
          <w:bCs/>
        </w:rPr>
      </w:pPr>
      <w:r>
        <w:rPr>
          <w:rFonts w:hint="eastAsia" w:ascii="宋体" w:hAnsi="宋体" w:cs="宋体"/>
          <w:bCs/>
        </w:rPr>
        <w:t>本理财计划主要投资于符合监管要求的各类资产：</w:t>
      </w:r>
    </w:p>
    <w:p>
      <w:pPr>
        <w:numPr>
          <w:ilvl w:val="0"/>
          <w:numId w:val="13"/>
        </w:numPr>
        <w:spacing w:line="360" w:lineRule="auto"/>
        <w:ind w:firstLine="480" w:firstLineChars="200"/>
        <w:jc w:val="left"/>
        <w:rPr>
          <w:rFonts w:ascii="宋体" w:hAnsi="宋体" w:cs="宋体"/>
          <w:bCs/>
        </w:rPr>
      </w:pPr>
      <w:r>
        <w:rPr>
          <w:rFonts w:hint="eastAsia" w:ascii="宋体" w:hAnsi="宋体" w:cs="宋体"/>
          <w:bCs/>
        </w:rPr>
        <w:t>固定收益类资产：包括但不限于各类债券、存款、货币市场金融工具、债券基金、质押式及买断式回购，其他符合监管要求的固定收益类资产及资产管理产品。</w:t>
      </w:r>
    </w:p>
    <w:p>
      <w:pPr>
        <w:numPr>
          <w:ilvl w:val="0"/>
          <w:numId w:val="13"/>
        </w:numPr>
        <w:spacing w:line="360" w:lineRule="auto"/>
        <w:ind w:firstLine="480" w:firstLineChars="200"/>
        <w:jc w:val="left"/>
        <w:rPr>
          <w:rFonts w:ascii="宋体" w:hAnsi="宋体" w:cs="宋体"/>
          <w:bCs/>
        </w:rPr>
      </w:pPr>
      <w:r>
        <w:rPr>
          <w:rFonts w:hint="eastAsia" w:ascii="宋体" w:hAnsi="宋体" w:cs="宋体"/>
          <w:bCs/>
        </w:rPr>
        <w:t>权益类资产：包括国内发行上市优先股以及其他符合监管要求的权益类资产（不包括未上市企业股权）。</w:t>
      </w:r>
    </w:p>
    <w:p>
      <w:pPr>
        <w:numPr>
          <w:ilvl w:val="0"/>
          <w:numId w:val="12"/>
        </w:numPr>
        <w:spacing w:line="360" w:lineRule="auto"/>
        <w:ind w:firstLine="482" w:firstLineChars="200"/>
        <w:jc w:val="left"/>
        <w:outlineLvl w:val="2"/>
        <w:rPr>
          <w:rFonts w:hint="eastAsia" w:ascii="宋体" w:hAnsi="宋体" w:cs="宋体"/>
          <w:b/>
        </w:rPr>
      </w:pPr>
      <w:r>
        <w:rPr>
          <w:rFonts w:hint="eastAsia" w:ascii="宋体" w:hAnsi="宋体" w:cs="宋体"/>
          <w:b/>
        </w:rPr>
        <w:t>投资比例</w:t>
      </w:r>
    </w:p>
    <w:p>
      <w:pPr>
        <w:spacing w:line="360" w:lineRule="auto"/>
        <w:ind w:firstLine="480" w:firstLineChars="200"/>
        <w:jc w:val="left"/>
        <w:rPr>
          <w:rFonts w:hint="eastAsia" w:ascii="宋体" w:hAnsi="宋体" w:cs="宋体"/>
          <w:bCs/>
        </w:rPr>
      </w:pPr>
      <w:r>
        <w:rPr>
          <w:rFonts w:hint="eastAsia" w:ascii="宋体" w:hAnsi="宋体" w:cs="宋体"/>
          <w:bCs/>
        </w:rPr>
        <w:t>本理财计划各投资资产占</w:t>
      </w:r>
      <w:r>
        <w:rPr>
          <w:rFonts w:hint="eastAsia" w:ascii="宋体" w:hAnsi="宋体" w:cs="宋体"/>
          <w:bCs/>
          <w:lang w:val="en-US" w:eastAsia="zh-CN"/>
        </w:rPr>
        <w:t>总</w:t>
      </w:r>
      <w:r>
        <w:rPr>
          <w:rFonts w:hint="eastAsia" w:ascii="宋体" w:hAnsi="宋体" w:cs="宋体"/>
          <w:bCs/>
        </w:rPr>
        <w:t>资产的配置比例如下：</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6"/>
        <w:gridCol w:w="4740"/>
        <w:gridCol w:w="19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noWrap w:val="0"/>
            <w:vAlign w:val="top"/>
          </w:tcPr>
          <w:p>
            <w:pPr>
              <w:spacing w:line="360" w:lineRule="auto"/>
              <w:rPr>
                <w:rFonts w:ascii="宋体" w:hAnsi="宋体" w:cs="宋体"/>
                <w:bCs/>
                <w:szCs w:val="21"/>
              </w:rPr>
            </w:pPr>
          </w:p>
        </w:tc>
        <w:tc>
          <w:tcPr>
            <w:tcW w:w="4740" w:type="dxa"/>
            <w:noWrap w:val="0"/>
            <w:vAlign w:val="top"/>
          </w:tcPr>
          <w:p>
            <w:pPr>
              <w:spacing w:line="360" w:lineRule="auto"/>
              <w:jc w:val="center"/>
              <w:rPr>
                <w:rFonts w:ascii="宋体" w:hAnsi="宋体" w:cs="宋体"/>
                <w:bCs/>
                <w:szCs w:val="21"/>
              </w:rPr>
            </w:pPr>
            <w:r>
              <w:rPr>
                <w:rFonts w:hint="eastAsia" w:ascii="宋体" w:hAnsi="宋体" w:cs="宋体"/>
                <w:bCs/>
                <w:szCs w:val="21"/>
              </w:rPr>
              <w:t>投资资产</w:t>
            </w:r>
          </w:p>
        </w:tc>
        <w:tc>
          <w:tcPr>
            <w:tcW w:w="1996" w:type="dxa"/>
            <w:noWrap w:val="0"/>
            <w:vAlign w:val="top"/>
          </w:tcPr>
          <w:p>
            <w:pPr>
              <w:spacing w:line="360" w:lineRule="auto"/>
              <w:jc w:val="center"/>
              <w:rPr>
                <w:rFonts w:ascii="宋体" w:hAnsi="宋体" w:cs="宋体"/>
                <w:bCs/>
                <w:szCs w:val="21"/>
              </w:rPr>
            </w:pPr>
            <w:r>
              <w:rPr>
                <w:rFonts w:hint="eastAsia" w:ascii="宋体" w:hAnsi="宋体" w:cs="宋体"/>
                <w:bCs/>
                <w:szCs w:val="21"/>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vMerge w:val="restart"/>
            <w:noWrap w:val="0"/>
            <w:vAlign w:val="center"/>
          </w:tcPr>
          <w:p>
            <w:pPr>
              <w:spacing w:line="360" w:lineRule="auto"/>
              <w:jc w:val="center"/>
              <w:rPr>
                <w:rFonts w:ascii="宋体" w:hAnsi="宋体" w:cs="宋体"/>
                <w:bCs/>
                <w:szCs w:val="21"/>
              </w:rPr>
            </w:pPr>
            <w:r>
              <w:rPr>
                <w:rFonts w:hint="eastAsia" w:ascii="宋体" w:hAnsi="宋体" w:cs="宋体"/>
                <w:bCs/>
                <w:szCs w:val="21"/>
              </w:rPr>
              <w:t>大类资产类型</w:t>
            </w:r>
          </w:p>
        </w:tc>
        <w:tc>
          <w:tcPr>
            <w:tcW w:w="4740" w:type="dxa"/>
            <w:noWrap w:val="0"/>
            <w:vAlign w:val="top"/>
          </w:tcPr>
          <w:p>
            <w:pPr>
              <w:spacing w:line="360" w:lineRule="auto"/>
              <w:jc w:val="center"/>
              <w:rPr>
                <w:rFonts w:ascii="宋体" w:hAnsi="宋体" w:cs="宋体"/>
                <w:bCs/>
                <w:szCs w:val="21"/>
              </w:rPr>
            </w:pPr>
            <w:r>
              <w:rPr>
                <w:rFonts w:hint="eastAsia" w:ascii="宋体" w:hAnsi="宋体" w:cs="宋体"/>
                <w:bCs/>
                <w:szCs w:val="21"/>
              </w:rPr>
              <w:t>固定收益类资产</w:t>
            </w:r>
          </w:p>
        </w:tc>
        <w:tc>
          <w:tcPr>
            <w:tcW w:w="1996" w:type="dxa"/>
            <w:noWrap w:val="0"/>
            <w:vAlign w:val="center"/>
          </w:tcPr>
          <w:p>
            <w:pPr>
              <w:spacing w:line="360" w:lineRule="auto"/>
              <w:jc w:val="center"/>
              <w:rPr>
                <w:rFonts w:ascii="宋体" w:hAnsi="宋体" w:cs="宋体"/>
                <w:bCs/>
                <w:szCs w:val="21"/>
              </w:rPr>
            </w:pPr>
            <w:r>
              <w:rPr>
                <w:rFonts w:hint="eastAsia" w:ascii="宋体" w:hAnsi="宋体" w:cs="宋体"/>
                <w:bCs/>
                <w:szCs w:val="21"/>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vMerge w:val="continue"/>
            <w:noWrap w:val="0"/>
            <w:vAlign w:val="center"/>
          </w:tcPr>
          <w:p>
            <w:pPr>
              <w:spacing w:line="360" w:lineRule="auto"/>
              <w:jc w:val="left"/>
              <w:rPr>
                <w:rFonts w:ascii="宋体" w:hAnsi="宋体" w:cs="宋体"/>
                <w:bCs/>
                <w:szCs w:val="21"/>
              </w:rPr>
            </w:pPr>
          </w:p>
        </w:tc>
        <w:tc>
          <w:tcPr>
            <w:tcW w:w="4740" w:type="dxa"/>
            <w:noWrap w:val="0"/>
            <w:vAlign w:val="top"/>
          </w:tcPr>
          <w:p>
            <w:pPr>
              <w:spacing w:line="360" w:lineRule="auto"/>
              <w:jc w:val="center"/>
              <w:rPr>
                <w:rFonts w:ascii="宋体" w:hAnsi="宋体" w:cs="宋体"/>
                <w:bCs/>
                <w:szCs w:val="21"/>
              </w:rPr>
            </w:pPr>
            <w:r>
              <w:rPr>
                <w:rFonts w:hint="eastAsia" w:ascii="宋体" w:hAnsi="宋体" w:cs="宋体"/>
                <w:bCs/>
                <w:szCs w:val="21"/>
              </w:rPr>
              <w:t>权益类资产</w:t>
            </w:r>
          </w:p>
        </w:tc>
        <w:tc>
          <w:tcPr>
            <w:tcW w:w="1996" w:type="dxa"/>
            <w:noWrap w:val="0"/>
            <w:vAlign w:val="center"/>
          </w:tcPr>
          <w:p>
            <w:pPr>
              <w:spacing w:line="360" w:lineRule="auto"/>
              <w:jc w:val="center"/>
              <w:rPr>
                <w:rFonts w:ascii="宋体" w:hAnsi="宋体" w:cs="宋体"/>
                <w:bCs/>
                <w:szCs w:val="21"/>
              </w:rPr>
            </w:pPr>
            <w:r>
              <w:rPr>
                <w:rFonts w:hint="eastAsia" w:ascii="宋体" w:hAnsi="宋体" w:cs="宋体"/>
                <w:bCs/>
                <w:szCs w:val="21"/>
              </w:rPr>
              <w:t>0%-20%</w:t>
            </w:r>
          </w:p>
        </w:tc>
      </w:tr>
    </w:tbl>
    <w:p>
      <w:pPr>
        <w:pStyle w:val="17"/>
        <w:adjustRightInd/>
        <w:spacing w:line="360" w:lineRule="auto"/>
        <w:ind w:firstLine="480" w:firstLineChars="200"/>
        <w:rPr>
          <w:rFonts w:hint="eastAsia" w:ascii="宋体" w:hAnsi="宋体" w:cs="宋体"/>
          <w:bCs/>
          <w:color w:val="auto"/>
          <w:kern w:val="2"/>
        </w:rPr>
      </w:pPr>
      <w:r>
        <w:rPr>
          <w:rFonts w:hint="eastAsia" w:ascii="宋体" w:hAnsi="宋体" w:cs="宋体"/>
          <w:bCs/>
          <w:color w:val="auto"/>
          <w:kern w:val="2"/>
        </w:rPr>
        <w:t>在理财计划存续期间如遇市场变化导致各类投资品投资比例暂时超出以上范围，为保护投资者利益，管理人将在流动性受限资产可出售、可转让或者恢复交易的15个交易日内调整至上述比例范围。</w:t>
      </w:r>
    </w:p>
    <w:p>
      <w:pPr>
        <w:numPr>
          <w:ilvl w:val="0"/>
          <w:numId w:val="12"/>
        </w:numPr>
        <w:spacing w:line="360" w:lineRule="auto"/>
        <w:ind w:firstLine="482" w:firstLineChars="200"/>
        <w:jc w:val="left"/>
        <w:outlineLvl w:val="2"/>
        <w:rPr>
          <w:rFonts w:hint="eastAsia" w:ascii="宋体" w:hAnsi="宋体" w:cs="宋体"/>
          <w:b/>
        </w:rPr>
      </w:pPr>
      <w:r>
        <w:rPr>
          <w:rFonts w:hint="eastAsia" w:ascii="宋体" w:hAnsi="宋体" w:cs="宋体"/>
          <w:b/>
        </w:rPr>
        <w:t>投资策略</w:t>
      </w:r>
    </w:p>
    <w:p>
      <w:pPr>
        <w:pStyle w:val="17"/>
        <w:spacing w:line="360" w:lineRule="auto"/>
        <w:ind w:firstLine="480" w:firstLineChars="200"/>
        <w:rPr>
          <w:rFonts w:hint="eastAsia" w:ascii="宋体" w:hAnsi="宋体" w:cs="宋体"/>
          <w:b/>
        </w:rPr>
      </w:pPr>
      <w:r>
        <w:rPr>
          <w:rFonts w:hint="eastAsia" w:ascii="宋体" w:cs="宋体"/>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cs="宋体"/>
          <w:b/>
        </w:rPr>
        <w:t>本产品还可能根据市场行情，在监管政策允许的范围内，在适当的时机投资不高于理财产品总资产的20%的资金于其他资产。</w:t>
      </w:r>
    </w:p>
    <w:p>
      <w:pPr>
        <w:numPr>
          <w:ilvl w:val="0"/>
          <w:numId w:val="12"/>
        </w:numPr>
        <w:spacing w:line="360" w:lineRule="auto"/>
        <w:ind w:firstLine="482" w:firstLineChars="200"/>
        <w:jc w:val="left"/>
        <w:outlineLvl w:val="2"/>
        <w:rPr>
          <w:rFonts w:hint="eastAsia" w:ascii="宋体" w:hAnsi="宋体" w:cs="宋体"/>
          <w:b/>
        </w:rPr>
      </w:pPr>
      <w:r>
        <w:rPr>
          <w:rFonts w:hint="eastAsia" w:ascii="宋体" w:hAnsi="宋体" w:cs="宋体"/>
          <w:b/>
        </w:rPr>
        <w:t>投资限制</w:t>
      </w:r>
    </w:p>
    <w:p>
      <w:pPr>
        <w:pStyle w:val="17"/>
        <w:adjustRightInd/>
        <w:spacing w:line="360" w:lineRule="auto"/>
        <w:ind w:firstLine="480" w:firstLineChars="200"/>
        <w:rPr>
          <w:rFonts w:hint="eastAsia" w:ascii="宋体" w:hAnsi="宋体" w:cs="宋体"/>
          <w:bCs/>
          <w:color w:val="auto"/>
          <w:kern w:val="2"/>
        </w:rPr>
      </w:pPr>
      <w:r>
        <w:rPr>
          <w:rFonts w:hint="eastAsia" w:ascii="宋体" w:hAnsi="宋体" w:cs="宋体"/>
          <w:bCs/>
          <w:color w:val="auto"/>
          <w:kern w:val="2"/>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rPr>
      </w:pPr>
      <w:r>
        <w:rPr>
          <w:rFonts w:hint="eastAsia" w:ascii="宋体" w:hAnsi="宋体" w:cs="宋体"/>
          <w:bCs/>
        </w:rPr>
        <w:t>投资集中度限制</w:t>
      </w:r>
    </w:p>
    <w:p>
      <w:pPr>
        <w:numPr>
          <w:ilvl w:val="0"/>
          <w:numId w:val="15"/>
        </w:numPr>
        <w:spacing w:line="360" w:lineRule="auto"/>
        <w:ind w:firstLine="480" w:firstLineChars="200"/>
        <w:jc w:val="left"/>
        <w:rPr>
          <w:rFonts w:hint="eastAsia" w:ascii="宋体" w:hAnsi="宋体" w:cs="宋体"/>
          <w:bCs/>
        </w:rPr>
      </w:pPr>
      <w:r>
        <w:rPr>
          <w:rFonts w:hint="eastAsia" w:ascii="宋体" w:hAnsi="宋体" w:cs="宋体"/>
          <w:bCs/>
          <w:color w:val="000000"/>
        </w:rPr>
        <w:t>本理</w:t>
      </w:r>
      <w:r>
        <w:rPr>
          <w:rFonts w:hint="eastAsia" w:ascii="宋体" w:hAnsi="宋体" w:cs="宋体"/>
          <w:bCs/>
        </w:rPr>
        <w:t>财计划持有单只证券或单只公募</w:t>
      </w:r>
      <w:r>
        <w:rPr>
          <w:rFonts w:ascii="宋体" w:hAnsi="宋体" w:cs="宋体"/>
          <w:bCs/>
        </w:rPr>
        <w:fldChar w:fldCharType="begin"/>
      </w:r>
      <w:r>
        <w:rPr>
          <w:rFonts w:ascii="宋体" w:hAnsi="宋体" w:cs="宋体"/>
          <w:bCs/>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rPr>
        <w:fldChar w:fldCharType="separate"/>
      </w:r>
      <w:r>
        <w:rPr>
          <w:rFonts w:ascii="宋体" w:hAnsi="宋体" w:cs="宋体"/>
          <w:bCs/>
        </w:rPr>
        <w:t>证券投资基金</w:t>
      </w:r>
      <w:r>
        <w:rPr>
          <w:rFonts w:ascii="宋体" w:hAnsi="宋体" w:cs="宋体"/>
          <w:bCs/>
        </w:rPr>
        <w:fldChar w:fldCharType="end"/>
      </w:r>
      <w:r>
        <w:rPr>
          <w:rFonts w:ascii="宋体" w:hAnsi="宋体" w:cs="宋体"/>
          <w:bCs/>
        </w:rPr>
        <w:t>的市值不得超过该理财</w:t>
      </w:r>
      <w:r>
        <w:rPr>
          <w:rFonts w:hint="eastAsia" w:ascii="宋体" w:hAnsi="宋体" w:cs="宋体"/>
          <w:bCs/>
        </w:rPr>
        <w:t>计划</w:t>
      </w:r>
      <w:r>
        <w:rPr>
          <w:rFonts w:ascii="宋体" w:hAnsi="宋体" w:cs="宋体"/>
          <w:bCs/>
        </w:rPr>
        <w:t>净资产</w:t>
      </w:r>
      <w:r>
        <w:rPr>
          <w:rFonts w:hint="eastAsia" w:ascii="宋体" w:hAnsi="宋体" w:cs="宋体"/>
          <w:bCs/>
        </w:rPr>
        <w:t>的</w:t>
      </w:r>
      <w:r>
        <w:rPr>
          <w:rFonts w:ascii="宋体" w:hAnsi="宋体" w:cs="宋体"/>
          <w:bCs/>
        </w:rPr>
        <w:t>10%</w:t>
      </w:r>
      <w:r>
        <w:rPr>
          <w:rFonts w:hint="eastAsia" w:ascii="宋体" w:hAnsi="宋体" w:cs="宋体"/>
          <w:bCs/>
        </w:rPr>
        <w:t>。</w:t>
      </w:r>
    </w:p>
    <w:p>
      <w:pPr>
        <w:numPr>
          <w:ilvl w:val="0"/>
          <w:numId w:val="15"/>
        </w:numPr>
        <w:spacing w:line="360" w:lineRule="auto"/>
        <w:ind w:firstLine="480" w:firstLineChars="200"/>
        <w:jc w:val="left"/>
        <w:rPr>
          <w:rFonts w:ascii="宋体" w:hAnsi="宋体" w:cs="宋体"/>
          <w:bCs/>
        </w:rPr>
      </w:pPr>
      <w:r>
        <w:rPr>
          <w:rFonts w:hint="eastAsia" w:ascii="宋体" w:hAnsi="宋体" w:cs="宋体"/>
          <w:bCs/>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rPr>
      </w:pPr>
      <w:r>
        <w:rPr>
          <w:rFonts w:hint="eastAsia" w:ascii="宋体" w:hAnsi="宋体" w:cs="宋体"/>
          <w:bCs/>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rPr>
      </w:pPr>
      <w:r>
        <w:rPr>
          <w:rFonts w:hint="eastAsia" w:ascii="宋体" w:hAnsi="宋体" w:cs="宋体"/>
          <w:bCs/>
        </w:rPr>
        <w:t>管理人发行的全部</w:t>
      </w:r>
      <w:r>
        <w:rPr>
          <w:rFonts w:hint="eastAsia" w:ascii="宋体" w:hAnsi="宋体"/>
        </w:rPr>
        <w:t>开放式公募</w:t>
      </w:r>
      <w:r>
        <w:rPr>
          <w:rFonts w:hint="eastAsia" w:ascii="宋体" w:hAnsi="宋体" w:cs="宋体"/>
          <w:bCs/>
        </w:rPr>
        <w:t>理财计划</w:t>
      </w:r>
      <w:r>
        <w:rPr>
          <w:rFonts w:hint="eastAsia" w:ascii="宋体" w:hAnsi="宋体"/>
        </w:rPr>
        <w:t>投资单一上市公司发行的股票,不得超过该上市公司可流通股票的15%。</w:t>
      </w:r>
    </w:p>
    <w:p>
      <w:pPr>
        <w:spacing w:line="360" w:lineRule="auto"/>
        <w:ind w:firstLine="480" w:firstLineChars="200"/>
        <w:jc w:val="left"/>
        <w:rPr>
          <w:rFonts w:hint="eastAsia" w:ascii="宋体" w:hAnsi="宋体" w:cs="宋体"/>
          <w:bCs/>
        </w:rPr>
      </w:pPr>
      <w:r>
        <w:rPr>
          <w:rFonts w:hint="eastAsia" w:ascii="宋体" w:hAnsi="宋体" w:cs="宋体"/>
          <w:bCs/>
        </w:rPr>
        <w:t>国务院银行业监督管理机构另有规定的除外。</w:t>
      </w:r>
    </w:p>
    <w:p>
      <w:pPr>
        <w:spacing w:line="360" w:lineRule="auto"/>
        <w:ind w:firstLine="480" w:firstLineChars="200"/>
        <w:jc w:val="left"/>
        <w:rPr>
          <w:rFonts w:ascii="宋体" w:hAnsi="宋体" w:cs="宋体"/>
          <w:bCs/>
        </w:rPr>
      </w:pPr>
      <w:r>
        <w:rPr>
          <w:rFonts w:hint="eastAsia" w:ascii="宋体" w:hAnsi="宋体" w:cs="宋体"/>
          <w:bCs/>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rPr>
      </w:pPr>
      <w:r>
        <w:rPr>
          <w:rFonts w:hint="eastAsia" w:ascii="宋体" w:hAnsi="宋体" w:cs="宋体"/>
          <w:bCs/>
        </w:rPr>
        <w:t>投资期限限制</w:t>
      </w:r>
    </w:p>
    <w:p>
      <w:pPr>
        <w:spacing w:line="360" w:lineRule="auto"/>
        <w:ind w:firstLine="480" w:firstLineChars="200"/>
        <w:jc w:val="left"/>
        <w:rPr>
          <w:rFonts w:hint="eastAsia" w:ascii="宋体" w:hAnsi="宋体" w:cs="宋体"/>
          <w:bCs/>
        </w:rPr>
      </w:pPr>
      <w:r>
        <w:rPr>
          <w:rFonts w:hint="eastAsia" w:ascii="宋体" w:hAnsi="宋体" w:cs="宋体"/>
          <w:bCs/>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rPr>
      </w:pPr>
      <w:r>
        <w:rPr>
          <w:rFonts w:hint="eastAsia" w:ascii="宋体" w:hAnsi="宋体" w:cs="宋体"/>
          <w:bCs/>
        </w:rPr>
        <w:t>投资杠杆率限制</w:t>
      </w:r>
    </w:p>
    <w:p>
      <w:pPr>
        <w:spacing w:line="360" w:lineRule="auto"/>
        <w:ind w:firstLine="480" w:firstLineChars="200"/>
        <w:jc w:val="left"/>
        <w:rPr>
          <w:rFonts w:hint="eastAsia" w:ascii="宋体" w:hAnsi="宋体" w:cs="宋体"/>
          <w:bCs/>
        </w:rPr>
      </w:pPr>
      <w:r>
        <w:rPr>
          <w:rFonts w:hint="eastAsia" w:ascii="宋体" w:hAnsi="宋体" w:cs="宋体"/>
          <w:bCs/>
        </w:rPr>
        <w:t>本理财计划的总资产不得超过净资产的140%。</w:t>
      </w:r>
    </w:p>
    <w:p>
      <w:pPr>
        <w:numPr>
          <w:ilvl w:val="0"/>
          <w:numId w:val="16"/>
        </w:numPr>
        <w:spacing w:line="360" w:lineRule="auto"/>
        <w:ind w:firstLine="480" w:firstLineChars="200"/>
        <w:jc w:val="left"/>
        <w:rPr>
          <w:rFonts w:hint="eastAsia" w:ascii="宋体" w:hAnsi="宋体" w:cs="宋体"/>
          <w:bCs/>
        </w:rPr>
      </w:pPr>
      <w:r>
        <w:rPr>
          <w:rFonts w:hint="eastAsia" w:ascii="宋体" w:hAnsi="宋体" w:cs="宋体"/>
          <w:bCs/>
        </w:rPr>
        <w:t>流动性限制</w:t>
      </w:r>
    </w:p>
    <w:p>
      <w:pPr>
        <w:numPr>
          <w:ilvl w:val="0"/>
          <w:numId w:val="17"/>
        </w:numPr>
        <w:spacing w:line="360" w:lineRule="auto"/>
        <w:ind w:firstLine="480" w:firstLineChars="200"/>
        <w:jc w:val="left"/>
        <w:rPr>
          <w:rFonts w:hint="eastAsia" w:ascii="宋体" w:hAnsi="宋体" w:cs="宋体"/>
          <w:bCs/>
        </w:rPr>
      </w:pPr>
      <w:r>
        <w:rPr>
          <w:rFonts w:hint="eastAsia" w:ascii="宋体" w:hAnsi="宋体" w:cs="宋体"/>
          <w:bCs/>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rPr>
      </w:pPr>
      <w:r>
        <w:rPr>
          <w:rFonts w:hint="eastAsia" w:ascii="宋体" w:hAnsi="宋体" w:cs="宋体"/>
          <w:bCs/>
        </w:rPr>
        <w:t>本理财计划如定期开放周期不低于90天，应当在开放日及开放日前7个工作日内持有不低于该理财计划资产净值5%的现金或者到期日在一年以内的国债、中央银行票据和政策性金融债券；如定期开放周期低于90天，应当持有不低于该理财计划资产净值5%的现金或者到期日在一年以内的国债、中央银行票据和政策性金融债券。</w:t>
      </w:r>
    </w:p>
    <w:p>
      <w:pPr>
        <w:numPr>
          <w:ilvl w:val="0"/>
          <w:numId w:val="17"/>
        </w:numPr>
        <w:spacing w:line="360" w:lineRule="auto"/>
        <w:ind w:firstLine="480" w:firstLineChars="200"/>
        <w:jc w:val="left"/>
        <w:rPr>
          <w:rFonts w:ascii="宋体" w:hAnsi="宋体" w:cs="宋体"/>
          <w:bCs/>
        </w:rPr>
      </w:pPr>
      <w:r>
        <w:rPr>
          <w:rFonts w:hint="eastAsia" w:ascii="宋体" w:hAnsi="宋体" w:cs="宋体"/>
          <w:bCs/>
        </w:rPr>
        <w:t>在开放日前一工作日内，本理财计划7个工作日可变现资产的可变现价值应当不低于该理财计划资产净值的10%。</w:t>
      </w:r>
    </w:p>
    <w:p>
      <w:pPr>
        <w:numPr>
          <w:ilvl w:val="0"/>
          <w:numId w:val="17"/>
        </w:numPr>
        <w:spacing w:line="360" w:lineRule="auto"/>
        <w:ind w:firstLine="480" w:firstLineChars="200"/>
        <w:jc w:val="left"/>
        <w:rPr>
          <w:rFonts w:ascii="宋体" w:hAnsi="宋体" w:cs="宋体"/>
          <w:bCs/>
        </w:rPr>
      </w:pPr>
      <w:r>
        <w:rPr>
          <w:rFonts w:hint="eastAsia" w:ascii="宋体" w:hAnsi="宋体" w:cs="宋体"/>
          <w:bCs/>
        </w:rPr>
        <w:t>本理财计划如定期开放周期低于90天，计划投资不存在活跃交易市场，并且需要采用估值技术确定公允价值的资产比例不得超过理财产品净资产50%以上。</w:t>
      </w:r>
    </w:p>
    <w:p>
      <w:pPr>
        <w:numPr>
          <w:ilvl w:val="0"/>
          <w:numId w:val="18"/>
        </w:numPr>
        <w:spacing w:line="360" w:lineRule="auto"/>
        <w:ind w:firstLine="480" w:firstLineChars="200"/>
        <w:jc w:val="left"/>
        <w:rPr>
          <w:rFonts w:hint="eastAsia" w:ascii="宋体" w:hAnsi="宋体" w:cs="宋体"/>
          <w:bCs/>
        </w:rPr>
      </w:pPr>
      <w:r>
        <w:rPr>
          <w:rFonts w:hint="eastAsia" w:ascii="宋体" w:hAnsi="宋体" w:cs="宋体"/>
          <w:bCs/>
        </w:rPr>
        <w:t>其他投资限制</w:t>
      </w:r>
    </w:p>
    <w:p>
      <w:pPr>
        <w:spacing w:line="360" w:lineRule="auto"/>
        <w:ind w:firstLine="480" w:firstLineChars="200"/>
        <w:jc w:val="left"/>
        <w:rPr>
          <w:rFonts w:hint="eastAsia" w:ascii="宋体" w:hAnsi="宋体" w:cs="宋体"/>
          <w:bCs/>
        </w:rPr>
      </w:pPr>
      <w:r>
        <w:rPr>
          <w:rFonts w:hint="eastAsia" w:ascii="宋体" w:hAnsi="宋体" w:cs="宋体"/>
          <w:bCs/>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rPr>
        <w:fldChar w:fldCharType="begin"/>
      </w:r>
      <w:r>
        <w:rPr>
          <w:rFonts w:ascii="宋体" w:hAnsi="宋体" w:cs="宋体"/>
          <w:bCs/>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rPr>
        <w:fldChar w:fldCharType="separate"/>
      </w:r>
      <w:r>
        <w:rPr>
          <w:rFonts w:ascii="宋体" w:hAnsi="宋体" w:cs="宋体"/>
          <w:bCs/>
        </w:rPr>
        <w:t>资产支持证券</w:t>
      </w:r>
      <w:r>
        <w:rPr>
          <w:rFonts w:ascii="宋体" w:hAnsi="宋体" w:cs="宋体"/>
          <w:bCs/>
        </w:rPr>
        <w:fldChar w:fldCharType="end"/>
      </w:r>
      <w:r>
        <w:rPr>
          <w:rFonts w:hint="eastAsia" w:ascii="宋体" w:hAnsi="宋体" w:cs="宋体"/>
          <w:bCs/>
        </w:rPr>
        <w:t>，不得直接或间接投资于未上市公司股权及其受（收）益权。</w:t>
      </w:r>
    </w:p>
    <w:p>
      <w:pPr>
        <w:numPr>
          <w:ilvl w:val="0"/>
          <w:numId w:val="12"/>
        </w:numPr>
        <w:spacing w:line="360" w:lineRule="auto"/>
        <w:ind w:firstLine="482" w:firstLineChars="200"/>
        <w:jc w:val="left"/>
        <w:outlineLvl w:val="2"/>
        <w:rPr>
          <w:rFonts w:hint="eastAsia" w:ascii="宋体" w:hAnsi="宋体" w:cs="宋体"/>
          <w:b/>
        </w:rPr>
      </w:pPr>
      <w:r>
        <w:rPr>
          <w:rFonts w:hint="eastAsia" w:ascii="宋体" w:hAnsi="宋体" w:cs="宋体"/>
          <w:b/>
        </w:rPr>
        <w:t>拟投资市场、资产的流动性风险评估</w:t>
      </w:r>
    </w:p>
    <w:p>
      <w:pPr>
        <w:spacing w:line="360" w:lineRule="auto"/>
        <w:ind w:firstLine="480" w:firstLineChars="200"/>
        <w:jc w:val="left"/>
        <w:rPr>
          <w:rFonts w:hint="eastAsia" w:ascii="宋体" w:hAnsi="宋体" w:cs="宋体"/>
          <w:bCs/>
        </w:rPr>
      </w:pPr>
      <w:r>
        <w:rPr>
          <w:rFonts w:hint="eastAsia" w:ascii="宋体" w:hAnsi="宋体" w:cs="宋体"/>
          <w:bCs/>
        </w:rPr>
        <w:t>本理财计划拟投资市场可能面临的流动性风险如下：</w:t>
      </w:r>
    </w:p>
    <w:p>
      <w:pPr>
        <w:numPr>
          <w:ilvl w:val="0"/>
          <w:numId w:val="19"/>
        </w:numPr>
        <w:spacing w:line="360" w:lineRule="auto"/>
        <w:ind w:firstLine="480" w:firstLineChars="200"/>
        <w:jc w:val="left"/>
        <w:rPr>
          <w:rFonts w:hint="eastAsia" w:ascii="宋体" w:hAnsi="宋体" w:cs="宋体"/>
          <w:bCs/>
        </w:rPr>
      </w:pPr>
      <w:r>
        <w:rPr>
          <w:rFonts w:hint="eastAsia" w:ascii="宋体" w:hAnsi="宋体" w:cs="宋体"/>
          <w:bCs/>
        </w:rPr>
        <w:t>投资于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9"/>
        </w:numPr>
        <w:spacing w:line="360" w:lineRule="auto"/>
        <w:ind w:firstLine="480" w:firstLineChars="200"/>
        <w:jc w:val="left"/>
        <w:rPr>
          <w:rFonts w:hint="eastAsia" w:ascii="宋体" w:hAnsi="宋体" w:cs="宋体"/>
          <w:bCs/>
        </w:rPr>
      </w:pPr>
      <w:r>
        <w:rPr>
          <w:rFonts w:hint="eastAsia" w:ascii="宋体" w:hAnsi="宋体" w:cs="宋体"/>
          <w:bCs/>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9"/>
        </w:numPr>
        <w:spacing w:line="360" w:lineRule="auto"/>
        <w:ind w:firstLine="480" w:firstLineChars="200"/>
        <w:jc w:val="left"/>
        <w:rPr>
          <w:rFonts w:hint="eastAsia" w:ascii="宋体" w:hAnsi="宋体" w:cs="宋体"/>
          <w:bCs/>
        </w:rPr>
      </w:pPr>
      <w:r>
        <w:rPr>
          <w:rFonts w:hint="eastAsia" w:ascii="宋体" w:hAnsi="宋体" w:cs="宋体"/>
          <w:bCs/>
        </w:rPr>
        <w:t>投资于权益类资产的可能流动性风险（如有）：权益类资产包括但不限于上市公司普通股、上市公司优先股、股票基金、股票定向增发等，受国家政策、经济周期、利率、汇率、股票发行人经营情况等因素导致的市场风险，可能导致流通与转让限制、市场参与者交易意愿降低、停牌、退市等情形，从而进一步引发流动性风险。</w:t>
      </w:r>
    </w:p>
    <w:p>
      <w:pPr>
        <w:spacing w:line="360" w:lineRule="auto"/>
        <w:ind w:firstLine="480" w:firstLineChars="200"/>
        <w:jc w:val="left"/>
        <w:rPr>
          <w:rFonts w:hint="eastAsia" w:ascii="宋体" w:hAnsi="宋体" w:cs="宋体"/>
          <w:bCs/>
        </w:rPr>
      </w:pPr>
      <w:r>
        <w:rPr>
          <w:rFonts w:hint="eastAsia" w:ascii="宋体" w:hAnsi="宋体" w:cs="宋体"/>
          <w:bCs/>
        </w:rPr>
        <w:t>以上风险仅为列举性质，未能详尽列明拟投资市场和资产面临的全部流动性风险</w:t>
      </w:r>
      <w:r>
        <w:rPr>
          <w:rFonts w:ascii="宋体" w:hAnsi="宋体" w:cs="宋体"/>
          <w:bCs/>
        </w:rPr>
        <w:t>可能导致投资者投资本金及收益损失</w:t>
      </w:r>
      <w:r>
        <w:rPr>
          <w:rFonts w:hint="eastAsia" w:ascii="宋体" w:hAnsi="宋体" w:cs="宋体"/>
          <w:bCs/>
        </w:rPr>
        <w:t>或延期兑付</w:t>
      </w:r>
      <w:r>
        <w:rPr>
          <w:rFonts w:ascii="宋体" w:hAnsi="宋体" w:cs="宋体"/>
          <w:bCs/>
        </w:rPr>
        <w:t>的所有因素</w:t>
      </w:r>
      <w:r>
        <w:rPr>
          <w:rFonts w:hint="eastAsia" w:ascii="宋体" w:hAnsi="宋体" w:cs="宋体"/>
          <w:bCs/>
        </w:rPr>
        <w:t>。管理人会进行标的的分散化投资并结合对各类标的资产的预期流动性合理进行资产配置，最大程度防范流动性风险。</w:t>
      </w:r>
    </w:p>
    <w:p>
      <w:pPr>
        <w:spacing w:line="360" w:lineRule="auto"/>
        <w:ind w:firstLine="480" w:firstLineChars="200"/>
        <w:jc w:val="left"/>
        <w:rPr>
          <w:rFonts w:hint="eastAsia" w:ascii="宋体" w:hAnsi="宋体" w:cs="宋体"/>
          <w:bCs/>
        </w:rPr>
      </w:pPr>
    </w:p>
    <w:p>
      <w:pPr>
        <w:numPr>
          <w:ilvl w:val="0"/>
          <w:numId w:val="20"/>
        </w:numPr>
        <w:spacing w:line="360" w:lineRule="auto"/>
        <w:ind w:firstLine="482" w:firstLineChars="200"/>
        <w:jc w:val="left"/>
        <w:outlineLvl w:val="1"/>
        <w:rPr>
          <w:rFonts w:hint="eastAsia" w:ascii="宋体" w:hAnsi="宋体" w:cs="宋体"/>
          <w:b/>
        </w:rPr>
      </w:pPr>
      <w:r>
        <w:rPr>
          <w:rFonts w:hint="eastAsia" w:ascii="宋体" w:hAnsi="宋体" w:cs="宋体"/>
          <w:b/>
        </w:rPr>
        <w:t>合作机构及主要职责</w:t>
      </w:r>
    </w:p>
    <w:p>
      <w:pPr>
        <w:numPr>
          <w:ilvl w:val="0"/>
          <w:numId w:val="21"/>
        </w:numPr>
        <w:spacing w:line="360" w:lineRule="auto"/>
        <w:ind w:firstLine="482" w:firstLineChars="200"/>
        <w:jc w:val="left"/>
        <w:outlineLvl w:val="2"/>
        <w:rPr>
          <w:rFonts w:hint="eastAsia" w:ascii="宋体" w:hAnsi="宋体" w:cs="宋体"/>
          <w:b/>
        </w:rPr>
      </w:pPr>
      <w:r>
        <w:rPr>
          <w:rFonts w:hint="eastAsia" w:ascii="宋体" w:hAnsi="宋体" w:cs="宋体"/>
          <w:b/>
        </w:rPr>
        <w:t>托管人</w:t>
      </w:r>
    </w:p>
    <w:tbl>
      <w:tblPr>
        <w:tblStyle w:val="11"/>
        <w:tblW w:w="8263" w:type="dxa"/>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0"/>
        <w:gridCol w:w="62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30" w:type="dxa"/>
            <w:noWrap w:val="0"/>
            <w:vAlign w:val="center"/>
          </w:tcPr>
          <w:p>
            <w:pPr>
              <w:spacing w:line="360" w:lineRule="auto"/>
              <w:jc w:val="center"/>
              <w:rPr>
                <w:rFonts w:ascii="宋体" w:hAnsi="宋体" w:cs="宋体"/>
                <w:bCs/>
                <w:sz w:val="21"/>
                <w:szCs w:val="21"/>
              </w:rPr>
            </w:pPr>
            <w:r>
              <w:rPr>
                <w:rFonts w:hint="eastAsia" w:ascii="宋体" w:hAnsi="宋体" w:cs="宋体"/>
                <w:bCs/>
                <w:sz w:val="21"/>
                <w:szCs w:val="21"/>
              </w:rPr>
              <w:t>托管人名称</w:t>
            </w:r>
          </w:p>
        </w:tc>
        <w:tc>
          <w:tcPr>
            <w:tcW w:w="6233" w:type="dxa"/>
            <w:noWrap w:val="0"/>
            <w:vAlign w:val="top"/>
          </w:tcPr>
          <w:p>
            <w:pPr>
              <w:spacing w:line="360" w:lineRule="auto"/>
              <w:jc w:val="left"/>
              <w:rPr>
                <w:rFonts w:ascii="宋体" w:hAnsi="宋体" w:cs="宋体"/>
                <w:bCs/>
                <w:sz w:val="21"/>
                <w:szCs w:val="21"/>
              </w:rPr>
            </w:pPr>
            <w:r>
              <w:rPr>
                <w:rFonts w:hint="eastAsia" w:ascii="宋体" w:hAnsi="宋体" w:cs="宋体"/>
                <w:bCs/>
                <w:sz w:val="21"/>
                <w:szCs w:val="21"/>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30" w:type="dxa"/>
            <w:noWrap w:val="0"/>
            <w:vAlign w:val="center"/>
          </w:tcPr>
          <w:p>
            <w:pPr>
              <w:spacing w:line="360" w:lineRule="auto"/>
              <w:jc w:val="center"/>
              <w:rPr>
                <w:rFonts w:ascii="宋体" w:hAnsi="宋体" w:cs="宋体"/>
                <w:bCs/>
                <w:sz w:val="21"/>
                <w:szCs w:val="21"/>
              </w:rPr>
            </w:pPr>
            <w:r>
              <w:rPr>
                <w:rFonts w:hint="eastAsia" w:ascii="宋体" w:hAnsi="宋体" w:cs="宋体"/>
                <w:bCs/>
                <w:sz w:val="21"/>
                <w:szCs w:val="21"/>
              </w:rPr>
              <w:t>托管人住所</w:t>
            </w:r>
          </w:p>
        </w:tc>
        <w:tc>
          <w:tcPr>
            <w:tcW w:w="6233" w:type="dxa"/>
            <w:noWrap w:val="0"/>
            <w:vAlign w:val="top"/>
          </w:tcPr>
          <w:p>
            <w:pPr>
              <w:spacing w:line="360" w:lineRule="auto"/>
              <w:jc w:val="left"/>
              <w:rPr>
                <w:rFonts w:hint="eastAsia" w:ascii="宋体" w:hAnsi="宋体" w:eastAsia="宋体" w:cs="宋体"/>
                <w:bCs/>
                <w:sz w:val="21"/>
                <w:szCs w:val="21"/>
                <w:lang w:eastAsia="zh-CN"/>
              </w:rPr>
            </w:pPr>
            <w:r>
              <w:rPr>
                <w:rFonts w:hint="eastAsia" w:ascii="宋体" w:hAnsi="宋体" w:cs="宋体"/>
                <w:bCs/>
                <w:sz w:val="21"/>
                <w:szCs w:val="21"/>
                <w:lang w:eastAsia="zh-CN"/>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30" w:type="dxa"/>
            <w:noWrap w:val="0"/>
            <w:vAlign w:val="center"/>
          </w:tcPr>
          <w:p>
            <w:pPr>
              <w:spacing w:line="360" w:lineRule="auto"/>
              <w:jc w:val="center"/>
              <w:rPr>
                <w:rFonts w:ascii="宋体" w:hAnsi="宋体" w:cs="宋体"/>
                <w:bCs/>
                <w:sz w:val="21"/>
                <w:szCs w:val="21"/>
              </w:rPr>
            </w:pPr>
            <w:r>
              <w:rPr>
                <w:rFonts w:hint="eastAsia" w:ascii="宋体" w:hAnsi="宋体" w:cs="宋体"/>
                <w:bCs/>
                <w:sz w:val="21"/>
                <w:szCs w:val="21"/>
              </w:rPr>
              <w:t>托管人职责</w:t>
            </w:r>
          </w:p>
        </w:tc>
        <w:tc>
          <w:tcPr>
            <w:tcW w:w="6233" w:type="dxa"/>
            <w:noWrap w:val="0"/>
            <w:vAlign w:val="top"/>
          </w:tcPr>
          <w:p>
            <w:pPr>
              <w:spacing w:line="360" w:lineRule="auto"/>
              <w:jc w:val="left"/>
              <w:rPr>
                <w:rFonts w:hint="eastAsia" w:ascii="宋体" w:hAnsi="宋体" w:cs="宋体"/>
                <w:bCs/>
                <w:sz w:val="21"/>
                <w:szCs w:val="21"/>
              </w:rPr>
            </w:pPr>
            <w:r>
              <w:rPr>
                <w:rFonts w:hint="eastAsia" w:ascii="宋体" w:hAnsi="宋体" w:cs="宋体"/>
                <w:bCs/>
                <w:sz w:val="21"/>
                <w:szCs w:val="21"/>
              </w:rPr>
              <w:t>主要提供包括账户开立、资金保管、资金结算、估值核对等理财产品托管服务。</w:t>
            </w:r>
          </w:p>
        </w:tc>
      </w:tr>
    </w:tbl>
    <w:p>
      <w:pPr>
        <w:numPr>
          <w:ilvl w:val="0"/>
          <w:numId w:val="22"/>
        </w:numPr>
        <w:spacing w:line="360" w:lineRule="auto"/>
        <w:ind w:firstLine="482" w:firstLineChars="200"/>
        <w:jc w:val="left"/>
        <w:outlineLvl w:val="2"/>
        <w:rPr>
          <w:rFonts w:hint="eastAsia" w:ascii="宋体" w:hAnsi="宋体" w:cs="宋体"/>
          <w:b/>
        </w:rPr>
      </w:pPr>
      <w:r>
        <w:rPr>
          <w:rFonts w:hint="eastAsia" w:ascii="宋体" w:hAnsi="宋体" w:cs="宋体"/>
          <w:b/>
        </w:rPr>
        <w:t>销售机构</w:t>
      </w:r>
    </w:p>
    <w:tbl>
      <w:tblPr>
        <w:tblStyle w:val="11"/>
        <w:tblW w:w="8265" w:type="dxa"/>
        <w:tblInd w:w="0" w:type="dxa"/>
        <w:tblLayout w:type="fixed"/>
        <w:tblCellMar>
          <w:top w:w="0" w:type="dxa"/>
          <w:left w:w="0" w:type="dxa"/>
          <w:bottom w:w="0" w:type="dxa"/>
          <w:right w:w="0" w:type="dxa"/>
        </w:tblCellMar>
      </w:tblPr>
      <w:tblGrid>
        <w:gridCol w:w="1071"/>
        <w:gridCol w:w="2175"/>
        <w:gridCol w:w="1179"/>
        <w:gridCol w:w="3840"/>
      </w:tblGrid>
      <w:tr>
        <w:tblPrEx>
          <w:tblLayout w:type="fixed"/>
          <w:tblCellMar>
            <w:top w:w="0" w:type="dxa"/>
            <w:left w:w="0" w:type="dxa"/>
            <w:bottom w:w="0" w:type="dxa"/>
            <w:right w:w="0" w:type="dxa"/>
          </w:tblCellMar>
        </w:tblPrEx>
        <w:trPr>
          <w:trHeight w:val="570" w:hRule="atLeast"/>
        </w:trPr>
        <w:tc>
          <w:tcPr>
            <w:tcW w:w="1071" w:type="dxa"/>
            <w:vMerge w:val="restart"/>
            <w:tcBorders>
              <w:top w:val="single" w:color="auto" w:sz="4" w:space="0"/>
              <w:left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kern w:val="0"/>
                <w:sz w:val="21"/>
                <w:szCs w:val="21"/>
                <w:lang w:bidi="ar"/>
              </w:rPr>
            </w:pPr>
          </w:p>
          <w:p>
            <w:pPr>
              <w:widowControl/>
              <w:spacing w:line="360" w:lineRule="auto"/>
              <w:jc w:val="center"/>
              <w:textAlignment w:val="center"/>
              <w:rPr>
                <w:rFonts w:hint="eastAsia" w:ascii="宋体" w:hAnsi="宋体" w:eastAsia="宋体" w:cs="宋体"/>
                <w:color w:val="000000"/>
                <w:kern w:val="0"/>
                <w:sz w:val="21"/>
                <w:szCs w:val="21"/>
                <w:lang w:bidi="ar"/>
              </w:rPr>
            </w:pPr>
          </w:p>
          <w:p>
            <w:pPr>
              <w:widowControl/>
              <w:spacing w:line="360" w:lineRule="auto"/>
              <w:jc w:val="center"/>
              <w:textAlignment w:val="center"/>
              <w:rPr>
                <w:rFonts w:hint="eastAsia" w:ascii="宋体" w:hAnsi="宋体" w:eastAsia="宋体" w:cs="宋体"/>
                <w:color w:val="000000"/>
                <w:kern w:val="0"/>
                <w:sz w:val="21"/>
                <w:szCs w:val="21"/>
                <w:lang w:bidi="ar"/>
              </w:rPr>
            </w:pPr>
          </w:p>
          <w:p>
            <w:pPr>
              <w:widowControl/>
              <w:spacing w:line="360" w:lineRule="auto"/>
              <w:jc w:val="center"/>
              <w:textAlignment w:val="center"/>
              <w:rPr>
                <w:rFonts w:hint="eastAsia" w:ascii="宋体" w:hAnsi="宋体" w:eastAsia="宋体" w:cs="宋体"/>
                <w:color w:val="000000"/>
                <w:kern w:val="0"/>
                <w:sz w:val="21"/>
                <w:szCs w:val="21"/>
                <w:lang w:bidi="ar"/>
              </w:rPr>
            </w:pPr>
          </w:p>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销售机构信息</w:t>
            </w:r>
          </w:p>
        </w:tc>
        <w:tc>
          <w:tcPr>
            <w:tcW w:w="2175"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杭州银行股份有限公司</w:t>
            </w: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lang w:eastAsia="zh-CN"/>
              </w:rPr>
            </w:pPr>
            <w:r>
              <w:rPr>
                <w:rFonts w:hint="eastAsia" w:ascii="宋体" w:hAnsi="宋体" w:eastAsia="宋体" w:cs="宋体"/>
                <w:color w:val="000000"/>
                <w:kern w:val="0"/>
                <w:sz w:val="21"/>
                <w:szCs w:val="21"/>
                <w:lang w:eastAsia="zh-CN" w:bidi="ar"/>
              </w:rPr>
              <w:t>浙江省杭州市上城区解放东路168号</w:t>
            </w:r>
          </w:p>
        </w:tc>
      </w:tr>
      <w:tr>
        <w:tblPrEx>
          <w:tblLayout w:type="fixed"/>
          <w:tblCellMar>
            <w:top w:w="0" w:type="dxa"/>
            <w:left w:w="0" w:type="dxa"/>
            <w:bottom w:w="0" w:type="dxa"/>
            <w:right w:w="0" w:type="dxa"/>
          </w:tblCellMar>
        </w:tblPrEx>
        <w:trPr>
          <w:trHeight w:val="285"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95398</w:t>
            </w:r>
          </w:p>
        </w:tc>
      </w:tr>
      <w:tr>
        <w:tblPrEx>
          <w:tblLayout w:type="fixed"/>
          <w:tblCellMar>
            <w:top w:w="0" w:type="dxa"/>
            <w:left w:w="0" w:type="dxa"/>
            <w:bottom w:w="0" w:type="dxa"/>
            <w:right w:w="0" w:type="dxa"/>
          </w:tblCellMar>
        </w:tblPrEx>
        <w:trPr>
          <w:trHeight w:val="29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兴业银行股份有限公司</w:t>
            </w: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上海市浦东新区银城路 167 号</w:t>
            </w:r>
          </w:p>
        </w:tc>
      </w:tr>
      <w:tr>
        <w:tblPrEx>
          <w:tblLayout w:type="fixed"/>
          <w:tblCellMar>
            <w:top w:w="0" w:type="dxa"/>
            <w:left w:w="0" w:type="dxa"/>
            <w:bottom w:w="0" w:type="dxa"/>
            <w:right w:w="0" w:type="dxa"/>
          </w:tblCellMar>
        </w:tblPrEx>
        <w:trPr>
          <w:trHeight w:val="285"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95561</w:t>
            </w:r>
          </w:p>
        </w:tc>
      </w:tr>
      <w:tr>
        <w:tblPrEx>
          <w:tblLayout w:type="fixed"/>
          <w:tblCellMar>
            <w:top w:w="0" w:type="dxa"/>
            <w:left w:w="0" w:type="dxa"/>
            <w:bottom w:w="0" w:type="dxa"/>
            <w:right w:w="0" w:type="dxa"/>
          </w:tblCellMar>
        </w:tblPrEx>
        <w:trPr>
          <w:trHeight w:val="29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江苏银行股份有限公司</w:t>
            </w: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江苏省南京市中华路26号</w:t>
            </w:r>
          </w:p>
        </w:tc>
      </w:tr>
      <w:tr>
        <w:tblPrEx>
          <w:tblLayout w:type="fixed"/>
          <w:tblCellMar>
            <w:top w:w="0" w:type="dxa"/>
            <w:left w:w="0" w:type="dxa"/>
            <w:bottom w:w="0" w:type="dxa"/>
            <w:right w:w="0" w:type="dxa"/>
          </w:tblCellMar>
        </w:tblPrEx>
        <w:trPr>
          <w:trHeight w:val="285"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95319</w:t>
            </w:r>
          </w:p>
        </w:tc>
      </w:tr>
      <w:tr>
        <w:tblPrEx>
          <w:tblLayout w:type="fixed"/>
          <w:tblCellMar>
            <w:top w:w="0" w:type="dxa"/>
            <w:left w:w="0" w:type="dxa"/>
            <w:bottom w:w="0" w:type="dxa"/>
            <w:right w:w="0" w:type="dxa"/>
          </w:tblCellMar>
        </w:tblPrEx>
        <w:trPr>
          <w:trHeight w:val="29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厦门银行股份有限公司</w:t>
            </w: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厦门市思明区湖滨北路101号商业银行大厦</w:t>
            </w:r>
          </w:p>
        </w:tc>
      </w:tr>
      <w:tr>
        <w:tblPrEx>
          <w:tblLayout w:type="fixed"/>
          <w:tblCellMar>
            <w:top w:w="0" w:type="dxa"/>
            <w:left w:w="0" w:type="dxa"/>
            <w:bottom w:w="0" w:type="dxa"/>
            <w:right w:w="0" w:type="dxa"/>
          </w:tblCellMar>
        </w:tblPrEx>
        <w:trPr>
          <w:trHeight w:val="285"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400-858-8888</w:t>
            </w:r>
          </w:p>
        </w:tc>
      </w:tr>
      <w:tr>
        <w:tblPrEx>
          <w:tblLayout w:type="fixed"/>
          <w:tblCellMar>
            <w:top w:w="0" w:type="dxa"/>
            <w:left w:w="0" w:type="dxa"/>
            <w:bottom w:w="0" w:type="dxa"/>
            <w:right w:w="0" w:type="dxa"/>
          </w:tblCellMar>
        </w:tblPrEx>
        <w:trPr>
          <w:trHeight w:val="29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厦门国际银行股份有限公司</w:t>
            </w: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厦门市思明区鹭江道8-10号国际银行大厦1-6层</w:t>
            </w:r>
          </w:p>
        </w:tc>
      </w:tr>
      <w:tr>
        <w:tblPrEx>
          <w:tblLayout w:type="fixed"/>
          <w:tblCellMar>
            <w:top w:w="0" w:type="dxa"/>
            <w:left w:w="0" w:type="dxa"/>
            <w:bottom w:w="0" w:type="dxa"/>
            <w:right w:w="0" w:type="dxa"/>
          </w:tblCellMar>
        </w:tblPrEx>
        <w:trPr>
          <w:trHeight w:val="285"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400-1623-623</w:t>
            </w:r>
          </w:p>
        </w:tc>
      </w:tr>
      <w:tr>
        <w:tblPrEx>
          <w:tblLayout w:type="fixed"/>
          <w:tblCellMar>
            <w:top w:w="0" w:type="dxa"/>
            <w:left w:w="0" w:type="dxa"/>
            <w:bottom w:w="0" w:type="dxa"/>
            <w:right w:w="0" w:type="dxa"/>
          </w:tblCellMar>
        </w:tblPrEx>
        <w:trPr>
          <w:trHeight w:val="56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富邦华一银行有限公司</w:t>
            </w: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中国(上海)自由贸易试验区世纪大道1168号A座101室、18楼、19楼及20楼</w:t>
            </w:r>
          </w:p>
        </w:tc>
      </w:tr>
      <w:tr>
        <w:tblPrEx>
          <w:tblLayout w:type="fixed"/>
          <w:tblCellMar>
            <w:top w:w="0" w:type="dxa"/>
            <w:left w:w="0" w:type="dxa"/>
            <w:bottom w:w="0" w:type="dxa"/>
            <w:right w:w="0" w:type="dxa"/>
          </w:tblCellMar>
        </w:tblPrEx>
        <w:trPr>
          <w:trHeight w:val="285"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8621—962811</w:t>
            </w:r>
          </w:p>
        </w:tc>
      </w:tr>
      <w:tr>
        <w:tblPrEx>
          <w:tblLayout w:type="fixed"/>
          <w:tblCellMar>
            <w:top w:w="0" w:type="dxa"/>
            <w:left w:w="0" w:type="dxa"/>
            <w:bottom w:w="0" w:type="dxa"/>
            <w:right w:w="0" w:type="dxa"/>
          </w:tblCellMar>
        </w:tblPrEx>
        <w:trPr>
          <w:trHeight w:val="29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宁波鄞州农村商业银行股份有限公司</w:t>
            </w: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浙江省宁波市鄞州区民惠西路88号</w:t>
            </w:r>
          </w:p>
        </w:tc>
      </w:tr>
      <w:tr>
        <w:tblPrEx>
          <w:tblLayout w:type="fixed"/>
          <w:tblCellMar>
            <w:top w:w="0" w:type="dxa"/>
            <w:left w:w="0" w:type="dxa"/>
            <w:bottom w:w="0" w:type="dxa"/>
            <w:right w:w="0" w:type="dxa"/>
          </w:tblCellMar>
        </w:tblPrEx>
        <w:trPr>
          <w:trHeight w:val="285"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956058</w:t>
            </w:r>
          </w:p>
        </w:tc>
      </w:tr>
      <w:tr>
        <w:tblPrEx>
          <w:tblLayout w:type="fixed"/>
          <w:tblCellMar>
            <w:top w:w="0" w:type="dxa"/>
            <w:left w:w="0" w:type="dxa"/>
            <w:bottom w:w="0" w:type="dxa"/>
            <w:right w:w="0" w:type="dxa"/>
          </w:tblCellMar>
        </w:tblPrEx>
        <w:trPr>
          <w:trHeight w:val="29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深圳前海微众银行股份有限公司</w:t>
            </w: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广东省深圳市南山区沙河西路1819号深圳湾科技生态园7栋A座</w:t>
            </w:r>
          </w:p>
        </w:tc>
      </w:tr>
      <w:tr>
        <w:tblPrEx>
          <w:tblLayout w:type="fixed"/>
          <w:tblCellMar>
            <w:top w:w="0" w:type="dxa"/>
            <w:left w:w="0" w:type="dxa"/>
            <w:bottom w:w="0" w:type="dxa"/>
            <w:right w:w="0" w:type="dxa"/>
          </w:tblCellMar>
        </w:tblPrEx>
        <w:trPr>
          <w:trHeight w:val="285"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95384</w:t>
            </w:r>
          </w:p>
        </w:tc>
      </w:tr>
      <w:tr>
        <w:tblPrEx>
          <w:tblLayout w:type="fixed"/>
          <w:tblCellMar>
            <w:top w:w="0" w:type="dxa"/>
            <w:left w:w="0" w:type="dxa"/>
            <w:bottom w:w="0" w:type="dxa"/>
            <w:right w:w="0" w:type="dxa"/>
          </w:tblCellMar>
        </w:tblPrEx>
        <w:trPr>
          <w:trHeight w:val="56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吉林亿联银行股份有限公司</w:t>
            </w: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吉林省长春市南关区人民大街10606号东北亚国际金融中心一期北楼</w:t>
            </w:r>
          </w:p>
        </w:tc>
      </w:tr>
      <w:tr>
        <w:tblPrEx>
          <w:tblLayout w:type="fixed"/>
          <w:tblCellMar>
            <w:top w:w="0" w:type="dxa"/>
            <w:left w:w="0" w:type="dxa"/>
            <w:bottom w:w="0" w:type="dxa"/>
            <w:right w:w="0" w:type="dxa"/>
          </w:tblCellMar>
        </w:tblPrEx>
        <w:trPr>
          <w:trHeight w:val="285"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default" w:ascii="宋体" w:hAnsi="宋体" w:eastAsia="宋体" w:cs="宋体"/>
                <w:color w:val="000000"/>
                <w:sz w:val="21"/>
                <w:szCs w:val="21"/>
                <w:lang w:val="en-US" w:eastAsia="zh-CN"/>
              </w:rPr>
            </w:pPr>
            <w:r>
              <w:rPr>
                <w:rFonts w:hint="eastAsia" w:ascii="宋体" w:hAnsi="宋体" w:eastAsia="宋体" w:cs="宋体"/>
                <w:color w:val="000000"/>
                <w:kern w:val="0"/>
                <w:sz w:val="21"/>
                <w:szCs w:val="21"/>
                <w:lang w:bidi="ar"/>
              </w:rPr>
              <w:t>9</w:t>
            </w:r>
            <w:r>
              <w:rPr>
                <w:rFonts w:hint="eastAsia" w:ascii="宋体" w:hAnsi="宋体" w:eastAsia="宋体" w:cs="宋体"/>
                <w:color w:val="000000"/>
                <w:kern w:val="0"/>
                <w:sz w:val="21"/>
                <w:szCs w:val="21"/>
                <w:lang w:val="en-US" w:eastAsia="zh-CN" w:bidi="ar"/>
              </w:rPr>
              <w:t>5396</w:t>
            </w:r>
          </w:p>
        </w:tc>
      </w:tr>
      <w:tr>
        <w:tblPrEx>
          <w:tblLayout w:type="fixed"/>
          <w:tblCellMar>
            <w:top w:w="0" w:type="dxa"/>
            <w:left w:w="0" w:type="dxa"/>
            <w:bottom w:w="0" w:type="dxa"/>
            <w:right w:w="0" w:type="dxa"/>
          </w:tblCellMar>
        </w:tblPrEx>
        <w:trPr>
          <w:trHeight w:val="29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重庆富民银行股份有限公司</w:t>
            </w: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重庆市渝北区财富东路2号涉外商务区一期B1栋</w:t>
            </w:r>
          </w:p>
        </w:tc>
      </w:tr>
      <w:tr>
        <w:tblPrEx>
          <w:tblLayout w:type="fixed"/>
          <w:tblCellMar>
            <w:top w:w="0" w:type="dxa"/>
            <w:left w:w="0" w:type="dxa"/>
            <w:bottom w:w="0" w:type="dxa"/>
            <w:right w:w="0" w:type="dxa"/>
          </w:tblCellMar>
        </w:tblPrEx>
        <w:trPr>
          <w:trHeight w:val="285"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4008－108－999</w:t>
            </w:r>
          </w:p>
        </w:tc>
      </w:tr>
      <w:tr>
        <w:tblPrEx>
          <w:tblLayout w:type="fixed"/>
          <w:tblCellMar>
            <w:top w:w="0" w:type="dxa"/>
            <w:left w:w="0" w:type="dxa"/>
            <w:bottom w:w="0" w:type="dxa"/>
            <w:right w:w="0" w:type="dxa"/>
          </w:tblCellMar>
        </w:tblPrEx>
        <w:trPr>
          <w:trHeight w:val="29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中信百信银行股份有限公司</w:t>
            </w: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北京市朝阳区安定路5号院3号楼8层</w:t>
            </w:r>
          </w:p>
        </w:tc>
      </w:tr>
      <w:tr>
        <w:tblPrEx>
          <w:tblLayout w:type="fixed"/>
          <w:tblCellMar>
            <w:top w:w="0" w:type="dxa"/>
            <w:left w:w="0" w:type="dxa"/>
            <w:bottom w:w="0" w:type="dxa"/>
            <w:right w:w="0" w:type="dxa"/>
          </w:tblCellMar>
        </w:tblPrEx>
        <w:trPr>
          <w:trHeight w:val="285"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default" w:ascii="宋体" w:hAnsi="宋体" w:eastAsia="宋体" w:cs="宋体"/>
                <w:color w:val="000000"/>
                <w:sz w:val="21"/>
                <w:szCs w:val="21"/>
                <w:lang w:val="en-US" w:eastAsia="zh-CN"/>
              </w:rPr>
            </w:pPr>
            <w:r>
              <w:rPr>
                <w:rFonts w:hint="eastAsia" w:ascii="宋体" w:hAnsi="宋体" w:eastAsia="宋体" w:cs="宋体"/>
                <w:color w:val="000000"/>
                <w:kern w:val="0"/>
                <w:sz w:val="21"/>
                <w:szCs w:val="21"/>
                <w:lang w:val="en-US" w:eastAsia="zh-CN" w:bidi="ar"/>
              </w:rPr>
              <w:t>956</w:t>
            </w:r>
            <w:r>
              <w:rPr>
                <w:rFonts w:hint="eastAsia" w:ascii="宋体" w:hAnsi="宋体" w:eastAsia="宋体" w:cs="宋体"/>
                <w:color w:val="000000"/>
                <w:kern w:val="0"/>
                <w:sz w:val="21"/>
                <w:szCs w:val="21"/>
                <w:lang w:bidi="ar"/>
              </w:rPr>
              <w:t>1</w:t>
            </w:r>
            <w:r>
              <w:rPr>
                <w:rFonts w:hint="eastAsia" w:ascii="宋体" w:hAnsi="宋体" w:eastAsia="宋体" w:cs="宋体"/>
                <w:color w:val="000000"/>
                <w:kern w:val="0"/>
                <w:sz w:val="21"/>
                <w:szCs w:val="21"/>
                <w:lang w:val="en-US" w:eastAsia="zh-CN" w:bidi="ar"/>
              </w:rPr>
              <w:t>86</w:t>
            </w:r>
          </w:p>
        </w:tc>
      </w:tr>
      <w:tr>
        <w:tblPrEx>
          <w:tblLayout w:type="fixed"/>
          <w:tblCellMar>
            <w:top w:w="0" w:type="dxa"/>
            <w:left w:w="0" w:type="dxa"/>
            <w:bottom w:w="0" w:type="dxa"/>
            <w:right w:w="0" w:type="dxa"/>
          </w:tblCellMar>
        </w:tblPrEx>
        <w:trPr>
          <w:trHeight w:val="56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cs="宋体"/>
                <w:color w:val="000000"/>
                <w:kern w:val="0"/>
                <w:sz w:val="21"/>
                <w:szCs w:val="21"/>
                <w:lang w:bidi="ar"/>
              </w:rPr>
              <w:t>江苏苏</w:t>
            </w:r>
            <w:r>
              <w:rPr>
                <w:rFonts w:hint="eastAsia" w:ascii="宋体" w:hAnsi="宋体" w:cs="宋体"/>
                <w:color w:val="000000"/>
                <w:kern w:val="0"/>
                <w:sz w:val="21"/>
                <w:szCs w:val="21"/>
                <w:lang w:val="en-US" w:eastAsia="zh-CN" w:bidi="ar"/>
              </w:rPr>
              <w:t>商</w:t>
            </w:r>
            <w:r>
              <w:rPr>
                <w:rFonts w:hint="eastAsia" w:ascii="宋体" w:hAnsi="宋体" w:cs="宋体"/>
                <w:color w:val="000000"/>
                <w:kern w:val="0"/>
                <w:sz w:val="21"/>
                <w:szCs w:val="21"/>
                <w:lang w:bidi="ar"/>
              </w:rPr>
              <w:t>银行股份有限公司</w:t>
            </w: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cs="宋体"/>
                <w:color w:val="000000"/>
                <w:kern w:val="0"/>
                <w:sz w:val="21"/>
                <w:szCs w:val="21"/>
                <w:lang w:bidi="ar"/>
              </w:rPr>
              <w:t>南京市建邺区庐山路248号4号楼7、8、9、27、28、29层，4号楼裙楼第1、2层</w:t>
            </w:r>
          </w:p>
        </w:tc>
      </w:tr>
      <w:tr>
        <w:tblPrEx>
          <w:tblLayout w:type="fixed"/>
          <w:tblCellMar>
            <w:top w:w="0" w:type="dxa"/>
            <w:left w:w="0" w:type="dxa"/>
            <w:bottom w:w="0" w:type="dxa"/>
            <w:right w:w="0" w:type="dxa"/>
          </w:tblCellMar>
        </w:tblPrEx>
        <w:trPr>
          <w:trHeight w:val="285"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cs="宋体"/>
                <w:color w:val="000000"/>
                <w:kern w:val="0"/>
                <w:sz w:val="21"/>
                <w:szCs w:val="21"/>
                <w:lang w:bidi="ar"/>
              </w:rPr>
              <w:t>95</w:t>
            </w:r>
            <w:r>
              <w:rPr>
                <w:rFonts w:hint="eastAsia" w:ascii="宋体" w:hAnsi="宋体" w:cs="宋体"/>
                <w:color w:val="000000"/>
                <w:kern w:val="0"/>
                <w:sz w:val="21"/>
                <w:szCs w:val="21"/>
                <w:lang w:val="en-US" w:eastAsia="zh-CN" w:bidi="ar"/>
              </w:rPr>
              <w:t>6101</w:t>
            </w:r>
          </w:p>
        </w:tc>
      </w:tr>
      <w:tr>
        <w:tblPrEx>
          <w:tblLayout w:type="fixed"/>
          <w:tblCellMar>
            <w:top w:w="0" w:type="dxa"/>
            <w:left w:w="0" w:type="dxa"/>
            <w:bottom w:w="0" w:type="dxa"/>
            <w:right w:w="0" w:type="dxa"/>
          </w:tblCellMar>
        </w:tblPrEx>
        <w:trPr>
          <w:trHeight w:val="29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石嘴山银行股份有限公司</w:t>
            </w: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宁夏回族自治区石嘴山市大武口区朝阳西街39号</w:t>
            </w:r>
          </w:p>
        </w:tc>
      </w:tr>
      <w:tr>
        <w:tblPrEx>
          <w:tblLayout w:type="fixed"/>
          <w:tblCellMar>
            <w:top w:w="0" w:type="dxa"/>
            <w:left w:w="0" w:type="dxa"/>
            <w:bottom w:w="0" w:type="dxa"/>
            <w:right w:w="0" w:type="dxa"/>
          </w:tblCellMar>
        </w:tblPrEx>
        <w:trPr>
          <w:trHeight w:val="285"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0951-96789</w:t>
            </w:r>
          </w:p>
        </w:tc>
      </w:tr>
      <w:tr>
        <w:tblPrEx>
          <w:tblLayout w:type="fixed"/>
          <w:tblCellMar>
            <w:top w:w="0" w:type="dxa"/>
            <w:left w:w="0" w:type="dxa"/>
            <w:bottom w:w="0" w:type="dxa"/>
            <w:right w:w="0" w:type="dxa"/>
          </w:tblCellMar>
        </w:tblPrEx>
        <w:trPr>
          <w:trHeight w:val="29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中信银行股份有限公司</w:t>
            </w: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北京市朝阳区光华路10号院1号楼6-30层、32-42层</w:t>
            </w:r>
          </w:p>
        </w:tc>
      </w:tr>
      <w:tr>
        <w:tblPrEx>
          <w:tblLayout w:type="fixed"/>
          <w:tblCellMar>
            <w:top w:w="0" w:type="dxa"/>
            <w:left w:w="0" w:type="dxa"/>
            <w:bottom w:w="0" w:type="dxa"/>
            <w:right w:w="0" w:type="dxa"/>
          </w:tblCellMar>
        </w:tblPrEx>
        <w:trPr>
          <w:trHeight w:val="285"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95558</w:t>
            </w:r>
          </w:p>
        </w:tc>
      </w:tr>
      <w:tr>
        <w:tblPrEx>
          <w:tblLayout w:type="fixed"/>
          <w:tblCellMar>
            <w:top w:w="0" w:type="dxa"/>
            <w:left w:w="0" w:type="dxa"/>
            <w:bottom w:w="0" w:type="dxa"/>
            <w:right w:w="0" w:type="dxa"/>
          </w:tblCellMar>
        </w:tblPrEx>
        <w:trPr>
          <w:trHeight w:val="29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齐鲁银行股份有限公司</w:t>
            </w: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山东省济南市历下区经十路10817号</w:t>
            </w:r>
          </w:p>
        </w:tc>
      </w:tr>
      <w:tr>
        <w:tblPrEx>
          <w:tblLayout w:type="fixed"/>
          <w:tblCellMar>
            <w:top w:w="0" w:type="dxa"/>
            <w:left w:w="0" w:type="dxa"/>
            <w:bottom w:w="0" w:type="dxa"/>
            <w:right w:w="0" w:type="dxa"/>
          </w:tblCellMar>
        </w:tblPrEx>
        <w:trPr>
          <w:trHeight w:val="285"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400-609-6588</w:t>
            </w:r>
          </w:p>
        </w:tc>
      </w:tr>
      <w:tr>
        <w:tblPrEx>
          <w:tblLayout w:type="fixed"/>
          <w:tblCellMar>
            <w:top w:w="0" w:type="dxa"/>
            <w:left w:w="0" w:type="dxa"/>
            <w:bottom w:w="0" w:type="dxa"/>
            <w:right w:w="0" w:type="dxa"/>
          </w:tblCellMar>
        </w:tblPrEx>
        <w:trPr>
          <w:trHeight w:val="285"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restart"/>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苏州银行股份有限公司</w:t>
            </w: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江苏省苏州工业园区钟园路728号</w:t>
            </w:r>
          </w:p>
        </w:tc>
      </w:tr>
      <w:tr>
        <w:tblPrEx>
          <w:tblLayout w:type="fixed"/>
          <w:tblCellMar>
            <w:top w:w="0" w:type="dxa"/>
            <w:left w:w="0" w:type="dxa"/>
            <w:bottom w:w="0" w:type="dxa"/>
            <w:right w:w="0" w:type="dxa"/>
          </w:tblCellMar>
        </w:tblPrEx>
        <w:trPr>
          <w:trHeight w:val="285"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continue"/>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96067</w:t>
            </w:r>
          </w:p>
        </w:tc>
      </w:tr>
      <w:tr>
        <w:tblPrEx>
          <w:tblLayout w:type="fixed"/>
          <w:tblCellMar>
            <w:top w:w="0" w:type="dxa"/>
            <w:left w:w="0" w:type="dxa"/>
            <w:bottom w:w="0" w:type="dxa"/>
            <w:right w:w="0" w:type="dxa"/>
          </w:tblCellMar>
        </w:tblPrEx>
        <w:trPr>
          <w:trHeight w:val="285"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restart"/>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日照银行股份有限公司</w:t>
            </w: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山东省日照市烟台路197号</w:t>
            </w:r>
          </w:p>
        </w:tc>
      </w:tr>
      <w:tr>
        <w:tblPrEx>
          <w:tblLayout w:type="fixed"/>
          <w:tblCellMar>
            <w:top w:w="0" w:type="dxa"/>
            <w:left w:w="0" w:type="dxa"/>
            <w:bottom w:w="0" w:type="dxa"/>
            <w:right w:w="0" w:type="dxa"/>
          </w:tblCellMar>
        </w:tblPrEx>
        <w:trPr>
          <w:trHeight w:val="285"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continue"/>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1179"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400-68-96588</w:t>
            </w:r>
          </w:p>
        </w:tc>
      </w:tr>
      <w:tr>
        <w:tblPrEx>
          <w:tblLayout w:type="fixed"/>
          <w:tblCellMar>
            <w:top w:w="0" w:type="dxa"/>
            <w:left w:w="0" w:type="dxa"/>
            <w:bottom w:w="0" w:type="dxa"/>
            <w:right w:w="0" w:type="dxa"/>
          </w:tblCellMar>
        </w:tblPrEx>
        <w:trPr>
          <w:trHeight w:val="57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广东南粤银行股份有限公司</w:t>
            </w:r>
          </w:p>
        </w:tc>
        <w:tc>
          <w:tcPr>
            <w:tcW w:w="1179"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湛江经济技术开发区乐山路27号财富汇金融中心1层01、02号商铺、2层01号商铺、3层01号商铺、39-45层办公室</w:t>
            </w:r>
          </w:p>
        </w:tc>
      </w:tr>
      <w:tr>
        <w:tblPrEx>
          <w:tblLayout w:type="fixed"/>
          <w:tblCellMar>
            <w:top w:w="0" w:type="dxa"/>
            <w:left w:w="0" w:type="dxa"/>
            <w:bottom w:w="0" w:type="dxa"/>
            <w:right w:w="0" w:type="dxa"/>
          </w:tblCellMar>
        </w:tblPrEx>
        <w:trPr>
          <w:trHeight w:val="285"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1179"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4000-961818</w:t>
            </w:r>
          </w:p>
        </w:tc>
      </w:tr>
      <w:tr>
        <w:tblPrEx>
          <w:tblLayout w:type="fixed"/>
          <w:tblCellMar>
            <w:top w:w="0" w:type="dxa"/>
            <w:left w:w="0" w:type="dxa"/>
            <w:bottom w:w="0" w:type="dxa"/>
            <w:right w:w="0" w:type="dxa"/>
          </w:tblCellMar>
        </w:tblPrEx>
        <w:trPr>
          <w:trHeight w:val="285"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东莞银行股份有限公司</w:t>
            </w:r>
          </w:p>
        </w:tc>
        <w:tc>
          <w:tcPr>
            <w:tcW w:w="1179"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东莞市莞城区体育路21号</w:t>
            </w:r>
          </w:p>
        </w:tc>
      </w:tr>
      <w:tr>
        <w:tblPrEx>
          <w:tblLayout w:type="fixed"/>
          <w:tblCellMar>
            <w:top w:w="0" w:type="dxa"/>
            <w:left w:w="0" w:type="dxa"/>
            <w:bottom w:w="0" w:type="dxa"/>
            <w:right w:w="0" w:type="dxa"/>
          </w:tblCellMar>
        </w:tblPrEx>
        <w:trPr>
          <w:trHeight w:val="285"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1179"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956033</w:t>
            </w:r>
          </w:p>
        </w:tc>
      </w:tr>
      <w:tr>
        <w:tblPrEx>
          <w:tblLayout w:type="fixed"/>
          <w:tblCellMar>
            <w:top w:w="0" w:type="dxa"/>
            <w:left w:w="0" w:type="dxa"/>
            <w:bottom w:w="0" w:type="dxa"/>
            <w:right w:w="0" w:type="dxa"/>
          </w:tblCellMar>
        </w:tblPrEx>
        <w:trPr>
          <w:trHeight w:val="285"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浙商银行股份有限公司</w:t>
            </w:r>
          </w:p>
        </w:tc>
        <w:tc>
          <w:tcPr>
            <w:tcW w:w="1179"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浙江省杭州市萧山区鸿宁路1788号</w:t>
            </w:r>
          </w:p>
        </w:tc>
      </w:tr>
      <w:tr>
        <w:tblPrEx>
          <w:tblLayout w:type="fixed"/>
          <w:tblCellMar>
            <w:top w:w="0" w:type="dxa"/>
            <w:left w:w="0" w:type="dxa"/>
            <w:bottom w:w="0" w:type="dxa"/>
            <w:right w:w="0" w:type="dxa"/>
          </w:tblCellMar>
        </w:tblPrEx>
        <w:trPr>
          <w:trHeight w:val="285"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1179"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95527</w:t>
            </w:r>
          </w:p>
        </w:tc>
      </w:tr>
      <w:tr>
        <w:tblPrEx>
          <w:tblLayout w:type="fixed"/>
          <w:tblCellMar>
            <w:top w:w="0" w:type="dxa"/>
            <w:left w:w="0" w:type="dxa"/>
            <w:bottom w:w="0" w:type="dxa"/>
            <w:right w:w="0" w:type="dxa"/>
          </w:tblCellMar>
        </w:tblPrEx>
        <w:trPr>
          <w:trHeight w:val="57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澳门国际银行股份有限公司广州分行</w:t>
            </w:r>
          </w:p>
        </w:tc>
        <w:tc>
          <w:tcPr>
            <w:tcW w:w="1179"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广州市天河区珠江新城华夏路8号合景国际金融广场1层104房、34层3401房、35层3501房</w:t>
            </w:r>
          </w:p>
        </w:tc>
      </w:tr>
      <w:tr>
        <w:tblPrEx>
          <w:tblLayout w:type="fixed"/>
          <w:tblCellMar>
            <w:top w:w="0" w:type="dxa"/>
            <w:left w:w="0" w:type="dxa"/>
            <w:bottom w:w="0" w:type="dxa"/>
            <w:right w:w="0" w:type="dxa"/>
          </w:tblCellMar>
        </w:tblPrEx>
        <w:trPr>
          <w:trHeight w:val="30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1179"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020-28089999</w:t>
            </w:r>
          </w:p>
        </w:tc>
      </w:tr>
      <w:tr>
        <w:tblPrEx>
          <w:tblLayout w:type="fixed"/>
          <w:tblCellMar>
            <w:top w:w="0" w:type="dxa"/>
            <w:left w:w="0" w:type="dxa"/>
            <w:bottom w:w="0" w:type="dxa"/>
            <w:right w:w="0" w:type="dxa"/>
          </w:tblCellMar>
        </w:tblPrEx>
        <w:trPr>
          <w:trHeight w:val="30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restart"/>
            <w:tcBorders>
              <w:top w:val="single" w:color="auto" w:sz="4" w:space="0"/>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杭银理财有限责任公司</w:t>
            </w:r>
          </w:p>
        </w:tc>
        <w:tc>
          <w:tcPr>
            <w:tcW w:w="1179"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浙江省杭州市拱墅区庆春路38号金龙财富中心</w:t>
            </w:r>
          </w:p>
        </w:tc>
      </w:tr>
      <w:tr>
        <w:tblPrEx>
          <w:tblLayout w:type="fixed"/>
          <w:tblCellMar>
            <w:top w:w="0" w:type="dxa"/>
            <w:left w:w="0" w:type="dxa"/>
            <w:bottom w:w="0" w:type="dxa"/>
            <w:right w:w="0" w:type="dxa"/>
          </w:tblCellMar>
        </w:tblPrEx>
        <w:trPr>
          <w:trHeight w:val="30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continue"/>
            <w:tcBorders>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1179"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400-8950-999</w:t>
            </w:r>
          </w:p>
        </w:tc>
      </w:tr>
      <w:tr>
        <w:tblPrEx>
          <w:tblLayout w:type="fixed"/>
          <w:tblCellMar>
            <w:top w:w="0" w:type="dxa"/>
            <w:left w:w="0" w:type="dxa"/>
            <w:bottom w:w="0" w:type="dxa"/>
            <w:right w:w="0" w:type="dxa"/>
          </w:tblCellMar>
        </w:tblPrEx>
        <w:trPr>
          <w:trHeight w:val="30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restart"/>
            <w:tcBorders>
              <w:left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r>
              <w:rPr>
                <w:rFonts w:hint="eastAsia" w:ascii="宋体" w:hAnsi="宋体" w:eastAsia="宋体" w:cs="宋体"/>
                <w:sz w:val="21"/>
                <w:szCs w:val="21"/>
              </w:rPr>
              <w:t>中邮邮惠万家银行有限责任公司</w:t>
            </w:r>
          </w:p>
        </w:tc>
        <w:tc>
          <w:tcPr>
            <w:tcW w:w="1179"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r>
              <w:rPr>
                <w:rFonts w:hint="eastAsia" w:ascii="宋体" w:hAnsi="宋体" w:eastAsia="宋体" w:cs="宋体"/>
                <w:sz w:val="21"/>
                <w:szCs w:val="21"/>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r>
              <w:rPr>
                <w:rFonts w:hint="eastAsia" w:ascii="宋体" w:hAnsi="宋体" w:eastAsia="宋体" w:cs="宋体"/>
                <w:sz w:val="21"/>
                <w:szCs w:val="21"/>
              </w:rPr>
              <w:t>上海市虹口区东大名路1080号25层、26层</w:t>
            </w:r>
          </w:p>
        </w:tc>
      </w:tr>
      <w:tr>
        <w:tblPrEx>
          <w:tblLayout w:type="fixed"/>
          <w:tblCellMar>
            <w:top w:w="0" w:type="dxa"/>
            <w:left w:w="0" w:type="dxa"/>
            <w:bottom w:w="0" w:type="dxa"/>
            <w:right w:w="0" w:type="dxa"/>
          </w:tblCellMar>
        </w:tblPrEx>
        <w:trPr>
          <w:trHeight w:val="30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continue"/>
            <w:tcBorders>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p>
        </w:tc>
        <w:tc>
          <w:tcPr>
            <w:tcW w:w="1179"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r>
              <w:rPr>
                <w:rFonts w:hint="eastAsia" w:ascii="宋体" w:hAnsi="宋体" w:eastAsia="宋体" w:cs="宋体"/>
                <w:sz w:val="21"/>
                <w:szCs w:val="21"/>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r>
              <w:rPr>
                <w:rFonts w:hint="eastAsia" w:ascii="宋体" w:hAnsi="宋体" w:eastAsia="宋体" w:cs="宋体"/>
                <w:sz w:val="21"/>
                <w:szCs w:val="21"/>
              </w:rPr>
              <w:t>40011-88888</w:t>
            </w:r>
          </w:p>
        </w:tc>
      </w:tr>
      <w:tr>
        <w:tblPrEx>
          <w:tblLayout w:type="fixed"/>
          <w:tblCellMar>
            <w:top w:w="0" w:type="dxa"/>
            <w:left w:w="0" w:type="dxa"/>
            <w:bottom w:w="0" w:type="dxa"/>
            <w:right w:w="0" w:type="dxa"/>
          </w:tblCellMar>
        </w:tblPrEx>
        <w:trPr>
          <w:trHeight w:val="30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restart"/>
            <w:tcBorders>
              <w:left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r>
              <w:rPr>
                <w:rFonts w:hint="eastAsia" w:ascii="宋体" w:hAnsi="宋体" w:eastAsia="宋体" w:cs="宋体"/>
                <w:sz w:val="21"/>
                <w:szCs w:val="21"/>
              </w:rPr>
              <w:t>四川天府银行股份有限公司</w:t>
            </w:r>
          </w:p>
        </w:tc>
        <w:tc>
          <w:tcPr>
            <w:tcW w:w="1179"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r>
              <w:rPr>
                <w:rFonts w:hint="eastAsia" w:ascii="宋体" w:hAnsi="宋体" w:eastAsia="宋体" w:cs="宋体"/>
                <w:sz w:val="21"/>
                <w:szCs w:val="21"/>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r>
              <w:rPr>
                <w:rFonts w:hint="eastAsia" w:ascii="宋体" w:hAnsi="宋体" w:eastAsia="宋体" w:cs="宋体"/>
                <w:sz w:val="21"/>
                <w:szCs w:val="21"/>
              </w:rPr>
              <w:t>四川省南充市顺庆区滨江中路一段97号26栋</w:t>
            </w:r>
          </w:p>
        </w:tc>
      </w:tr>
      <w:tr>
        <w:tblPrEx>
          <w:tblLayout w:type="fixed"/>
          <w:tblCellMar>
            <w:top w:w="0" w:type="dxa"/>
            <w:left w:w="0" w:type="dxa"/>
            <w:bottom w:w="0" w:type="dxa"/>
            <w:right w:w="0" w:type="dxa"/>
          </w:tblCellMar>
        </w:tblPrEx>
        <w:trPr>
          <w:trHeight w:val="30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continue"/>
            <w:tcBorders>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p>
        </w:tc>
        <w:tc>
          <w:tcPr>
            <w:tcW w:w="1179"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r>
              <w:rPr>
                <w:rFonts w:hint="eastAsia" w:ascii="宋体" w:hAnsi="宋体" w:eastAsia="宋体" w:cs="宋体"/>
                <w:sz w:val="21"/>
                <w:szCs w:val="21"/>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r>
              <w:rPr>
                <w:rFonts w:hint="eastAsia" w:ascii="宋体" w:hAnsi="宋体" w:eastAsia="宋体" w:cs="宋体"/>
                <w:sz w:val="21"/>
                <w:szCs w:val="21"/>
              </w:rPr>
              <w:t>400-16-96869</w:t>
            </w:r>
          </w:p>
        </w:tc>
      </w:tr>
      <w:tr>
        <w:tblPrEx>
          <w:tblLayout w:type="fixed"/>
          <w:tblCellMar>
            <w:top w:w="0" w:type="dxa"/>
            <w:left w:w="0" w:type="dxa"/>
            <w:bottom w:w="0" w:type="dxa"/>
            <w:right w:w="0" w:type="dxa"/>
          </w:tblCellMar>
        </w:tblPrEx>
        <w:trPr>
          <w:trHeight w:val="30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restart"/>
            <w:tcBorders>
              <w:left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r>
              <w:rPr>
                <w:rFonts w:hint="eastAsia" w:ascii="宋体" w:hAnsi="宋体" w:eastAsia="宋体" w:cs="宋体"/>
                <w:sz w:val="21"/>
                <w:szCs w:val="21"/>
              </w:rPr>
              <w:t>江苏常熟农村商业银行股份有限公司</w:t>
            </w:r>
          </w:p>
        </w:tc>
        <w:tc>
          <w:tcPr>
            <w:tcW w:w="1179"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r>
              <w:rPr>
                <w:rFonts w:hint="eastAsia" w:ascii="宋体" w:hAnsi="宋体" w:eastAsia="宋体" w:cs="宋体"/>
                <w:sz w:val="21"/>
                <w:szCs w:val="21"/>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r>
              <w:rPr>
                <w:rFonts w:hint="eastAsia" w:ascii="宋体" w:hAnsi="宋体" w:eastAsia="宋体" w:cs="宋体"/>
                <w:sz w:val="21"/>
                <w:szCs w:val="21"/>
              </w:rPr>
              <w:t>江苏省常熟市新世纪大道58号</w:t>
            </w:r>
          </w:p>
        </w:tc>
      </w:tr>
      <w:tr>
        <w:tblPrEx>
          <w:tblLayout w:type="fixed"/>
          <w:tblCellMar>
            <w:top w:w="0" w:type="dxa"/>
            <w:left w:w="0" w:type="dxa"/>
            <w:bottom w:w="0" w:type="dxa"/>
            <w:right w:w="0" w:type="dxa"/>
          </w:tblCellMar>
        </w:tblPrEx>
        <w:trPr>
          <w:trHeight w:val="30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continue"/>
            <w:tcBorders>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p>
        </w:tc>
        <w:tc>
          <w:tcPr>
            <w:tcW w:w="1179"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r>
              <w:rPr>
                <w:rFonts w:hint="eastAsia" w:ascii="宋体" w:hAnsi="宋体" w:eastAsia="宋体" w:cs="宋体"/>
                <w:sz w:val="21"/>
                <w:szCs w:val="21"/>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r>
              <w:rPr>
                <w:rFonts w:hint="eastAsia" w:ascii="宋体" w:hAnsi="宋体" w:eastAsia="宋体" w:cs="宋体"/>
                <w:sz w:val="21"/>
                <w:szCs w:val="21"/>
              </w:rPr>
              <w:t>956020</w:t>
            </w:r>
          </w:p>
        </w:tc>
      </w:tr>
      <w:tr>
        <w:tblPrEx>
          <w:tblLayout w:type="fixed"/>
          <w:tblCellMar>
            <w:top w:w="0" w:type="dxa"/>
            <w:left w:w="0" w:type="dxa"/>
            <w:bottom w:w="0" w:type="dxa"/>
            <w:right w:w="0" w:type="dxa"/>
          </w:tblCellMar>
        </w:tblPrEx>
        <w:trPr>
          <w:trHeight w:val="30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restart"/>
            <w:tcBorders>
              <w:left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r>
              <w:rPr>
                <w:rFonts w:hint="eastAsia" w:ascii="宋体" w:hAnsi="宋体" w:eastAsia="宋体" w:cs="宋体"/>
                <w:sz w:val="21"/>
                <w:szCs w:val="21"/>
              </w:rPr>
              <w:t>威海蓝海银行股份有限公司</w:t>
            </w:r>
          </w:p>
        </w:tc>
        <w:tc>
          <w:tcPr>
            <w:tcW w:w="1179"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r>
              <w:rPr>
                <w:rFonts w:hint="eastAsia" w:ascii="宋体" w:hAnsi="宋体" w:eastAsia="宋体" w:cs="宋体"/>
                <w:sz w:val="21"/>
                <w:szCs w:val="21"/>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r>
              <w:rPr>
                <w:rFonts w:hint="eastAsia" w:ascii="宋体" w:hAnsi="宋体" w:eastAsia="宋体" w:cs="宋体"/>
                <w:sz w:val="21"/>
                <w:szCs w:val="21"/>
              </w:rPr>
              <w:t>山东省威海市环翠区新威路17-2号</w:t>
            </w:r>
          </w:p>
        </w:tc>
      </w:tr>
      <w:tr>
        <w:tblPrEx>
          <w:tblLayout w:type="fixed"/>
          <w:tblCellMar>
            <w:top w:w="0" w:type="dxa"/>
            <w:left w:w="0" w:type="dxa"/>
            <w:bottom w:w="0" w:type="dxa"/>
            <w:right w:w="0" w:type="dxa"/>
          </w:tblCellMar>
        </w:tblPrEx>
        <w:trPr>
          <w:trHeight w:val="30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continue"/>
            <w:tcBorders>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p>
        </w:tc>
        <w:tc>
          <w:tcPr>
            <w:tcW w:w="1179"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r>
              <w:rPr>
                <w:rFonts w:hint="eastAsia" w:ascii="宋体" w:hAnsi="宋体" w:eastAsia="宋体" w:cs="宋体"/>
                <w:sz w:val="21"/>
                <w:szCs w:val="21"/>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r>
              <w:rPr>
                <w:rFonts w:hint="eastAsia" w:ascii="宋体" w:hAnsi="宋体" w:eastAsia="宋体" w:cs="宋体"/>
                <w:sz w:val="21"/>
                <w:szCs w:val="21"/>
              </w:rPr>
              <w:t>400-0631-888</w:t>
            </w:r>
          </w:p>
        </w:tc>
      </w:tr>
      <w:tr>
        <w:tblPrEx>
          <w:tblLayout w:type="fixed"/>
          <w:tblCellMar>
            <w:top w:w="0" w:type="dxa"/>
            <w:left w:w="0" w:type="dxa"/>
            <w:bottom w:w="0" w:type="dxa"/>
            <w:right w:w="0" w:type="dxa"/>
          </w:tblCellMar>
        </w:tblPrEx>
        <w:trPr>
          <w:trHeight w:val="30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restart"/>
            <w:tcBorders>
              <w:top w:val="single" w:color="auto" w:sz="4" w:space="0"/>
              <w:left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r>
              <w:rPr>
                <w:rFonts w:hint="eastAsia" w:ascii="宋体" w:hAnsi="宋体" w:eastAsia="宋体" w:cs="宋体"/>
                <w:sz w:val="21"/>
                <w:szCs w:val="21"/>
              </w:rPr>
              <w:t>温州银行股份有限公司</w:t>
            </w:r>
          </w:p>
        </w:tc>
        <w:tc>
          <w:tcPr>
            <w:tcW w:w="1179"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r>
              <w:rPr>
                <w:rFonts w:hint="eastAsia" w:ascii="宋体" w:hAnsi="宋体" w:eastAsia="宋体" w:cs="宋体"/>
                <w:sz w:val="21"/>
                <w:szCs w:val="21"/>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r>
              <w:rPr>
                <w:rFonts w:hint="eastAsia" w:ascii="宋体" w:hAnsi="宋体" w:eastAsia="宋体" w:cs="宋体"/>
                <w:sz w:val="21"/>
                <w:szCs w:val="21"/>
              </w:rPr>
              <w:t>浙江省温州市鹿城区会展路1316号</w:t>
            </w:r>
          </w:p>
        </w:tc>
      </w:tr>
      <w:tr>
        <w:tblPrEx>
          <w:tblLayout w:type="fixed"/>
          <w:tblCellMar>
            <w:top w:w="0" w:type="dxa"/>
            <w:left w:w="0" w:type="dxa"/>
            <w:bottom w:w="0" w:type="dxa"/>
            <w:right w:w="0" w:type="dxa"/>
          </w:tblCellMar>
        </w:tblPrEx>
        <w:trPr>
          <w:trHeight w:val="30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continue"/>
            <w:tcBorders>
              <w:left w:val="single" w:color="auto" w:sz="4" w:space="0"/>
              <w:bottom w:val="single" w:color="auto" w:sz="4" w:space="0"/>
              <w:right w:val="single" w:color="auto" w:sz="4" w:space="0"/>
            </w:tcBorders>
            <w:shd w:val="clear" w:color="auto" w:fill="FFFFFF"/>
            <w:noWrap w:val="0"/>
            <w:tcMar>
              <w:top w:w="15" w:type="dxa"/>
              <w:left w:w="15" w:type="dxa"/>
              <w:right w:w="15" w:type="dxa"/>
            </w:tcMar>
            <w:vAlign w:val="top"/>
          </w:tcPr>
          <w:p>
            <w:pPr>
              <w:rPr>
                <w:rFonts w:hint="eastAsia" w:ascii="宋体" w:hAnsi="宋体" w:eastAsia="宋体" w:cs="宋体"/>
                <w:sz w:val="21"/>
                <w:szCs w:val="21"/>
              </w:rPr>
            </w:pPr>
          </w:p>
        </w:tc>
        <w:tc>
          <w:tcPr>
            <w:tcW w:w="1179"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r>
              <w:rPr>
                <w:rFonts w:hint="eastAsia" w:ascii="宋体" w:hAnsi="宋体" w:eastAsia="宋体" w:cs="宋体"/>
                <w:sz w:val="21"/>
                <w:szCs w:val="21"/>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eastAsia="宋体" w:cs="宋体"/>
                <w:sz w:val="21"/>
                <w:szCs w:val="21"/>
              </w:rPr>
            </w:pPr>
            <w:r>
              <w:rPr>
                <w:rFonts w:hint="eastAsia" w:ascii="宋体" w:hAnsi="宋体" w:eastAsia="宋体" w:cs="宋体"/>
                <w:sz w:val="21"/>
                <w:szCs w:val="21"/>
              </w:rPr>
              <w:t>0577-96699</w:t>
            </w:r>
          </w:p>
        </w:tc>
      </w:tr>
      <w:tr>
        <w:tblPrEx>
          <w:tblLayout w:type="fixed"/>
          <w:tblCellMar>
            <w:top w:w="0" w:type="dxa"/>
            <w:left w:w="0" w:type="dxa"/>
            <w:bottom w:w="0" w:type="dxa"/>
            <w:right w:w="0" w:type="dxa"/>
          </w:tblCellMar>
        </w:tblPrEx>
        <w:trPr>
          <w:trHeight w:val="300" w:hRule="atLeast"/>
        </w:trPr>
        <w:tc>
          <w:tcPr>
            <w:tcW w:w="107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restart"/>
            <w:tcBorders>
              <w:top w:val="single" w:color="auto" w:sz="4" w:space="0"/>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sz w:val="21"/>
                <w:szCs w:val="21"/>
              </w:rPr>
            </w:pPr>
            <w:r>
              <w:rPr>
                <w:rFonts w:hint="eastAsia" w:ascii="宋体" w:hAnsi="宋体" w:cs="宋体"/>
                <w:bCs/>
                <w:sz w:val="21"/>
                <w:szCs w:val="21"/>
                <w:highlight w:val="none"/>
                <w:lang w:val="en-US" w:eastAsia="zh-CN"/>
              </w:rPr>
              <w:t>浙江网商银行</w:t>
            </w:r>
            <w:r>
              <w:rPr>
                <w:rFonts w:hint="eastAsia" w:ascii="宋体" w:hAnsi="宋体" w:cs="宋体"/>
                <w:bCs/>
                <w:sz w:val="21"/>
                <w:szCs w:val="21"/>
                <w:highlight w:val="none"/>
              </w:rPr>
              <w:t>股份有限公司</w:t>
            </w:r>
          </w:p>
        </w:tc>
        <w:tc>
          <w:tcPr>
            <w:tcW w:w="1179"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sz w:val="21"/>
                <w:szCs w:val="21"/>
              </w:rPr>
            </w:pPr>
            <w:r>
              <w:rPr>
                <w:rFonts w:hint="eastAsia" w:ascii="宋体" w:hAnsi="宋体" w:cs="宋体"/>
                <w:bCs/>
                <w:sz w:val="21"/>
                <w:szCs w:val="21"/>
                <w:highlight w:val="none"/>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sz w:val="21"/>
                <w:szCs w:val="21"/>
              </w:rPr>
            </w:pPr>
            <w:r>
              <w:rPr>
                <w:rFonts w:hint="eastAsia" w:ascii="宋体" w:hAnsi="宋体" w:cs="宋体"/>
                <w:bCs/>
                <w:sz w:val="21"/>
                <w:szCs w:val="21"/>
                <w:highlight w:val="none"/>
              </w:rPr>
              <w:t>杭州市</w:t>
            </w:r>
            <w:r>
              <w:rPr>
                <w:rFonts w:hint="eastAsia" w:ascii="宋体" w:hAnsi="宋体" w:cs="宋体"/>
                <w:bCs/>
                <w:sz w:val="21"/>
                <w:szCs w:val="21"/>
                <w:highlight w:val="none"/>
                <w:lang w:val="en-US" w:eastAsia="zh-CN"/>
              </w:rPr>
              <w:t>西湖区西溪路556号阿里中心</w:t>
            </w:r>
          </w:p>
        </w:tc>
      </w:tr>
      <w:tr>
        <w:tblPrEx>
          <w:tblLayout w:type="fixed"/>
          <w:tblCellMar>
            <w:top w:w="0" w:type="dxa"/>
            <w:left w:w="0" w:type="dxa"/>
            <w:bottom w:w="0" w:type="dxa"/>
            <w:right w:w="0" w:type="dxa"/>
          </w:tblCellMar>
        </w:tblPrEx>
        <w:trPr>
          <w:trHeight w:val="300" w:hRule="atLeast"/>
        </w:trPr>
        <w:tc>
          <w:tcPr>
            <w:tcW w:w="1071" w:type="dxa"/>
            <w:vMerge w:val="continue"/>
            <w:tcBorders>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color w:val="000000"/>
                <w:sz w:val="21"/>
                <w:szCs w:val="21"/>
              </w:rPr>
            </w:pPr>
          </w:p>
        </w:tc>
        <w:tc>
          <w:tcPr>
            <w:tcW w:w="2175" w:type="dxa"/>
            <w:vMerge w:val="continue"/>
            <w:tcBorders>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sz w:val="21"/>
                <w:szCs w:val="21"/>
              </w:rPr>
            </w:pPr>
          </w:p>
        </w:tc>
        <w:tc>
          <w:tcPr>
            <w:tcW w:w="1179"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sz w:val="21"/>
                <w:szCs w:val="21"/>
              </w:rPr>
            </w:pPr>
            <w:r>
              <w:rPr>
                <w:rFonts w:hint="eastAsia" w:ascii="宋体" w:hAnsi="宋体" w:cs="宋体"/>
                <w:bCs/>
                <w:sz w:val="21"/>
                <w:szCs w:val="21"/>
                <w:highlight w:val="none"/>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eastAsia="宋体" w:cs="宋体"/>
                <w:sz w:val="21"/>
                <w:szCs w:val="21"/>
              </w:rPr>
            </w:pPr>
            <w:r>
              <w:rPr>
                <w:rFonts w:hint="eastAsia" w:ascii="宋体" w:hAnsi="宋体" w:cs="宋体"/>
                <w:bCs/>
                <w:sz w:val="21"/>
                <w:szCs w:val="21"/>
                <w:highlight w:val="none"/>
              </w:rPr>
              <w:t>95</w:t>
            </w:r>
            <w:r>
              <w:rPr>
                <w:rFonts w:hint="eastAsia" w:ascii="宋体" w:hAnsi="宋体" w:cs="宋体"/>
                <w:bCs/>
                <w:sz w:val="21"/>
                <w:szCs w:val="21"/>
                <w:highlight w:val="none"/>
                <w:lang w:val="en-US" w:eastAsia="zh-CN"/>
              </w:rPr>
              <w:t>18</w:t>
            </w:r>
            <w:r>
              <w:rPr>
                <w:rFonts w:hint="eastAsia" w:ascii="宋体" w:hAnsi="宋体" w:cs="宋体"/>
                <w:bCs/>
                <w:sz w:val="21"/>
                <w:szCs w:val="21"/>
                <w:highlight w:val="none"/>
              </w:rPr>
              <w:t>8</w:t>
            </w:r>
            <w:r>
              <w:rPr>
                <w:rFonts w:hint="eastAsia" w:ascii="宋体" w:hAnsi="宋体" w:cs="宋体"/>
                <w:bCs/>
                <w:sz w:val="21"/>
                <w:szCs w:val="21"/>
                <w:highlight w:val="none"/>
                <w:lang w:val="en-US" w:eastAsia="zh-CN"/>
              </w:rPr>
              <w:t>-3</w:t>
            </w:r>
          </w:p>
        </w:tc>
      </w:tr>
      <w:tr>
        <w:tblPrEx>
          <w:tblLayout w:type="fixed"/>
          <w:tblCellMar>
            <w:top w:w="0" w:type="dxa"/>
            <w:left w:w="0" w:type="dxa"/>
            <w:bottom w:w="0" w:type="dxa"/>
            <w:right w:w="0" w:type="dxa"/>
          </w:tblCellMar>
        </w:tblPrEx>
        <w:trPr>
          <w:trHeight w:val="1320" w:hRule="atLeast"/>
        </w:trPr>
        <w:tc>
          <w:tcPr>
            <w:tcW w:w="1071"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销售机构职责</w:t>
            </w:r>
          </w:p>
        </w:tc>
        <w:tc>
          <w:tcPr>
            <w:tcW w:w="7194" w:type="dxa"/>
            <w:gridSpan w:val="3"/>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left"/>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主要负责理财计划推广、投资者风险承受能力评估、投资者适当性管理、理财计划份额认购、申购及赎回办理。</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
        </w:rPr>
      </w:pPr>
      <w:r>
        <w:rPr>
          <w:rFonts w:hint="eastAsia" w:ascii="宋体" w:hAnsi="宋体" w:cs="宋体"/>
          <w:bCs/>
          <w:color w:val="000000"/>
        </w:rPr>
        <w:t>在本理财计划发行后新增准入的销售机构将以管理人对外公告</w:t>
      </w:r>
      <w:r>
        <w:rPr>
          <w:rFonts w:hint="eastAsia" w:ascii="宋体" w:hAnsi="宋体" w:cs="宋体"/>
          <w:bCs/>
          <w:color w:val="000000"/>
          <w:sz w:val="24"/>
          <w:highlight w:val="none"/>
          <w:lang w:val="en-US" w:eastAsia="zh-CN"/>
        </w:rPr>
        <w:t>或官方网站展示</w:t>
      </w:r>
      <w:r>
        <w:rPr>
          <w:rFonts w:hint="eastAsia" w:ascii="宋体" w:hAnsi="宋体" w:cs="宋体"/>
          <w:bCs/>
          <w:color w:val="000000"/>
        </w:rPr>
        <w:t>为准。</w:t>
      </w:r>
    </w:p>
    <w:p>
      <w:pPr>
        <w:spacing w:line="360" w:lineRule="auto"/>
        <w:jc w:val="left"/>
        <w:rPr>
          <w:rFonts w:ascii="宋体" w:hAnsi="宋体" w:cs="宋体"/>
          <w:bCs/>
        </w:rPr>
      </w:pPr>
    </w:p>
    <w:p>
      <w:pPr>
        <w:numPr>
          <w:ilvl w:val="0"/>
          <w:numId w:val="20"/>
        </w:numPr>
        <w:spacing w:line="360" w:lineRule="auto"/>
        <w:ind w:firstLine="482" w:firstLineChars="200"/>
        <w:jc w:val="left"/>
        <w:outlineLvl w:val="1"/>
        <w:rPr>
          <w:rFonts w:hint="eastAsia" w:ascii="宋体" w:hAnsi="宋体" w:cs="宋体"/>
          <w:b/>
        </w:rPr>
      </w:pPr>
      <w:r>
        <w:rPr>
          <w:rFonts w:hint="eastAsia" w:ascii="宋体" w:hAnsi="宋体" w:cs="宋体"/>
          <w:b/>
        </w:rPr>
        <w:t>估值</w:t>
      </w:r>
    </w:p>
    <w:p>
      <w:pPr>
        <w:numPr>
          <w:ilvl w:val="0"/>
          <w:numId w:val="23"/>
        </w:numPr>
        <w:spacing w:line="360" w:lineRule="auto"/>
        <w:ind w:firstLine="482" w:firstLineChars="200"/>
        <w:jc w:val="left"/>
        <w:outlineLvl w:val="2"/>
        <w:rPr>
          <w:rFonts w:hint="eastAsia" w:ascii="宋体" w:hAnsi="宋体" w:cs="宋体"/>
          <w:b/>
        </w:rPr>
      </w:pPr>
      <w:r>
        <w:rPr>
          <w:rFonts w:hint="eastAsia" w:ascii="宋体" w:hAnsi="宋体" w:cs="宋体"/>
          <w:b/>
        </w:rPr>
        <w:t>估值日</w:t>
      </w:r>
    </w:p>
    <w:p>
      <w:pPr>
        <w:spacing w:line="360" w:lineRule="auto"/>
        <w:ind w:firstLine="480" w:firstLineChars="200"/>
        <w:rPr>
          <w:rFonts w:hint="eastAsia" w:ascii="宋体" w:hAnsi="宋体" w:cs="宋体"/>
          <w:bCs/>
          <w:color w:val="000000"/>
        </w:rPr>
      </w:pPr>
      <w:r>
        <w:rPr>
          <w:rFonts w:hint="eastAsia" w:ascii="宋体" w:hAnsi="宋体" w:cs="宋体"/>
          <w:bCs/>
          <w:color w:val="000000"/>
        </w:rPr>
        <w:t>本理财计划估值日为每个工作日，定期由理财管理人和理财托管人核对估值结果并向投资者披露，具体日期以管理人公告为准。</w:t>
      </w:r>
    </w:p>
    <w:p>
      <w:pPr>
        <w:numPr>
          <w:ilvl w:val="0"/>
          <w:numId w:val="23"/>
        </w:numPr>
        <w:spacing w:line="360" w:lineRule="auto"/>
        <w:ind w:firstLine="482" w:firstLineChars="200"/>
        <w:jc w:val="left"/>
        <w:outlineLvl w:val="2"/>
        <w:rPr>
          <w:rFonts w:hint="eastAsia" w:ascii="宋体" w:hAnsi="宋体" w:cs="宋体"/>
          <w:b/>
        </w:rPr>
      </w:pPr>
      <w:r>
        <w:rPr>
          <w:rFonts w:hint="eastAsia" w:ascii="宋体" w:hAnsi="宋体" w:cs="宋体"/>
          <w:b/>
        </w:rPr>
        <w:t>估值对象</w:t>
      </w:r>
    </w:p>
    <w:p>
      <w:pPr>
        <w:spacing w:line="360" w:lineRule="auto"/>
        <w:ind w:firstLine="480" w:firstLineChars="200"/>
        <w:rPr>
          <w:rFonts w:hint="eastAsia" w:ascii="宋体" w:hAnsi="宋体" w:cs="宋体"/>
          <w:bCs/>
          <w:color w:val="000000"/>
        </w:rPr>
      </w:pPr>
      <w:r>
        <w:rPr>
          <w:rFonts w:hint="eastAsia" w:ascii="宋体" w:hAnsi="宋体" w:cs="宋体"/>
          <w:bCs/>
          <w:color w:val="000000"/>
        </w:rPr>
        <w:t>本理财计划所投资的所有资产及负债。</w:t>
      </w:r>
    </w:p>
    <w:p>
      <w:pPr>
        <w:numPr>
          <w:ilvl w:val="0"/>
          <w:numId w:val="23"/>
        </w:numPr>
        <w:spacing w:line="360" w:lineRule="auto"/>
        <w:ind w:firstLine="482" w:firstLineChars="200"/>
        <w:jc w:val="left"/>
        <w:outlineLvl w:val="2"/>
        <w:rPr>
          <w:rFonts w:hint="eastAsia" w:ascii="宋体" w:hAnsi="宋体" w:cs="宋体"/>
          <w:b/>
        </w:rPr>
      </w:pPr>
      <w:r>
        <w:rPr>
          <w:rFonts w:hint="eastAsia" w:ascii="宋体" w:hAnsi="宋体" w:cs="宋体"/>
          <w:b/>
        </w:rPr>
        <w:t>估值目的</w:t>
      </w:r>
    </w:p>
    <w:p>
      <w:pPr>
        <w:spacing w:line="360" w:lineRule="auto"/>
        <w:ind w:firstLine="480" w:firstLineChars="200"/>
        <w:rPr>
          <w:rFonts w:hint="eastAsia" w:ascii="宋体" w:hAnsi="宋体" w:cs="宋体"/>
          <w:bCs/>
          <w:color w:val="000000"/>
        </w:rPr>
      </w:pPr>
      <w:r>
        <w:rPr>
          <w:rFonts w:hint="eastAsia" w:ascii="宋体" w:hAnsi="宋体" w:cs="宋体"/>
          <w:bCs/>
          <w:color w:val="000000"/>
        </w:rPr>
        <w:t>客观、准确反映理财计划的价值。</w:t>
      </w:r>
    </w:p>
    <w:p>
      <w:pPr>
        <w:numPr>
          <w:ilvl w:val="0"/>
          <w:numId w:val="23"/>
        </w:numPr>
        <w:spacing w:line="360" w:lineRule="auto"/>
        <w:ind w:firstLine="482" w:firstLineChars="200"/>
        <w:jc w:val="left"/>
        <w:outlineLvl w:val="2"/>
        <w:rPr>
          <w:rFonts w:hint="eastAsia" w:ascii="宋体" w:hAnsi="宋体" w:cs="宋体"/>
          <w:b/>
        </w:rPr>
      </w:pPr>
      <w:r>
        <w:rPr>
          <w:rFonts w:hint="eastAsia" w:ascii="宋体" w:hAnsi="宋体" w:cs="宋体"/>
          <w:b/>
        </w:rPr>
        <w:t>估值方法</w:t>
      </w:r>
    </w:p>
    <w:p>
      <w:pPr>
        <w:spacing w:line="360" w:lineRule="auto"/>
        <w:ind w:firstLine="480" w:firstLineChars="200"/>
        <w:rPr>
          <w:rFonts w:hint="eastAsia" w:ascii="宋体" w:hAnsi="宋体" w:cs="宋体"/>
          <w:bCs/>
          <w:color w:val="000000"/>
        </w:rPr>
      </w:pPr>
      <w:r>
        <w:rPr>
          <w:rFonts w:hint="eastAsia" w:ascii="宋体" w:hAnsi="宋体" w:cs="宋体"/>
          <w:bCs/>
          <w:color w:val="000000"/>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rPr>
      </w:pPr>
      <w:r>
        <w:rPr>
          <w:rFonts w:hint="eastAsia"/>
        </w:rPr>
        <w:t>理财计划所投资各类资产按照会计准则和监管要求进行会计分类，并按如下规则进行计量：</w:t>
      </w:r>
    </w:p>
    <w:p>
      <w:pPr>
        <w:numPr>
          <w:ilvl w:val="0"/>
          <w:numId w:val="24"/>
        </w:numPr>
        <w:spacing w:line="360" w:lineRule="auto"/>
        <w:ind w:firstLine="480" w:firstLineChars="200"/>
        <w:rPr>
          <w:rFonts w:hint="eastAsia" w:ascii="宋体" w:hAnsi="宋体" w:cs="宋体"/>
          <w:bCs/>
          <w:color w:val="000000"/>
        </w:rPr>
      </w:pPr>
      <w:r>
        <w:rPr>
          <w:rFonts w:hint="eastAsia" w:ascii="宋体" w:hAnsi="宋体" w:cs="宋体"/>
          <w:bCs/>
          <w:color w:val="000000"/>
        </w:rPr>
        <w:t>货币市场工具类资产</w:t>
      </w:r>
    </w:p>
    <w:p>
      <w:pPr>
        <w:pStyle w:val="17"/>
        <w:adjustRightInd/>
        <w:spacing w:line="360" w:lineRule="auto"/>
        <w:ind w:firstLine="480" w:firstLineChars="200"/>
        <w:rPr>
          <w:rFonts w:hint="eastAsia" w:ascii="宋体" w:hAnsi="宋体" w:cs="宋体"/>
          <w:bCs/>
          <w:kern w:val="2"/>
        </w:rPr>
      </w:pPr>
      <w:r>
        <w:rPr>
          <w:rFonts w:hint="eastAsia" w:ascii="宋体" w:hAnsi="宋体" w:cs="宋体"/>
          <w:bCs/>
          <w:kern w:val="2"/>
        </w:rPr>
        <w:t>银行存款及回购，以本金列示，按商定利率在实际持有期间内逐日计提利息。</w:t>
      </w:r>
    </w:p>
    <w:p>
      <w:pPr>
        <w:numPr>
          <w:ilvl w:val="0"/>
          <w:numId w:val="24"/>
        </w:numPr>
        <w:spacing w:line="360" w:lineRule="auto"/>
        <w:ind w:firstLine="480" w:firstLineChars="200"/>
        <w:rPr>
          <w:rFonts w:hint="eastAsia" w:ascii="宋体" w:hAnsi="宋体" w:cs="宋体"/>
          <w:bCs/>
          <w:color w:val="000000"/>
        </w:rPr>
      </w:pPr>
      <w:r>
        <w:rPr>
          <w:rFonts w:hint="eastAsia" w:ascii="宋体" w:hAnsi="宋体" w:cs="宋体"/>
          <w:bCs/>
          <w:color w:val="000000"/>
        </w:rPr>
        <w:t>债券及同业存单类资产</w:t>
      </w:r>
    </w:p>
    <w:p>
      <w:pPr>
        <w:spacing w:line="360" w:lineRule="auto"/>
        <w:ind w:firstLine="480" w:firstLineChars="200"/>
        <w:rPr>
          <w:rFonts w:ascii="宋体" w:hAnsi="宋体" w:cs="宋体"/>
          <w:bCs/>
          <w:color w:val="000000"/>
        </w:rPr>
      </w:pPr>
      <w:r>
        <w:rPr>
          <w:rFonts w:hint="eastAsia" w:ascii="宋体" w:hAnsi="宋体" w:cs="宋体"/>
          <w:bCs/>
          <w:color w:val="000000"/>
        </w:rPr>
        <w:t>以收取合同现金流量为目的并持有到期的债券及同业存单类资产，按摊余成本法进行计量。其余债券及同业存单类资产，按市价法估值。市价法不能确定公允价值的，采用估值技术进行估值。</w:t>
      </w:r>
    </w:p>
    <w:p>
      <w:pPr>
        <w:numPr>
          <w:ilvl w:val="0"/>
          <w:numId w:val="24"/>
        </w:numPr>
        <w:spacing w:line="360" w:lineRule="auto"/>
        <w:ind w:firstLine="480" w:firstLineChars="200"/>
        <w:rPr>
          <w:rFonts w:hint="eastAsia" w:ascii="宋体" w:hAnsi="宋体" w:cs="宋体"/>
          <w:bCs/>
          <w:color w:val="000000"/>
        </w:rPr>
      </w:pPr>
      <w:r>
        <w:rPr>
          <w:rFonts w:hint="eastAsia" w:ascii="宋体" w:hAnsi="宋体" w:cs="宋体"/>
          <w:bCs/>
          <w:color w:val="000000"/>
        </w:rPr>
        <w:t>债权类资产</w:t>
      </w:r>
    </w:p>
    <w:p>
      <w:pPr>
        <w:spacing w:line="360" w:lineRule="auto"/>
        <w:ind w:firstLine="480" w:firstLineChars="200"/>
        <w:rPr>
          <w:rFonts w:ascii="宋体" w:hAnsi="宋体" w:cs="宋体"/>
          <w:bCs/>
          <w:color w:val="000000"/>
        </w:rPr>
      </w:pPr>
      <w:r>
        <w:rPr>
          <w:rFonts w:hint="eastAsia" w:ascii="宋体" w:hAnsi="宋体" w:cs="宋体"/>
          <w:bCs/>
          <w:color w:val="000000"/>
        </w:rPr>
        <w:t>对于符合监管要求的债权类资产，按照摊余成本法进行计量。其余债权类资产，按市价法估值。市价法不能确定其公允价值的，采用估值技术进行估值。</w:t>
      </w:r>
    </w:p>
    <w:p>
      <w:pPr>
        <w:numPr>
          <w:ilvl w:val="0"/>
          <w:numId w:val="24"/>
        </w:numPr>
        <w:spacing w:line="360" w:lineRule="auto"/>
        <w:ind w:firstLine="480" w:firstLineChars="200"/>
        <w:rPr>
          <w:rFonts w:hint="eastAsia" w:ascii="宋体" w:hAnsi="宋体" w:cs="宋体"/>
          <w:bCs/>
          <w:color w:val="000000"/>
        </w:rPr>
      </w:pPr>
      <w:r>
        <w:rPr>
          <w:rFonts w:hint="eastAsia" w:ascii="宋体" w:hAnsi="宋体" w:cs="宋体"/>
          <w:bCs/>
          <w:color w:val="000000"/>
        </w:rPr>
        <w:t>股权类资产</w:t>
      </w:r>
    </w:p>
    <w:p>
      <w:pPr>
        <w:numPr>
          <w:ilvl w:val="0"/>
          <w:numId w:val="25"/>
        </w:numPr>
        <w:spacing w:line="360" w:lineRule="auto"/>
        <w:ind w:firstLine="480" w:firstLineChars="200"/>
        <w:rPr>
          <w:rFonts w:ascii="宋体" w:hAnsi="宋体" w:cs="宋体"/>
          <w:bCs/>
          <w:color w:val="000000"/>
        </w:rPr>
      </w:pPr>
      <w:r>
        <w:rPr>
          <w:rFonts w:hint="eastAsia" w:ascii="宋体" w:hAnsi="宋体" w:cs="宋体"/>
          <w:bCs/>
          <w:color w:val="000000"/>
        </w:rPr>
        <w:t>上市流通股票按估值日其所在证券交易所的收盘价估值；估值日无交易，且最近交易日后未发生影响公允价值计量的重大事件的，以最近交易日的收盘价估值。</w:t>
      </w:r>
    </w:p>
    <w:p>
      <w:pPr>
        <w:numPr>
          <w:ilvl w:val="0"/>
          <w:numId w:val="25"/>
        </w:numPr>
        <w:spacing w:line="360" w:lineRule="auto"/>
        <w:ind w:firstLine="480" w:firstLineChars="200"/>
        <w:rPr>
          <w:rFonts w:ascii="宋体" w:hAnsi="宋体" w:cs="宋体"/>
          <w:bCs/>
          <w:color w:val="000000"/>
        </w:rPr>
      </w:pPr>
      <w:r>
        <w:rPr>
          <w:rFonts w:hint="eastAsia" w:ascii="宋体" w:hAnsi="宋体" w:cs="宋体"/>
          <w:bCs/>
          <w:color w:val="000000"/>
        </w:rPr>
        <w:t>未上市股票的估值：</w:t>
      </w:r>
    </w:p>
    <w:p>
      <w:pPr>
        <w:spacing w:line="360" w:lineRule="auto"/>
        <w:ind w:firstLine="480" w:firstLineChars="200"/>
        <w:rPr>
          <w:rFonts w:hint="eastAsia" w:ascii="宋体" w:hAnsi="宋体"/>
        </w:rPr>
      </w:pPr>
      <w:r>
        <w:rPr>
          <w:rFonts w:hint="eastAsia" w:ascii="宋体" w:hAnsi="宋体" w:cs="宋体"/>
          <w:bCs/>
          <w:color w:val="000000"/>
        </w:rPr>
        <w:t>1）</w:t>
      </w:r>
      <w:r>
        <w:rPr>
          <w:rFonts w:hint="eastAsia" w:ascii="宋体" w:hAnsi="宋体"/>
        </w:rPr>
        <w:t>送股、转增股、配股和公开增发新股等发行未上市的股票，按估值日在证券交易所挂牌的同一股票的市价估值；</w:t>
      </w:r>
    </w:p>
    <w:p>
      <w:pPr>
        <w:spacing w:line="360" w:lineRule="auto"/>
        <w:ind w:firstLine="480" w:firstLineChars="200"/>
        <w:rPr>
          <w:rFonts w:hint="eastAsia" w:ascii="宋体" w:hAnsi="宋体"/>
        </w:rPr>
      </w:pPr>
      <w:r>
        <w:rPr>
          <w:rFonts w:hint="eastAsia" w:ascii="宋体" w:hAnsi="宋体"/>
        </w:rPr>
        <w:t>2）首次公开发行有明确锁定期的股票，同一股票在交易所上市后，按交易所上市的同一股票的市价估值；</w:t>
      </w:r>
    </w:p>
    <w:p>
      <w:pPr>
        <w:spacing w:line="360" w:lineRule="auto"/>
        <w:ind w:firstLine="480" w:firstLineChars="200"/>
        <w:rPr>
          <w:rFonts w:hint="eastAsia" w:ascii="宋体" w:hAnsi="宋体"/>
        </w:rPr>
      </w:pPr>
      <w:r>
        <w:rPr>
          <w:rFonts w:hint="eastAsia" w:ascii="宋体" w:hAnsi="宋体"/>
        </w:rPr>
        <w:t>3）首次发行未上市的股票，按发行价格进行估值；</w:t>
      </w:r>
    </w:p>
    <w:p>
      <w:pPr>
        <w:spacing w:line="360" w:lineRule="auto"/>
        <w:ind w:firstLine="480" w:firstLineChars="200"/>
        <w:rPr>
          <w:rFonts w:hint="eastAsia" w:ascii="宋体" w:hAnsi="宋体"/>
        </w:rPr>
      </w:pPr>
      <w:r>
        <w:rPr>
          <w:rFonts w:hint="eastAsia" w:ascii="宋体" w:hAnsi="宋体"/>
        </w:rPr>
        <w:t>4）因持有股票而享有的配股权，采用估值技术确定公允价值。</w:t>
      </w:r>
    </w:p>
    <w:p>
      <w:pPr>
        <w:numPr>
          <w:ilvl w:val="0"/>
          <w:numId w:val="25"/>
        </w:numPr>
        <w:spacing w:line="360" w:lineRule="auto"/>
        <w:ind w:firstLine="480" w:firstLineChars="200"/>
        <w:rPr>
          <w:rFonts w:ascii="宋体" w:hAnsi="宋体" w:cs="宋体"/>
          <w:bCs/>
          <w:color w:val="000000"/>
        </w:rPr>
      </w:pPr>
      <w:r>
        <w:rPr>
          <w:rFonts w:hint="eastAsia" w:ascii="宋体" w:hAnsi="宋体" w:cs="宋体"/>
          <w:bCs/>
          <w:color w:val="000000"/>
        </w:rPr>
        <w:t>非上市股权的估值：</w:t>
      </w:r>
    </w:p>
    <w:p>
      <w:pPr>
        <w:spacing w:line="360" w:lineRule="auto"/>
        <w:ind w:firstLine="480" w:firstLineChars="200"/>
        <w:rPr>
          <w:rFonts w:hint="eastAsia" w:ascii="宋体" w:hAnsi="宋体" w:cs="宋体"/>
          <w:bCs/>
          <w:color w:val="000000"/>
        </w:rPr>
      </w:pPr>
      <w:r>
        <w:rPr>
          <w:rFonts w:hint="eastAsia" w:ascii="宋体" w:hAnsi="宋体" w:cs="宋体"/>
          <w:bCs/>
          <w:color w:val="000000"/>
        </w:rPr>
        <w:t>非上市股权类资产，按照国家最新规定，采用合理的估值技术进行估值。</w:t>
      </w:r>
    </w:p>
    <w:p>
      <w:pPr>
        <w:numPr>
          <w:ilvl w:val="0"/>
          <w:numId w:val="24"/>
        </w:numPr>
        <w:spacing w:line="360" w:lineRule="auto"/>
        <w:ind w:firstLine="480" w:firstLineChars="200"/>
        <w:rPr>
          <w:rFonts w:hint="eastAsia" w:ascii="宋体" w:hAnsi="宋体" w:cs="宋体"/>
          <w:bCs/>
          <w:color w:val="000000"/>
        </w:rPr>
      </w:pPr>
      <w:r>
        <w:rPr>
          <w:rFonts w:hint="eastAsia" w:ascii="宋体" w:hAnsi="宋体" w:cs="宋体"/>
          <w:bCs/>
          <w:color w:val="000000"/>
        </w:rPr>
        <w:t>基金、资产管理计划类资产</w:t>
      </w:r>
    </w:p>
    <w:p>
      <w:pPr>
        <w:spacing w:line="360" w:lineRule="auto"/>
        <w:ind w:firstLine="480" w:firstLineChars="200"/>
        <w:rPr>
          <w:rFonts w:hint="eastAsia" w:ascii="宋体" w:hAnsi="宋体"/>
        </w:rPr>
      </w:pPr>
      <w:r>
        <w:rPr>
          <w:rFonts w:hint="eastAsia" w:ascii="宋体" w:hAnsi="宋体" w:cs="宋体"/>
          <w:bCs/>
          <w:color w:val="000000"/>
        </w:rPr>
        <w:t>若合同约定估值方案，以基金、信托计划、资产管理计划的管理人提供的最新报价估值。报价包括资产的单位净值、每万份收益以及其他形式的投资收益。</w:t>
      </w:r>
    </w:p>
    <w:p>
      <w:pPr>
        <w:spacing w:line="360" w:lineRule="auto"/>
        <w:ind w:firstLine="480" w:firstLineChars="200"/>
        <w:rPr>
          <w:rFonts w:ascii="宋体" w:hAnsi="宋体" w:cs="宋体"/>
          <w:bCs/>
          <w:color w:val="000000"/>
        </w:rPr>
      </w:pPr>
      <w:r>
        <w:rPr>
          <w:rFonts w:hint="eastAsia" w:ascii="宋体" w:hAnsi="宋体" w:cs="宋体"/>
          <w:bCs/>
          <w:color w:val="000000"/>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4"/>
        </w:numPr>
        <w:spacing w:line="360" w:lineRule="auto"/>
        <w:ind w:firstLine="480" w:firstLineChars="200"/>
        <w:rPr>
          <w:rFonts w:hint="eastAsia" w:ascii="宋体" w:hAnsi="宋体" w:cs="宋体"/>
          <w:bCs/>
          <w:color w:val="000000"/>
        </w:rPr>
      </w:pPr>
      <w:r>
        <w:rPr>
          <w:rFonts w:hint="eastAsia" w:ascii="宋体" w:hAnsi="宋体" w:cs="宋体"/>
          <w:bCs/>
          <w:color w:val="000000"/>
        </w:rPr>
        <w:t>其他资产的估值方法</w:t>
      </w:r>
    </w:p>
    <w:p>
      <w:pPr>
        <w:pStyle w:val="17"/>
        <w:spacing w:line="360" w:lineRule="auto"/>
        <w:ind w:firstLine="480" w:firstLineChars="200"/>
        <w:rPr>
          <w:rFonts w:hint="eastAsia" w:ascii="宋体" w:hAnsi="宋体" w:cs="宋体"/>
          <w:bCs/>
          <w:kern w:val="2"/>
        </w:rPr>
      </w:pPr>
      <w:r>
        <w:rPr>
          <w:rFonts w:hint="eastAsia" w:ascii="宋体" w:hAnsi="宋体" w:cs="宋体"/>
          <w:bCs/>
          <w:kern w:val="2"/>
        </w:rPr>
        <w:t>其他资产存在公允价值的，按照监管要求进行公允价值估值，公允价值不能确定的按国家最新规定进行估值。</w:t>
      </w:r>
    </w:p>
    <w:p>
      <w:pPr>
        <w:pStyle w:val="17"/>
        <w:spacing w:line="360" w:lineRule="auto"/>
        <w:ind w:firstLine="480" w:firstLineChars="200"/>
        <w:rPr>
          <w:rFonts w:hint="eastAsia" w:ascii="宋体" w:hAnsi="宋体" w:cs="宋体"/>
          <w:bCs/>
        </w:rPr>
      </w:pPr>
      <w:r>
        <w:rPr>
          <w:rFonts w:hint="eastAsia" w:ascii="宋体" w:hAnsi="宋体" w:cs="宋体"/>
          <w:bCs/>
          <w:kern w:val="2"/>
        </w:rPr>
        <w:t>以</w:t>
      </w:r>
      <w:r>
        <w:rPr>
          <w:rFonts w:hint="eastAsia" w:ascii="宋体" w:hAnsi="宋体" w:cs="宋体"/>
          <w:bCs/>
        </w:rPr>
        <w:t>摊余成本法计量的资产，按照会计准则规定采用合理的减值计量模型或第三方减值计量结果进行减值计提。计提减值不等同于金融资产已发生损失，仅为对未来风险的审慎预期。</w:t>
      </w:r>
    </w:p>
    <w:p>
      <w:pPr>
        <w:pStyle w:val="17"/>
        <w:tabs>
          <w:tab w:val="left" w:pos="0"/>
        </w:tabs>
        <w:spacing w:line="360" w:lineRule="auto"/>
        <w:ind w:firstLine="480" w:firstLineChars="200"/>
        <w:rPr>
          <w:rFonts w:hint="eastAsia" w:ascii="宋体" w:hAnsi="宋体" w:cs="宋体"/>
          <w:bCs/>
          <w:kern w:val="2"/>
        </w:rPr>
      </w:pPr>
      <w:r>
        <w:rPr>
          <w:rFonts w:hint="eastAsia" w:ascii="宋体" w:hAnsi="宋体" w:cs="宋体"/>
          <w:bCs/>
          <w:kern w:val="2"/>
        </w:rPr>
        <w:t>当理财计划管理人或托管人认为按上述方法对理财计划进行估值不能客观反映其公允价值的，可以在满足监管要求的前提下协商一致后，按最能反映公允价值的价格估值，并自协商一致日后执行。</w:t>
      </w:r>
    </w:p>
    <w:p>
      <w:pPr>
        <w:pStyle w:val="17"/>
        <w:tabs>
          <w:tab w:val="left" w:pos="0"/>
        </w:tabs>
        <w:spacing w:line="360" w:lineRule="auto"/>
        <w:ind w:firstLine="480" w:firstLineChars="200"/>
        <w:rPr>
          <w:rFonts w:hint="eastAsia" w:ascii="宋体" w:hAnsi="宋体" w:cs="宋体"/>
          <w:bCs/>
          <w:kern w:val="2"/>
        </w:rPr>
      </w:pPr>
      <w:r>
        <w:rPr>
          <w:rFonts w:hint="eastAsia" w:ascii="宋体" w:hAnsi="宋体" w:cs="宋体"/>
          <w:bCs/>
          <w:kern w:val="2"/>
        </w:rPr>
        <w:t>如在本理财计划发行、募集、管理期间，有权管理机关对财务报告准则、估值核算方法标准进行调整，管理人有权根据相关机关要求对本理财计划的估值方法进行相应修改。</w:t>
      </w:r>
    </w:p>
    <w:p>
      <w:pPr>
        <w:numPr>
          <w:ilvl w:val="0"/>
          <w:numId w:val="23"/>
        </w:numPr>
        <w:spacing w:line="360" w:lineRule="auto"/>
        <w:ind w:firstLine="482" w:firstLineChars="200"/>
        <w:jc w:val="left"/>
        <w:outlineLvl w:val="2"/>
        <w:rPr>
          <w:rFonts w:hint="eastAsia" w:ascii="宋体" w:hAnsi="宋体" w:cs="宋体"/>
          <w:b/>
        </w:rPr>
      </w:pPr>
      <w:r>
        <w:rPr>
          <w:rFonts w:hint="eastAsia" w:ascii="宋体" w:hAnsi="宋体" w:cs="宋体"/>
          <w:b/>
        </w:rPr>
        <w:t>估值差错处理</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3"/>
        </w:numPr>
        <w:spacing w:line="360" w:lineRule="auto"/>
        <w:ind w:firstLine="482" w:firstLineChars="200"/>
        <w:jc w:val="left"/>
        <w:outlineLvl w:val="2"/>
        <w:rPr>
          <w:rFonts w:hint="eastAsia" w:ascii="宋体" w:hAnsi="宋体" w:cs="宋体"/>
          <w:b/>
        </w:rPr>
      </w:pPr>
      <w:r>
        <w:rPr>
          <w:rFonts w:hint="eastAsia" w:ascii="宋体" w:hAnsi="宋体" w:cs="宋体"/>
          <w:b/>
        </w:rPr>
        <w:t>暂停估值情形</w:t>
      </w:r>
    </w:p>
    <w:p>
      <w:pPr>
        <w:numPr>
          <w:ilvl w:val="0"/>
          <w:numId w:val="26"/>
        </w:numPr>
        <w:spacing w:line="360" w:lineRule="auto"/>
        <w:ind w:firstLine="480" w:firstLineChars="200"/>
        <w:jc w:val="left"/>
        <w:rPr>
          <w:rFonts w:hint="eastAsia" w:ascii="宋体" w:hAnsi="宋体" w:cs="宋体"/>
          <w:bCs/>
          <w:color w:val="000000"/>
        </w:rPr>
      </w:pPr>
      <w:r>
        <w:rPr>
          <w:rFonts w:hint="eastAsia" w:ascii="宋体" w:hAnsi="宋体" w:cs="宋体"/>
          <w:bCs/>
          <w:color w:val="000000"/>
        </w:rPr>
        <w:t>理财计划投资所涉及的交易市场遇法定节假日或因其他原因暂停营业时暂停估值，该种情况理财计划估值日期提前到上一交易日。</w:t>
      </w:r>
    </w:p>
    <w:p>
      <w:pPr>
        <w:numPr>
          <w:ilvl w:val="0"/>
          <w:numId w:val="26"/>
        </w:numPr>
        <w:spacing w:line="360" w:lineRule="auto"/>
        <w:ind w:firstLine="480" w:firstLineChars="200"/>
        <w:jc w:val="left"/>
        <w:rPr>
          <w:rFonts w:hint="eastAsia" w:ascii="宋体" w:hAnsi="宋体" w:cs="宋体"/>
          <w:bCs/>
          <w:color w:val="000000"/>
        </w:rPr>
      </w:pPr>
      <w:r>
        <w:rPr>
          <w:rFonts w:hint="eastAsia" w:ascii="宋体" w:hAnsi="宋体" w:cs="宋体"/>
          <w:bCs/>
          <w:color w:val="000000"/>
        </w:rPr>
        <w:t>因不可抗力或其他情形致使理财计划管理人、理财计划托管人无法准确评估资产价值时。</w:t>
      </w:r>
    </w:p>
    <w:p>
      <w:pPr>
        <w:numPr>
          <w:ilvl w:val="0"/>
          <w:numId w:val="26"/>
        </w:numPr>
        <w:spacing w:line="360" w:lineRule="auto"/>
        <w:ind w:firstLine="480" w:firstLineChars="200"/>
        <w:jc w:val="left"/>
        <w:rPr>
          <w:rFonts w:hint="eastAsia" w:ascii="宋体" w:hAnsi="宋体" w:cs="宋体"/>
          <w:bCs/>
          <w:color w:val="000000"/>
        </w:rPr>
      </w:pPr>
      <w:r>
        <w:rPr>
          <w:rFonts w:hint="eastAsia" w:ascii="宋体" w:hAnsi="宋体" w:cs="宋体"/>
          <w:bCs/>
          <w:color w:val="000000"/>
        </w:rPr>
        <w:t>当前一估值日理财计划资产净值50%以上的资产不具备活跃交易市场或者在活跃市场中无报价，且不能采用估值技术可靠计量公允价值时，管理人应当暂停该理财计划估值，并按照监管规定采取延缓支付赎回款项或暂停接受理财计划认购、赎回申请等措施。</w:t>
      </w:r>
    </w:p>
    <w:p>
      <w:pPr>
        <w:numPr>
          <w:ilvl w:val="0"/>
          <w:numId w:val="26"/>
        </w:numPr>
        <w:spacing w:line="360" w:lineRule="auto"/>
        <w:ind w:firstLine="480" w:firstLineChars="200"/>
        <w:jc w:val="left"/>
        <w:rPr>
          <w:rFonts w:hint="eastAsia" w:ascii="宋体" w:hAnsi="宋体" w:cs="宋体"/>
          <w:bCs/>
          <w:color w:val="000000"/>
        </w:rPr>
      </w:pPr>
      <w:r>
        <w:rPr>
          <w:rFonts w:hint="eastAsia" w:ascii="宋体" w:hAnsi="宋体" w:cs="宋体"/>
          <w:bCs/>
          <w:color w:val="000000"/>
        </w:rPr>
        <w:t>理财计划管理人、托管人有合理理由认为将影响本理财计划估值的其他情形发生。</w:t>
      </w:r>
    </w:p>
    <w:p>
      <w:pPr>
        <w:numPr>
          <w:ilvl w:val="0"/>
          <w:numId w:val="23"/>
        </w:numPr>
        <w:spacing w:line="360" w:lineRule="auto"/>
        <w:ind w:firstLine="482" w:firstLineChars="200"/>
        <w:jc w:val="left"/>
        <w:outlineLvl w:val="2"/>
        <w:rPr>
          <w:rFonts w:hint="eastAsia" w:ascii="宋体" w:hAnsi="宋体" w:cs="宋体"/>
          <w:b/>
        </w:rPr>
      </w:pPr>
      <w:r>
        <w:rPr>
          <w:rFonts w:hint="eastAsia" w:ascii="宋体" w:hAnsi="宋体" w:cs="宋体"/>
          <w:b/>
        </w:rPr>
        <w:t>资产账册的建立</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rPr>
      </w:pPr>
    </w:p>
    <w:p>
      <w:pPr>
        <w:numPr>
          <w:ilvl w:val="0"/>
          <w:numId w:val="20"/>
        </w:numPr>
        <w:spacing w:line="360" w:lineRule="auto"/>
        <w:ind w:firstLine="482" w:firstLineChars="200"/>
        <w:jc w:val="left"/>
        <w:outlineLvl w:val="1"/>
        <w:rPr>
          <w:rFonts w:hint="eastAsia" w:ascii="宋体" w:hAnsi="宋体" w:cs="宋体"/>
          <w:b/>
        </w:rPr>
      </w:pPr>
      <w:r>
        <w:rPr>
          <w:rFonts w:hint="eastAsia" w:ascii="宋体" w:hAnsi="宋体" w:cs="宋体"/>
          <w:b/>
        </w:rPr>
        <w:t>费用及税收</w:t>
      </w:r>
    </w:p>
    <w:p>
      <w:pPr>
        <w:numPr>
          <w:ilvl w:val="0"/>
          <w:numId w:val="27"/>
        </w:numPr>
        <w:spacing w:line="360" w:lineRule="auto"/>
        <w:ind w:firstLine="482" w:firstLineChars="200"/>
        <w:jc w:val="left"/>
        <w:outlineLvl w:val="2"/>
        <w:rPr>
          <w:rFonts w:hint="eastAsia" w:ascii="宋体" w:hAnsi="宋体" w:cs="宋体"/>
          <w:b/>
        </w:rPr>
      </w:pPr>
      <w:r>
        <w:rPr>
          <w:rFonts w:hint="eastAsia" w:ascii="宋体" w:hAnsi="宋体" w:cs="宋体"/>
          <w:b/>
        </w:rPr>
        <w:t>费用种类</w:t>
      </w:r>
    </w:p>
    <w:p>
      <w:pPr>
        <w:spacing w:line="360" w:lineRule="auto"/>
        <w:ind w:firstLine="480" w:firstLineChars="200"/>
        <w:jc w:val="left"/>
        <w:rPr>
          <w:rFonts w:ascii="宋体" w:hAnsi="宋体" w:cs="宋体"/>
          <w:b/>
        </w:rPr>
      </w:pPr>
      <w:r>
        <w:rPr>
          <w:rFonts w:hint="eastAsia" w:ascii="宋体" w:hAnsi="宋体" w:cs="宋体"/>
          <w:bCs/>
          <w:color w:val="000000"/>
        </w:rPr>
        <w:t>本理财计划涉及费用包括销售服务费、托管费、固定管理费、认购费、申购费、赎回费、浮动管理费以及理财计划运作和清算中产生的其他费用等。</w:t>
      </w:r>
    </w:p>
    <w:p>
      <w:pPr>
        <w:numPr>
          <w:ilvl w:val="0"/>
          <w:numId w:val="27"/>
        </w:numPr>
        <w:spacing w:line="360" w:lineRule="auto"/>
        <w:ind w:firstLine="482" w:firstLineChars="200"/>
        <w:jc w:val="left"/>
        <w:outlineLvl w:val="2"/>
        <w:rPr>
          <w:rFonts w:hint="eastAsia" w:ascii="宋体" w:hAnsi="宋体" w:cs="宋体"/>
          <w:b/>
        </w:rPr>
      </w:pPr>
      <w:r>
        <w:rPr>
          <w:rFonts w:hint="eastAsia" w:ascii="宋体" w:hAnsi="宋体" w:cs="宋体"/>
          <w:b/>
        </w:rPr>
        <w:t>费用计提方法、标准及支付方式</w:t>
      </w:r>
    </w:p>
    <w:p>
      <w:pPr>
        <w:numPr>
          <w:ilvl w:val="0"/>
          <w:numId w:val="28"/>
        </w:numPr>
        <w:spacing w:line="360" w:lineRule="auto"/>
        <w:ind w:firstLine="482" w:firstLineChars="200"/>
        <w:jc w:val="left"/>
        <w:rPr>
          <w:rFonts w:hint="eastAsia" w:ascii="宋体" w:hAnsi="宋体" w:cs="宋体"/>
          <w:b/>
        </w:rPr>
      </w:pPr>
      <w:r>
        <w:rPr>
          <w:rFonts w:hint="eastAsia" w:ascii="宋体" w:hAnsi="宋体" w:cs="宋体"/>
          <w:b/>
        </w:rPr>
        <w:t>销售服务费</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理财计划财产</w:t>
      </w:r>
      <w:r>
        <w:rPr>
          <w:rFonts w:hint="eastAsia" w:ascii="宋体" w:hAnsi="宋体" w:cs="宋体"/>
          <w:bCs/>
          <w:color w:val="000000"/>
          <w:lang w:val="en-US" w:eastAsia="zh-CN"/>
        </w:rPr>
        <w:t>A份额</w:t>
      </w:r>
      <w:r>
        <w:rPr>
          <w:rFonts w:hint="eastAsia" w:ascii="宋体" w:hAnsi="宋体" w:cs="宋体"/>
          <w:bCs/>
          <w:color w:val="000000"/>
        </w:rPr>
        <w:t>的年化销售服务费率为</w:t>
      </w:r>
      <w:r>
        <w:rPr>
          <w:rFonts w:hint="eastAsia" w:ascii="宋体" w:hAnsi="宋体" w:cs="宋体"/>
          <w:szCs w:val="21"/>
        </w:rPr>
        <w:t>〖0.</w:t>
      </w:r>
      <w:r>
        <w:rPr>
          <w:rFonts w:hint="eastAsia" w:ascii="宋体" w:hAnsi="宋体" w:cs="宋体"/>
          <w:szCs w:val="21"/>
          <w:lang w:val="en-US" w:eastAsia="zh-CN"/>
        </w:rPr>
        <w:t>3</w:t>
      </w:r>
      <w:r>
        <w:rPr>
          <w:rFonts w:hint="eastAsia" w:ascii="宋体" w:hAnsi="宋体" w:cs="宋体"/>
          <w:szCs w:val="21"/>
        </w:rPr>
        <w:t>0</w:t>
      </w:r>
      <w:r>
        <w:rPr>
          <w:rFonts w:hint="eastAsia" w:ascii="宋体" w:hAnsi="宋体" w:cs="宋体"/>
          <w:bCs/>
          <w:color w:val="000000"/>
        </w:rPr>
        <w:t>%</w:t>
      </w:r>
      <w:r>
        <w:rPr>
          <w:rFonts w:hint="eastAsia" w:ascii="宋体" w:hAnsi="宋体" w:cs="宋体"/>
          <w:szCs w:val="21"/>
        </w:rPr>
        <w:t>〗</w:t>
      </w:r>
      <w:r>
        <w:rPr>
          <w:rFonts w:hint="eastAsia" w:ascii="宋体" w:hAnsi="宋体" w:cs="宋体"/>
          <w:bCs/>
          <w:color w:val="000000"/>
        </w:rPr>
        <w:t>，</w:t>
      </w:r>
      <w:r>
        <w:rPr>
          <w:rFonts w:hint="eastAsia" w:ascii="宋体" w:hAnsi="宋体" w:cs="宋体"/>
          <w:bCs/>
          <w:color w:val="000000"/>
          <w:lang w:val="en-US" w:eastAsia="zh-CN"/>
        </w:rPr>
        <w:t>以A份额为例，</w:t>
      </w:r>
      <w:r>
        <w:rPr>
          <w:rFonts w:hint="eastAsia" w:ascii="宋体" w:hAnsi="宋体" w:cs="宋体"/>
          <w:bCs/>
          <w:color w:val="000000"/>
        </w:rPr>
        <w:t>计算方法如下：</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H＝E×</w:t>
      </w:r>
      <w:r>
        <w:rPr>
          <w:rFonts w:hint="eastAsia" w:ascii="宋体" w:hAnsi="宋体" w:cs="宋体"/>
          <w:szCs w:val="21"/>
        </w:rPr>
        <w:t>〖0.</w:t>
      </w:r>
      <w:r>
        <w:rPr>
          <w:rFonts w:hint="eastAsia" w:ascii="宋体" w:hAnsi="宋体" w:cs="宋体"/>
          <w:szCs w:val="21"/>
          <w:lang w:val="en-US" w:eastAsia="zh-CN"/>
        </w:rPr>
        <w:t>3</w:t>
      </w:r>
      <w:r>
        <w:rPr>
          <w:rFonts w:hint="eastAsia" w:ascii="宋体" w:hAnsi="宋体" w:cs="宋体"/>
          <w:szCs w:val="21"/>
        </w:rPr>
        <w:t>0</w:t>
      </w:r>
      <w:r>
        <w:rPr>
          <w:rFonts w:hint="eastAsia" w:ascii="宋体" w:hAnsi="宋体" w:cs="宋体"/>
          <w:bCs/>
          <w:color w:val="000000"/>
        </w:rPr>
        <w:t>%</w:t>
      </w:r>
      <w:r>
        <w:rPr>
          <w:rFonts w:hint="eastAsia" w:ascii="宋体" w:hAnsi="宋体" w:cs="宋体"/>
          <w:szCs w:val="21"/>
        </w:rPr>
        <w:t>〗</w:t>
      </w:r>
      <w:r>
        <w:rPr>
          <w:rFonts w:hint="eastAsia" w:ascii="宋体" w:hAnsi="宋体" w:cs="宋体"/>
          <w:bCs/>
          <w:color w:val="000000"/>
        </w:rPr>
        <w:t>/365</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H为每日应计提的销售服务费</w:t>
      </w:r>
    </w:p>
    <w:p>
      <w:pPr>
        <w:spacing w:line="360" w:lineRule="auto"/>
        <w:ind w:firstLine="480" w:firstLineChars="200"/>
        <w:jc w:val="left"/>
        <w:rPr>
          <w:rFonts w:hint="eastAsia" w:ascii="宋体" w:hAnsi="宋体" w:cs="宋体"/>
          <w:bCs/>
          <w:color w:val="FF0000"/>
        </w:rPr>
      </w:pPr>
      <w:r>
        <w:rPr>
          <w:rFonts w:hint="eastAsia" w:ascii="宋体" w:hAnsi="宋体" w:cs="宋体"/>
          <w:bCs/>
          <w:color w:val="000000"/>
        </w:rPr>
        <w:t>E为</w:t>
      </w:r>
      <w:r>
        <w:rPr>
          <w:rFonts w:hint="eastAsia" w:ascii="宋体" w:hAnsi="宋体" w:cs="宋体"/>
          <w:bCs/>
          <w:color w:val="000000"/>
          <w:lang w:val="en-US" w:eastAsia="zh-CN"/>
        </w:rPr>
        <w:t>A份额</w:t>
      </w:r>
      <w:r>
        <w:rPr>
          <w:rFonts w:hint="eastAsia" w:ascii="宋体" w:hAnsi="宋体" w:cs="宋体"/>
          <w:bCs/>
          <w:color w:val="000000"/>
        </w:rPr>
        <w:t>前一日资产净值</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销售服务费原则上按日计提。</w:t>
      </w:r>
    </w:p>
    <w:p>
      <w:pPr>
        <w:numPr>
          <w:ilvl w:val="0"/>
          <w:numId w:val="28"/>
        </w:numPr>
        <w:spacing w:line="360" w:lineRule="auto"/>
        <w:ind w:firstLine="482" w:firstLineChars="200"/>
        <w:jc w:val="left"/>
        <w:rPr>
          <w:rFonts w:hint="eastAsia" w:ascii="宋体" w:hAnsi="宋体" w:cs="宋体"/>
          <w:b/>
        </w:rPr>
      </w:pPr>
      <w:r>
        <w:rPr>
          <w:rFonts w:hint="eastAsia" w:ascii="宋体" w:hAnsi="宋体" w:cs="宋体"/>
          <w:b/>
        </w:rPr>
        <w:t>托管费</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理财计划财产的年化托管费为</w:t>
      </w:r>
      <w:r>
        <w:rPr>
          <w:rFonts w:hint="eastAsia" w:ascii="宋体" w:hAnsi="宋体" w:cs="宋体"/>
          <w:szCs w:val="21"/>
        </w:rPr>
        <w:t>〖</w:t>
      </w:r>
      <w:r>
        <w:rPr>
          <w:rFonts w:hint="eastAsia" w:ascii="宋体" w:hAnsi="宋体"/>
          <w:color w:val="000000"/>
        </w:rPr>
        <w:t>0.025</w:t>
      </w:r>
      <w:r>
        <w:rPr>
          <w:rFonts w:hint="eastAsia" w:ascii="宋体" w:hAnsi="宋体" w:cs="宋体"/>
          <w:bCs/>
          <w:color w:val="000000"/>
        </w:rPr>
        <w:t>%</w:t>
      </w:r>
      <w:r>
        <w:rPr>
          <w:rFonts w:hint="eastAsia" w:ascii="宋体" w:hAnsi="宋体" w:cs="宋体"/>
          <w:szCs w:val="21"/>
        </w:rPr>
        <w:t>〗</w:t>
      </w:r>
      <w:r>
        <w:rPr>
          <w:rFonts w:hint="eastAsia" w:ascii="宋体" w:hAnsi="宋体" w:cs="宋体"/>
          <w:bCs/>
          <w:color w:val="000000"/>
        </w:rPr>
        <w:t>，计算方法如下：</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H＝E×</w:t>
      </w:r>
      <w:r>
        <w:rPr>
          <w:rFonts w:hint="eastAsia" w:ascii="宋体" w:hAnsi="宋体" w:cs="宋体"/>
          <w:szCs w:val="21"/>
        </w:rPr>
        <w:t>〖</w:t>
      </w:r>
      <w:r>
        <w:rPr>
          <w:rFonts w:hint="eastAsia" w:ascii="宋体" w:hAnsi="宋体"/>
          <w:color w:val="000000"/>
        </w:rPr>
        <w:t>0.025</w:t>
      </w:r>
      <w:r>
        <w:rPr>
          <w:rFonts w:hint="eastAsia" w:ascii="宋体" w:hAnsi="宋体" w:cs="宋体"/>
          <w:bCs/>
          <w:color w:val="000000"/>
        </w:rPr>
        <w:t>%</w:t>
      </w:r>
      <w:r>
        <w:rPr>
          <w:rFonts w:hint="eastAsia" w:ascii="宋体" w:hAnsi="宋体" w:cs="宋体"/>
          <w:szCs w:val="21"/>
        </w:rPr>
        <w:t>〗</w:t>
      </w:r>
      <w:r>
        <w:rPr>
          <w:rFonts w:hint="eastAsia" w:ascii="宋体" w:hAnsi="宋体" w:cs="宋体"/>
          <w:bCs/>
          <w:color w:val="000000"/>
        </w:rPr>
        <w:t>/365</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H为每日应计提的托管费</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E为本理财计划前一日资产净值</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托管费原则上按日计提。</w:t>
      </w:r>
    </w:p>
    <w:p>
      <w:pPr>
        <w:numPr>
          <w:ilvl w:val="0"/>
          <w:numId w:val="28"/>
        </w:numPr>
        <w:spacing w:line="360" w:lineRule="auto"/>
        <w:ind w:firstLine="482" w:firstLineChars="200"/>
        <w:jc w:val="left"/>
        <w:rPr>
          <w:rFonts w:hint="eastAsia" w:ascii="宋体" w:hAnsi="宋体" w:cs="宋体"/>
          <w:b/>
        </w:rPr>
      </w:pPr>
      <w:r>
        <w:rPr>
          <w:rFonts w:hint="eastAsia" w:ascii="宋体" w:hAnsi="宋体" w:cs="宋体"/>
          <w:b/>
        </w:rPr>
        <w:t>固定管理费</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理财计划财产</w:t>
      </w:r>
      <w:r>
        <w:rPr>
          <w:rFonts w:hint="eastAsia" w:ascii="宋体" w:hAnsi="宋体" w:cs="宋体"/>
          <w:bCs/>
          <w:color w:val="000000"/>
          <w:lang w:val="en-US" w:eastAsia="zh-CN"/>
        </w:rPr>
        <w:t>A份额</w:t>
      </w:r>
      <w:r>
        <w:rPr>
          <w:rFonts w:hint="eastAsia" w:ascii="宋体" w:hAnsi="宋体" w:cs="宋体"/>
          <w:bCs/>
          <w:color w:val="000000"/>
        </w:rPr>
        <w:t>的年化固定管理费率为</w:t>
      </w:r>
      <w:r>
        <w:rPr>
          <w:rFonts w:hint="eastAsia" w:ascii="宋体" w:hAnsi="宋体" w:cs="宋体"/>
          <w:szCs w:val="21"/>
        </w:rPr>
        <w:t>〖</w:t>
      </w:r>
      <w:r>
        <w:rPr>
          <w:rFonts w:hint="eastAsia" w:ascii="宋体" w:hAnsi="宋体"/>
          <w:color w:val="000000"/>
        </w:rPr>
        <w:t>0.</w:t>
      </w:r>
      <w:r>
        <w:rPr>
          <w:rFonts w:hint="eastAsia" w:ascii="宋体" w:hAnsi="宋体"/>
          <w:color w:val="000000"/>
          <w:lang w:val="en-US" w:eastAsia="zh-CN"/>
        </w:rPr>
        <w:t>2</w:t>
      </w:r>
      <w:r>
        <w:rPr>
          <w:rFonts w:hint="eastAsia" w:ascii="宋体" w:hAnsi="宋体"/>
          <w:color w:val="000000"/>
        </w:rPr>
        <w:t>0</w:t>
      </w:r>
      <w:r>
        <w:rPr>
          <w:rFonts w:hint="eastAsia" w:ascii="宋体" w:hAnsi="宋体" w:cs="宋体"/>
          <w:bCs/>
          <w:color w:val="000000"/>
        </w:rPr>
        <w:t>%</w:t>
      </w:r>
      <w:r>
        <w:rPr>
          <w:rFonts w:hint="eastAsia" w:ascii="宋体" w:hAnsi="宋体" w:cs="宋体"/>
          <w:szCs w:val="21"/>
        </w:rPr>
        <w:t>〗</w:t>
      </w:r>
      <w:r>
        <w:rPr>
          <w:rFonts w:hint="eastAsia" w:ascii="宋体" w:hAnsi="宋体" w:cs="宋体"/>
          <w:bCs/>
          <w:color w:val="000000"/>
        </w:rPr>
        <w:t>，</w:t>
      </w:r>
      <w:r>
        <w:rPr>
          <w:rFonts w:hint="eastAsia" w:ascii="宋体" w:hAnsi="宋体" w:cs="宋体"/>
          <w:bCs/>
          <w:color w:val="000000"/>
          <w:lang w:val="en-US" w:eastAsia="zh-CN"/>
        </w:rPr>
        <w:t>以A份额为例，</w:t>
      </w:r>
      <w:r>
        <w:rPr>
          <w:rFonts w:hint="eastAsia" w:ascii="宋体" w:hAnsi="宋体" w:cs="宋体"/>
          <w:bCs/>
          <w:color w:val="000000"/>
        </w:rPr>
        <w:t>计算方法如下：</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H＝E×</w:t>
      </w:r>
      <w:r>
        <w:rPr>
          <w:rFonts w:hint="eastAsia" w:ascii="宋体" w:hAnsi="宋体" w:cs="宋体"/>
          <w:szCs w:val="21"/>
        </w:rPr>
        <w:t>〖</w:t>
      </w:r>
      <w:r>
        <w:rPr>
          <w:rFonts w:hint="eastAsia" w:ascii="宋体" w:hAnsi="宋体"/>
          <w:color w:val="000000"/>
        </w:rPr>
        <w:t>0.</w:t>
      </w:r>
      <w:r>
        <w:rPr>
          <w:rFonts w:hint="eastAsia" w:ascii="宋体" w:hAnsi="宋体"/>
          <w:color w:val="000000"/>
          <w:lang w:val="en-US" w:eastAsia="zh-CN"/>
        </w:rPr>
        <w:t>2</w:t>
      </w:r>
      <w:r>
        <w:rPr>
          <w:rFonts w:hint="eastAsia" w:ascii="宋体" w:hAnsi="宋体"/>
          <w:color w:val="000000"/>
        </w:rPr>
        <w:t>0</w:t>
      </w:r>
      <w:r>
        <w:rPr>
          <w:rFonts w:hint="eastAsia" w:ascii="宋体" w:hAnsi="宋体" w:cs="宋体"/>
          <w:bCs/>
          <w:color w:val="000000"/>
        </w:rPr>
        <w:t>%</w:t>
      </w:r>
      <w:r>
        <w:rPr>
          <w:rFonts w:hint="eastAsia" w:ascii="宋体" w:hAnsi="宋体" w:cs="宋体"/>
          <w:szCs w:val="21"/>
        </w:rPr>
        <w:t>〗</w:t>
      </w:r>
      <w:r>
        <w:rPr>
          <w:rFonts w:hint="eastAsia" w:ascii="宋体" w:hAnsi="宋体" w:cs="宋体"/>
          <w:bCs/>
          <w:color w:val="000000"/>
        </w:rPr>
        <w:t>/365</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H为每日应计提的固定管理费</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E为</w:t>
      </w:r>
      <w:r>
        <w:rPr>
          <w:rFonts w:hint="eastAsia" w:ascii="宋体" w:hAnsi="宋体" w:cs="宋体"/>
          <w:bCs/>
          <w:color w:val="000000"/>
          <w:lang w:val="en-US" w:eastAsia="zh-CN"/>
        </w:rPr>
        <w:t>A份额</w:t>
      </w:r>
      <w:r>
        <w:rPr>
          <w:rFonts w:hint="eastAsia" w:ascii="宋体" w:hAnsi="宋体" w:cs="宋体"/>
          <w:bCs/>
          <w:color w:val="000000"/>
        </w:rPr>
        <w:t>前一日资产净值</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固定管理费原则上按日计提，如理财计划实际运作结果不达业绩比较基准下限时，管理人有权减免固定管理费。</w:t>
      </w:r>
    </w:p>
    <w:p>
      <w:pPr>
        <w:numPr>
          <w:ilvl w:val="0"/>
          <w:numId w:val="28"/>
        </w:numPr>
        <w:spacing w:line="360" w:lineRule="auto"/>
        <w:ind w:firstLine="482" w:firstLineChars="200"/>
        <w:jc w:val="left"/>
        <w:rPr>
          <w:rFonts w:hint="eastAsia" w:ascii="宋体" w:hAnsi="宋体" w:cs="宋体"/>
          <w:b/>
        </w:rPr>
      </w:pPr>
      <w:r>
        <w:rPr>
          <w:rFonts w:hint="eastAsia" w:ascii="宋体" w:hAnsi="宋体" w:cs="宋体"/>
          <w:b/>
        </w:rPr>
        <w:t>认购费</w:t>
      </w:r>
    </w:p>
    <w:p>
      <w:pPr>
        <w:spacing w:line="360" w:lineRule="auto"/>
        <w:ind w:firstLine="480" w:firstLineChars="200"/>
        <w:jc w:val="left"/>
        <w:rPr>
          <w:rFonts w:hint="eastAsia" w:ascii="宋体" w:hAnsi="宋体" w:cs="宋体"/>
          <w:bCs/>
          <w:color w:val="FF0000"/>
        </w:rPr>
      </w:pPr>
      <w:r>
        <w:rPr>
          <w:rFonts w:hint="eastAsia" w:ascii="宋体" w:hAnsi="宋体" w:cs="宋体"/>
          <w:bCs/>
          <w:color w:val="000000"/>
        </w:rPr>
        <w:t>本理财计划免除认购费。</w:t>
      </w:r>
    </w:p>
    <w:p>
      <w:pPr>
        <w:numPr>
          <w:ilvl w:val="0"/>
          <w:numId w:val="29"/>
        </w:numPr>
        <w:spacing w:line="360" w:lineRule="auto"/>
        <w:ind w:firstLine="482" w:firstLineChars="200"/>
        <w:jc w:val="left"/>
        <w:rPr>
          <w:rFonts w:ascii="宋体" w:hAnsi="宋体" w:cs="宋体"/>
          <w:b/>
        </w:rPr>
      </w:pPr>
      <w:r>
        <w:rPr>
          <w:rFonts w:hint="eastAsia" w:ascii="宋体" w:hAnsi="宋体" w:cs="宋体"/>
          <w:b/>
        </w:rPr>
        <w:t>申购费</w:t>
      </w:r>
    </w:p>
    <w:p>
      <w:pPr>
        <w:spacing w:line="360" w:lineRule="auto"/>
        <w:ind w:firstLine="480" w:firstLineChars="200"/>
        <w:jc w:val="left"/>
        <w:rPr>
          <w:rFonts w:ascii="宋体" w:hAnsi="宋体" w:cs="宋体"/>
          <w:b/>
        </w:rPr>
      </w:pPr>
      <w:r>
        <w:rPr>
          <w:rFonts w:hint="eastAsia" w:ascii="宋体" w:hAnsi="宋体" w:cs="宋体"/>
          <w:bCs/>
          <w:color w:val="000000"/>
        </w:rPr>
        <w:t>本理财计划免除申购费。</w:t>
      </w:r>
    </w:p>
    <w:p>
      <w:pPr>
        <w:numPr>
          <w:ilvl w:val="0"/>
          <w:numId w:val="29"/>
        </w:numPr>
        <w:spacing w:line="360" w:lineRule="auto"/>
        <w:ind w:firstLine="482" w:firstLineChars="200"/>
        <w:jc w:val="left"/>
        <w:rPr>
          <w:rFonts w:ascii="宋体" w:hAnsi="宋体" w:cs="宋体"/>
          <w:b/>
        </w:rPr>
      </w:pPr>
      <w:r>
        <w:rPr>
          <w:rFonts w:hint="eastAsia" w:ascii="宋体" w:hAnsi="宋体" w:cs="宋体"/>
          <w:b/>
        </w:rPr>
        <w:t>赎回费</w:t>
      </w:r>
    </w:p>
    <w:p>
      <w:pPr>
        <w:spacing w:line="360" w:lineRule="auto"/>
        <w:ind w:firstLine="480" w:firstLineChars="200"/>
        <w:jc w:val="left"/>
        <w:rPr>
          <w:rFonts w:ascii="宋体" w:hAnsi="宋体" w:cs="宋体"/>
          <w:b/>
        </w:rPr>
      </w:pPr>
      <w:r>
        <w:rPr>
          <w:rFonts w:hint="eastAsia" w:ascii="宋体" w:hAnsi="宋体" w:cs="宋体"/>
          <w:bCs/>
          <w:color w:val="000000"/>
        </w:rPr>
        <w:t>本理财计划免除赎回费。</w:t>
      </w:r>
    </w:p>
    <w:p>
      <w:pPr>
        <w:numPr>
          <w:ilvl w:val="0"/>
          <w:numId w:val="30"/>
        </w:numPr>
        <w:spacing w:line="360" w:lineRule="auto"/>
        <w:ind w:firstLine="482" w:firstLineChars="200"/>
        <w:jc w:val="left"/>
        <w:rPr>
          <w:rFonts w:hint="eastAsia" w:ascii="宋体" w:hAnsi="宋体" w:cs="宋体"/>
          <w:b/>
        </w:rPr>
      </w:pPr>
      <w:r>
        <w:rPr>
          <w:rFonts w:hint="eastAsia" w:ascii="宋体" w:hAnsi="宋体" w:cs="宋体"/>
          <w:b/>
        </w:rPr>
        <w:t>浮动管理费</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本理财计划免除浮动管理费。</w:t>
      </w:r>
    </w:p>
    <w:p>
      <w:pPr>
        <w:numPr>
          <w:ilvl w:val="0"/>
          <w:numId w:val="31"/>
        </w:numPr>
        <w:spacing w:line="360" w:lineRule="auto"/>
        <w:ind w:firstLine="482" w:firstLineChars="200"/>
        <w:jc w:val="left"/>
        <w:rPr>
          <w:rFonts w:hint="eastAsia" w:ascii="宋体" w:hAnsi="宋体" w:cs="宋体"/>
          <w:b/>
        </w:rPr>
      </w:pPr>
      <w:r>
        <w:rPr>
          <w:rFonts w:hint="eastAsia" w:ascii="宋体" w:hAnsi="宋体" w:cs="宋体"/>
          <w:b/>
        </w:rPr>
        <w:t>其他费用</w:t>
      </w:r>
    </w:p>
    <w:p>
      <w:pPr>
        <w:spacing w:line="360" w:lineRule="auto"/>
        <w:ind w:firstLine="480" w:firstLineChars="200"/>
        <w:jc w:val="left"/>
        <w:rPr>
          <w:rFonts w:ascii="宋体" w:hAnsi="宋体" w:cs="宋体"/>
          <w:bCs/>
          <w:color w:val="000000"/>
        </w:rPr>
      </w:pPr>
      <w:r>
        <w:rPr>
          <w:rFonts w:hint="eastAsia" w:ascii="宋体" w:hAnsi="宋体" w:cs="宋体"/>
          <w:bCs/>
          <w:color w:val="000000"/>
        </w:rPr>
        <w:t>除上述费用外，由受托管理资产承担的费用包括但不限于：</w:t>
      </w:r>
    </w:p>
    <w:p>
      <w:pPr>
        <w:numPr>
          <w:ilvl w:val="0"/>
          <w:numId w:val="32"/>
        </w:numPr>
        <w:spacing w:line="360" w:lineRule="auto"/>
        <w:ind w:firstLine="480" w:firstLineChars="200"/>
        <w:jc w:val="left"/>
        <w:rPr>
          <w:rFonts w:ascii="宋体" w:hAnsi="宋体" w:cs="宋体"/>
          <w:bCs/>
        </w:rPr>
      </w:pPr>
      <w:r>
        <w:rPr>
          <w:rFonts w:hint="eastAsia" w:ascii="宋体" w:hAnsi="宋体" w:cs="宋体"/>
          <w:bCs/>
        </w:rPr>
        <w:t>财产管理、运用或处分过程中发生的税费。</w:t>
      </w:r>
    </w:p>
    <w:p>
      <w:pPr>
        <w:numPr>
          <w:ilvl w:val="0"/>
          <w:numId w:val="32"/>
        </w:numPr>
        <w:spacing w:line="360" w:lineRule="auto"/>
        <w:ind w:firstLine="480" w:firstLineChars="200"/>
        <w:jc w:val="left"/>
        <w:rPr>
          <w:rFonts w:ascii="宋体" w:hAnsi="宋体" w:cs="宋体"/>
          <w:bCs/>
        </w:rPr>
      </w:pPr>
      <w:r>
        <w:rPr>
          <w:rFonts w:hint="eastAsia" w:ascii="宋体" w:hAnsi="宋体" w:cs="宋体"/>
          <w:bCs/>
        </w:rPr>
        <w:t>代理机构手续费、管理费、财务顾问费、保管费。</w:t>
      </w:r>
    </w:p>
    <w:p>
      <w:pPr>
        <w:numPr>
          <w:ilvl w:val="0"/>
          <w:numId w:val="32"/>
        </w:numPr>
        <w:spacing w:line="360" w:lineRule="auto"/>
        <w:ind w:firstLine="480" w:firstLineChars="200"/>
        <w:jc w:val="left"/>
        <w:rPr>
          <w:rFonts w:ascii="宋体" w:hAnsi="宋体" w:cs="宋体"/>
          <w:bCs/>
        </w:rPr>
      </w:pPr>
      <w:r>
        <w:rPr>
          <w:rFonts w:hint="eastAsia" w:ascii="宋体" w:hAnsi="宋体" w:cs="宋体"/>
          <w:bCs/>
        </w:rPr>
        <w:t>审计费、律师费、公证费等费用。</w:t>
      </w:r>
    </w:p>
    <w:p>
      <w:pPr>
        <w:numPr>
          <w:ilvl w:val="0"/>
          <w:numId w:val="32"/>
        </w:numPr>
        <w:spacing w:line="360" w:lineRule="auto"/>
        <w:ind w:firstLine="480" w:firstLineChars="200"/>
        <w:jc w:val="left"/>
        <w:rPr>
          <w:rFonts w:ascii="宋体" w:hAnsi="宋体" w:cs="宋体"/>
          <w:bCs/>
        </w:rPr>
      </w:pPr>
      <w:r>
        <w:rPr>
          <w:rFonts w:hint="eastAsia" w:ascii="宋体" w:hAnsi="宋体" w:cs="宋体"/>
          <w:bCs/>
        </w:rPr>
        <w:t>管理人自行或委托第三方向本理财计划所投资产所涉及相关主体进行追偿所发生的费用（包括但不限于诉讼费、仲裁费、律师费、保全费等全部费用）。</w:t>
      </w:r>
    </w:p>
    <w:p>
      <w:pPr>
        <w:numPr>
          <w:ilvl w:val="0"/>
          <w:numId w:val="32"/>
        </w:numPr>
        <w:spacing w:line="360" w:lineRule="auto"/>
        <w:ind w:firstLine="480" w:firstLineChars="200"/>
        <w:jc w:val="left"/>
        <w:rPr>
          <w:rFonts w:ascii="宋体" w:hAnsi="宋体" w:cs="宋体"/>
          <w:bCs/>
        </w:rPr>
      </w:pPr>
      <w:r>
        <w:rPr>
          <w:rFonts w:hint="eastAsia" w:ascii="宋体" w:hAnsi="宋体" w:cs="宋体"/>
          <w:bCs/>
        </w:rPr>
        <w:t>理财计划的交易费用（包括但不限于交易佣金、相关账户费用等）及投资其他资管产品的费用。</w:t>
      </w:r>
    </w:p>
    <w:p>
      <w:pPr>
        <w:numPr>
          <w:ilvl w:val="0"/>
          <w:numId w:val="32"/>
        </w:numPr>
        <w:spacing w:line="360" w:lineRule="auto"/>
        <w:ind w:firstLine="480" w:firstLineChars="200"/>
        <w:jc w:val="left"/>
        <w:rPr>
          <w:rFonts w:ascii="宋体" w:hAnsi="宋体" w:cs="宋体"/>
          <w:bCs/>
        </w:rPr>
      </w:pPr>
      <w:r>
        <w:rPr>
          <w:rFonts w:hint="eastAsia" w:ascii="宋体" w:hAnsi="宋体" w:cs="宋体"/>
          <w:bCs/>
        </w:rPr>
        <w:t>监管规定的其他费用。</w:t>
      </w:r>
    </w:p>
    <w:p>
      <w:pPr>
        <w:spacing w:line="360" w:lineRule="auto"/>
        <w:ind w:firstLine="482" w:firstLineChars="200"/>
        <w:jc w:val="left"/>
        <w:rPr>
          <w:rFonts w:ascii="宋体" w:hAnsi="宋体" w:cs="宋体"/>
          <w:bCs/>
        </w:rPr>
      </w:pPr>
      <w:r>
        <w:rPr>
          <w:rFonts w:hint="eastAsia" w:ascii="宋体" w:hAnsi="宋体" w:cs="宋体"/>
          <w:b/>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3"/>
        </w:numPr>
        <w:spacing w:line="360" w:lineRule="auto"/>
        <w:ind w:firstLine="482" w:firstLineChars="200"/>
        <w:jc w:val="left"/>
        <w:outlineLvl w:val="2"/>
        <w:rPr>
          <w:rFonts w:hint="eastAsia" w:ascii="宋体" w:hAnsi="宋体" w:cs="宋体"/>
          <w:b/>
        </w:rPr>
      </w:pPr>
      <w:r>
        <w:rPr>
          <w:rFonts w:hint="eastAsia" w:ascii="宋体" w:hAnsi="宋体" w:cs="宋体"/>
          <w:b/>
        </w:rPr>
        <w:t>税收说明</w:t>
      </w:r>
    </w:p>
    <w:p>
      <w:pPr>
        <w:numPr>
          <w:ilvl w:val="0"/>
          <w:numId w:val="34"/>
        </w:numPr>
        <w:spacing w:line="360" w:lineRule="auto"/>
        <w:ind w:firstLine="480" w:firstLineChars="200"/>
        <w:jc w:val="left"/>
      </w:pPr>
      <w:r>
        <w:rPr>
          <w:rFonts w:hint="eastAsia" w:ascii="宋体" w:hAnsi="宋体" w:cs="宋体"/>
          <w:bCs/>
          <w:color w:val="000000"/>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4"/>
        </w:numPr>
        <w:spacing w:line="360" w:lineRule="auto"/>
        <w:ind w:firstLine="480" w:firstLineChars="200"/>
        <w:jc w:val="left"/>
        <w:rPr>
          <w:rFonts w:hint="eastAsia" w:ascii="宋体" w:hAnsi="宋体" w:cs="宋体"/>
          <w:bCs/>
          <w:color w:val="000000"/>
        </w:rPr>
      </w:pPr>
      <w:r>
        <w:rPr>
          <w:rFonts w:hint="eastAsia" w:ascii="宋体" w:hAnsi="宋体" w:cs="宋体"/>
          <w:bCs/>
          <w:color w:val="000000"/>
        </w:rPr>
        <w:t>除法律法规特别要求外，投资者应缴纳的税收由投资者自行缴纳，理财计划管理人不承担代扣代缴或纳税的义务。</w:t>
      </w:r>
    </w:p>
    <w:p>
      <w:pPr>
        <w:numPr>
          <w:ilvl w:val="0"/>
          <w:numId w:val="34"/>
        </w:numPr>
        <w:spacing w:line="360" w:lineRule="auto"/>
        <w:ind w:firstLine="480" w:firstLineChars="200"/>
        <w:jc w:val="left"/>
        <w:rPr>
          <w:rFonts w:hint="eastAsia" w:ascii="宋体" w:hAnsi="宋体" w:cs="宋体"/>
          <w:b/>
        </w:rPr>
      </w:pPr>
      <w:r>
        <w:rPr>
          <w:rFonts w:hint="eastAsia" w:ascii="宋体" w:hAnsi="宋体" w:cs="宋体"/>
          <w:bCs/>
          <w:color w:val="000000"/>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rPr>
      </w:pPr>
    </w:p>
    <w:p>
      <w:pPr>
        <w:numPr>
          <w:ilvl w:val="0"/>
          <w:numId w:val="20"/>
        </w:numPr>
        <w:spacing w:line="360" w:lineRule="auto"/>
        <w:ind w:firstLine="482" w:firstLineChars="200"/>
        <w:jc w:val="left"/>
        <w:outlineLvl w:val="1"/>
        <w:rPr>
          <w:rFonts w:hint="eastAsia" w:ascii="宋体" w:hAnsi="宋体" w:cs="宋体"/>
          <w:b/>
        </w:rPr>
      </w:pPr>
      <w:r>
        <w:rPr>
          <w:rFonts w:hint="eastAsia" w:ascii="宋体" w:hAnsi="宋体" w:cs="宋体"/>
          <w:b/>
        </w:rPr>
        <w:t>收益计算</w:t>
      </w:r>
    </w:p>
    <w:p>
      <w:pPr>
        <w:numPr>
          <w:ilvl w:val="0"/>
          <w:numId w:val="35"/>
        </w:numPr>
        <w:spacing w:line="360" w:lineRule="auto"/>
        <w:ind w:firstLine="482" w:firstLineChars="200"/>
        <w:jc w:val="left"/>
        <w:outlineLvl w:val="2"/>
        <w:rPr>
          <w:rFonts w:hint="eastAsia" w:ascii="宋体" w:hAnsi="宋体" w:cs="宋体"/>
          <w:b/>
        </w:rPr>
      </w:pPr>
      <w:r>
        <w:rPr>
          <w:rFonts w:hint="eastAsia" w:ascii="宋体" w:hAnsi="宋体" w:cs="宋体"/>
          <w:b/>
        </w:rPr>
        <w:t>计算公式</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投资者理财收益＝赎回份额×赎回确认日（提前终止日）前一日单位净值-认购或申购金额+</w:t>
      </w:r>
      <w:r>
        <w:rPr>
          <w:rFonts w:hint="eastAsia" w:ascii="宋体" w:hAnsi="宋体" w:cs="宋体"/>
          <w:bCs/>
        </w:rPr>
        <w:t>份额持有期间累计分红（如有）</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份额=认购或申购金额/认购或申购确认日前一日单位净值。</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赎回确认日（提前终止日）前一日的单位净值为提取相关费用及税费后的单位理财计划份额净值。</w:t>
      </w:r>
    </w:p>
    <w:p>
      <w:pPr>
        <w:numPr>
          <w:ilvl w:val="0"/>
          <w:numId w:val="35"/>
        </w:numPr>
        <w:spacing w:line="360" w:lineRule="auto"/>
        <w:jc w:val="left"/>
        <w:outlineLvl w:val="2"/>
        <w:rPr>
          <w:rFonts w:hint="eastAsia" w:ascii="宋体" w:hAnsi="宋体" w:cs="宋体"/>
          <w:bCs/>
          <w:color w:val="000000"/>
        </w:rPr>
      </w:pPr>
      <w:r>
        <w:rPr>
          <w:rFonts w:hint="eastAsia" w:ascii="宋体" w:hAnsi="宋体" w:cs="宋体"/>
          <w:b/>
        </w:rPr>
        <w:t>示例说明</w:t>
      </w:r>
    </w:p>
    <w:p>
      <w:pPr>
        <w:numPr>
          <w:ilvl w:val="0"/>
          <w:numId w:val="36"/>
        </w:numPr>
        <w:spacing w:line="360" w:lineRule="auto"/>
        <w:ind w:firstLine="482" w:firstLineChars="200"/>
        <w:jc w:val="left"/>
        <w:rPr>
          <w:rFonts w:hint="eastAsia" w:ascii="宋体" w:hAnsi="宋体" w:cs="宋体"/>
          <w:b/>
        </w:rPr>
      </w:pPr>
      <w:r>
        <w:rPr>
          <w:rFonts w:hint="eastAsia" w:ascii="宋体" w:hAnsi="宋体" w:cs="宋体"/>
          <w:b/>
        </w:rPr>
        <w:t>示例一</w:t>
      </w:r>
    </w:p>
    <w:p>
      <w:pPr>
        <w:spacing w:line="360" w:lineRule="auto"/>
        <w:ind w:firstLine="482" w:firstLineChars="200"/>
        <w:jc w:val="left"/>
        <w:rPr>
          <w:rFonts w:hint="eastAsia" w:ascii="宋体" w:hAnsi="宋体" w:cs="宋体"/>
          <w:bCs/>
          <w:color w:val="000000"/>
        </w:rPr>
      </w:pPr>
      <w:r>
        <w:rPr>
          <w:rFonts w:hint="eastAsia" w:ascii="宋体" w:hAnsi="宋体" w:cs="宋体"/>
          <w:b/>
          <w:color w:val="000000"/>
        </w:rPr>
        <w:t>扣除托管费、固定管理费、销售服务费（如有）后，投资产生盈利。</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以某投资者投资10万元</w:t>
      </w:r>
      <w:r>
        <w:rPr>
          <w:rFonts w:hint="eastAsia" w:ascii="宋体" w:hAnsi="宋体" w:cs="宋体"/>
          <w:bCs/>
          <w:color w:val="000000"/>
          <w:lang w:val="en-US" w:eastAsia="zh-CN"/>
        </w:rPr>
        <w:t>A份额</w:t>
      </w:r>
      <w:r>
        <w:rPr>
          <w:rFonts w:hint="eastAsia" w:ascii="宋体" w:hAnsi="宋体" w:cs="宋体"/>
          <w:bCs/>
          <w:color w:val="000000"/>
        </w:rPr>
        <w:t>为例，假设购买时理财计划净值为1.00元，折算份额为100,000.00份,假设投资理财计划362天后，</w:t>
      </w:r>
      <w:r>
        <w:rPr>
          <w:rFonts w:hint="eastAsia" w:ascii="宋体" w:hAnsi="宋体"/>
        </w:rPr>
        <w:t>赎回份额</w:t>
      </w:r>
      <w:r>
        <w:rPr>
          <w:rFonts w:hint="eastAsia" w:ascii="宋体" w:hAnsi="宋体" w:cs="宋体"/>
          <w:bCs/>
          <w:color w:val="000000"/>
        </w:rPr>
        <w:t>100,000.00</w:t>
      </w:r>
      <w:r>
        <w:rPr>
          <w:rFonts w:hint="eastAsia" w:ascii="宋体" w:hAnsi="宋体"/>
        </w:rPr>
        <w:t>份</w:t>
      </w:r>
      <w:r>
        <w:rPr>
          <w:rFonts w:hint="eastAsia" w:ascii="宋体" w:hAnsi="宋体" w:cs="宋体"/>
          <w:bCs/>
          <w:color w:val="000000"/>
        </w:rPr>
        <w:t>，期间无分红。赎回时假设管理人扣除托管费、固定管理费、销售服务费（如有）后，如理财计划净值为1.0615，此时，(1.0615/1.00-1)×365/362=6.20%</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投资者最终收益为：</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100,000.00×（1.0615-1.00）=6,150.00（元），理财计划到期时，投资者获得的实际收益相当于达到年化收益率水平为：6,150.00/100,000.00×365/362=6.20%。</w:t>
      </w:r>
    </w:p>
    <w:p>
      <w:pPr>
        <w:numPr>
          <w:ilvl w:val="0"/>
          <w:numId w:val="36"/>
        </w:numPr>
        <w:spacing w:line="360" w:lineRule="auto"/>
        <w:ind w:firstLine="482" w:firstLineChars="200"/>
        <w:jc w:val="left"/>
        <w:rPr>
          <w:rFonts w:ascii="宋体" w:hAnsi="宋体" w:cs="宋体"/>
          <w:b/>
        </w:rPr>
      </w:pPr>
      <w:r>
        <w:rPr>
          <w:rFonts w:hint="eastAsia" w:ascii="宋体" w:hAnsi="宋体" w:cs="宋体"/>
          <w:b/>
        </w:rPr>
        <w:t>示例二</w:t>
      </w:r>
    </w:p>
    <w:p>
      <w:pPr>
        <w:spacing w:line="360" w:lineRule="auto"/>
        <w:ind w:firstLine="482" w:firstLineChars="200"/>
        <w:jc w:val="left"/>
        <w:rPr>
          <w:rFonts w:hint="eastAsia" w:ascii="宋体" w:hAnsi="宋体" w:cs="宋体"/>
          <w:b/>
          <w:color w:val="000000"/>
        </w:rPr>
      </w:pPr>
      <w:r>
        <w:rPr>
          <w:rFonts w:hint="eastAsia" w:ascii="宋体" w:hAnsi="宋体" w:cs="宋体"/>
          <w:b/>
          <w:color w:val="000000"/>
        </w:rPr>
        <w:t>扣除托管费、固定管理费、销售服务费（如有）后，投资发生亏损。</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以某投资者投资10万元</w:t>
      </w:r>
      <w:r>
        <w:rPr>
          <w:rFonts w:hint="eastAsia" w:ascii="宋体" w:hAnsi="宋体" w:cs="宋体"/>
          <w:bCs/>
          <w:color w:val="000000"/>
          <w:lang w:val="en-US" w:eastAsia="zh-CN"/>
        </w:rPr>
        <w:t>A份额</w:t>
      </w:r>
      <w:r>
        <w:rPr>
          <w:rFonts w:hint="eastAsia" w:ascii="宋体" w:hAnsi="宋体" w:cs="宋体"/>
          <w:bCs/>
          <w:color w:val="000000"/>
        </w:rPr>
        <w:t>为例，假设购买时理财计划净值为1.00元，折算份额为100,000.00份，假设投资理财计划362天后，</w:t>
      </w:r>
      <w:r>
        <w:rPr>
          <w:rFonts w:hint="eastAsia" w:ascii="宋体" w:hAnsi="宋体"/>
        </w:rPr>
        <w:t>赎回份额</w:t>
      </w:r>
      <w:r>
        <w:rPr>
          <w:rFonts w:hint="eastAsia" w:ascii="宋体" w:hAnsi="宋体" w:cs="宋体"/>
          <w:bCs/>
          <w:color w:val="000000"/>
        </w:rPr>
        <w:t>100,000.00</w:t>
      </w:r>
      <w:r>
        <w:rPr>
          <w:rFonts w:hint="eastAsia" w:ascii="宋体" w:hAnsi="宋体"/>
        </w:rPr>
        <w:t>份</w:t>
      </w:r>
      <w:r>
        <w:rPr>
          <w:rFonts w:hint="eastAsia" w:ascii="宋体" w:hAnsi="宋体" w:cs="宋体"/>
          <w:bCs/>
          <w:color w:val="000000"/>
        </w:rPr>
        <w:t>，期间无分红。赎回时假设管理人扣除托管费、固定管理费、销售服务费（如有）后，如理财计划净值为0.9975，投资者最终收益为：100,000.00×（0.9975-1.00）=-250.00（元）。</w:t>
      </w:r>
    </w:p>
    <w:p>
      <w:pPr>
        <w:numPr>
          <w:ilvl w:val="0"/>
          <w:numId w:val="35"/>
        </w:numPr>
        <w:spacing w:line="360" w:lineRule="auto"/>
        <w:ind w:firstLine="482" w:firstLineChars="200"/>
        <w:jc w:val="left"/>
        <w:outlineLvl w:val="2"/>
        <w:rPr>
          <w:rFonts w:hint="eastAsia" w:ascii="宋体" w:hAnsi="宋体" w:cs="宋体"/>
          <w:b/>
        </w:rPr>
      </w:pPr>
      <w:r>
        <w:rPr>
          <w:rFonts w:hint="eastAsia" w:ascii="宋体" w:hAnsi="宋体" w:cs="宋体"/>
          <w:b/>
        </w:rPr>
        <w:t>最不利情况分析</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由于市场波动导致投资资产贬值或者投资资产发生信用风险导致相应损失，使理财计划赎回或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rPr>
      </w:pPr>
    </w:p>
    <w:p>
      <w:pPr>
        <w:numPr>
          <w:ilvl w:val="0"/>
          <w:numId w:val="20"/>
        </w:numPr>
        <w:spacing w:line="360" w:lineRule="auto"/>
        <w:ind w:firstLine="482" w:firstLineChars="200"/>
        <w:jc w:val="left"/>
        <w:outlineLvl w:val="1"/>
        <w:rPr>
          <w:rFonts w:hint="eastAsia" w:ascii="宋体" w:hAnsi="宋体" w:cs="宋体"/>
          <w:b/>
        </w:rPr>
      </w:pPr>
      <w:r>
        <w:rPr>
          <w:rFonts w:hint="eastAsia" w:ascii="宋体" w:hAnsi="宋体" w:cs="宋体"/>
          <w:b/>
        </w:rPr>
        <w:t>交易规则</w:t>
      </w:r>
    </w:p>
    <w:p>
      <w:pPr>
        <w:numPr>
          <w:ilvl w:val="0"/>
          <w:numId w:val="37"/>
        </w:numPr>
        <w:spacing w:line="360" w:lineRule="auto"/>
        <w:ind w:firstLine="482" w:firstLineChars="200"/>
        <w:jc w:val="left"/>
        <w:outlineLvl w:val="2"/>
        <w:rPr>
          <w:rFonts w:hint="eastAsia" w:ascii="宋体" w:hAnsi="宋体" w:cs="宋体"/>
          <w:b/>
        </w:rPr>
      </w:pPr>
      <w:r>
        <w:rPr>
          <w:rFonts w:hint="eastAsia" w:ascii="宋体" w:hAnsi="宋体" w:cs="宋体"/>
          <w:b/>
        </w:rPr>
        <w:t>认购</w:t>
      </w:r>
    </w:p>
    <w:p>
      <w:pPr>
        <w:numPr>
          <w:ilvl w:val="0"/>
          <w:numId w:val="38"/>
        </w:numPr>
        <w:spacing w:line="360" w:lineRule="auto"/>
        <w:ind w:firstLine="480" w:firstLineChars="200"/>
        <w:jc w:val="left"/>
        <w:rPr>
          <w:rFonts w:hint="eastAsia" w:ascii="宋体" w:hAnsi="宋体" w:cs="宋体"/>
          <w:bCs/>
          <w:color w:val="000000"/>
        </w:rPr>
      </w:pPr>
      <w:r>
        <w:rPr>
          <w:rFonts w:hint="eastAsia" w:ascii="宋体" w:hAnsi="宋体" w:cs="宋体"/>
          <w:bCs/>
          <w:color w:val="000000"/>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具体以销售机构要求为准）。</w:t>
      </w:r>
    </w:p>
    <w:p>
      <w:pPr>
        <w:numPr>
          <w:ilvl w:val="0"/>
          <w:numId w:val="38"/>
        </w:numPr>
        <w:spacing w:line="360" w:lineRule="auto"/>
        <w:ind w:firstLine="480" w:firstLineChars="200"/>
        <w:jc w:val="left"/>
        <w:rPr>
          <w:rFonts w:hint="eastAsia" w:ascii="宋体" w:hAnsi="宋体" w:cs="宋体"/>
          <w:bCs/>
          <w:color w:val="000000"/>
        </w:rPr>
      </w:pPr>
      <w:r>
        <w:rPr>
          <w:rFonts w:hint="eastAsia" w:ascii="宋体" w:hAnsi="宋体" w:cs="宋体"/>
          <w:bCs/>
          <w:color w:val="000000"/>
        </w:rPr>
        <w:t>理财计划认购期内，投资者可以对本理财计划进行认购、追加、撤单，相应投资资金将在投资者指定账户中冻结。</w:t>
      </w:r>
    </w:p>
    <w:p>
      <w:pPr>
        <w:numPr>
          <w:ilvl w:val="0"/>
          <w:numId w:val="38"/>
        </w:numPr>
        <w:spacing w:line="360" w:lineRule="auto"/>
        <w:ind w:firstLine="480" w:firstLineChars="200"/>
        <w:jc w:val="left"/>
        <w:rPr>
          <w:rFonts w:hint="eastAsia" w:ascii="宋体" w:hAnsi="宋体" w:cs="宋体"/>
          <w:bCs/>
          <w:color w:val="000000"/>
        </w:rPr>
      </w:pPr>
      <w:r>
        <w:rPr>
          <w:rFonts w:hint="eastAsia" w:ascii="宋体" w:hAnsi="宋体" w:cs="宋体"/>
          <w:bCs/>
          <w:color w:val="000000"/>
        </w:rPr>
        <w:t>如新增认购使得单一投资者持有份额比例超过50％，管理人将不再接受超出部分的认购申请。非因投资管理人主观因素导致突破前款规定比例限制的，在单一投资者持有比例降至50％以下之前，管理人将不再接受该投资者对该理财产品的认购申请。投资者持有份额的计算以管理人登记为准。</w:t>
      </w:r>
    </w:p>
    <w:p>
      <w:pPr>
        <w:numPr>
          <w:ilvl w:val="0"/>
          <w:numId w:val="37"/>
        </w:numPr>
        <w:spacing w:line="360" w:lineRule="auto"/>
        <w:ind w:firstLine="482" w:firstLineChars="200"/>
        <w:jc w:val="left"/>
        <w:outlineLvl w:val="2"/>
        <w:rPr>
          <w:rFonts w:hint="eastAsia" w:ascii="宋体" w:hAnsi="宋体" w:cs="宋体"/>
          <w:b/>
        </w:rPr>
      </w:pPr>
      <w:r>
        <w:rPr>
          <w:rFonts w:hint="eastAsia" w:ascii="宋体" w:hAnsi="宋体" w:cs="宋体"/>
          <w:b/>
        </w:rPr>
        <w:t>成立</w:t>
      </w:r>
    </w:p>
    <w:p>
      <w:pPr>
        <w:numPr>
          <w:ilvl w:val="0"/>
          <w:numId w:val="39"/>
        </w:numPr>
        <w:spacing w:line="360" w:lineRule="auto"/>
        <w:ind w:firstLine="480" w:firstLineChars="200"/>
        <w:jc w:val="left"/>
        <w:rPr>
          <w:rFonts w:hint="eastAsia" w:ascii="宋体" w:hAnsi="宋体" w:cs="宋体"/>
          <w:bCs/>
          <w:color w:val="000000"/>
        </w:rPr>
      </w:pPr>
      <w:r>
        <w:rPr>
          <w:rFonts w:hint="eastAsia" w:ascii="宋体" w:hAnsi="宋体" w:cs="宋体"/>
          <w:bCs/>
          <w:color w:val="000000"/>
        </w:rPr>
        <w:t>销售机构有权以投资者的投资金额为限从投资者理财账户中进行资金扣划，无需投资者另行授权。</w:t>
      </w:r>
    </w:p>
    <w:p>
      <w:pPr>
        <w:numPr>
          <w:ilvl w:val="0"/>
          <w:numId w:val="39"/>
        </w:numPr>
        <w:spacing w:line="360" w:lineRule="auto"/>
        <w:ind w:firstLine="480" w:firstLineChars="200"/>
        <w:jc w:val="left"/>
        <w:rPr>
          <w:rFonts w:hint="eastAsia" w:ascii="宋体" w:hAnsi="宋体" w:cs="宋体"/>
          <w:b/>
        </w:rPr>
      </w:pPr>
      <w:r>
        <w:rPr>
          <w:rFonts w:hint="eastAsia" w:ascii="宋体" w:hAnsi="宋体" w:cs="宋体"/>
          <w:bCs/>
          <w:color w:val="000000"/>
        </w:rPr>
        <w:t>管理人将在理财计划成立日对认购期的认购及追加申请进行确认和划款。</w:t>
      </w:r>
    </w:p>
    <w:p>
      <w:pPr>
        <w:numPr>
          <w:ilvl w:val="0"/>
          <w:numId w:val="37"/>
        </w:numPr>
        <w:spacing w:line="360" w:lineRule="auto"/>
        <w:ind w:firstLine="482" w:firstLineChars="200"/>
        <w:jc w:val="left"/>
        <w:outlineLvl w:val="2"/>
        <w:rPr>
          <w:rFonts w:hint="eastAsia" w:ascii="宋体" w:hAnsi="宋体" w:cs="宋体"/>
          <w:b/>
        </w:rPr>
      </w:pPr>
      <w:r>
        <w:rPr>
          <w:rFonts w:hint="eastAsia" w:ascii="宋体" w:hAnsi="宋体" w:cs="宋体"/>
          <w:b/>
        </w:rPr>
        <w:t>申购及赎回</w:t>
      </w:r>
    </w:p>
    <w:p>
      <w:pPr>
        <w:numPr>
          <w:ilvl w:val="0"/>
          <w:numId w:val="40"/>
        </w:numPr>
        <w:spacing w:line="360" w:lineRule="auto"/>
        <w:ind w:firstLine="480" w:firstLineChars="200"/>
        <w:jc w:val="left"/>
        <w:rPr>
          <w:rFonts w:ascii="宋体" w:hAnsi="宋体" w:cs="宋体"/>
          <w:bCs/>
        </w:rPr>
      </w:pPr>
      <w:r>
        <w:rPr>
          <w:rFonts w:hint="eastAsia" w:ascii="宋体" w:hAnsi="宋体" w:cs="宋体"/>
          <w:bCs/>
        </w:rPr>
        <w:t>交易确认及时间</w:t>
      </w:r>
    </w:p>
    <w:p>
      <w:pPr>
        <w:numPr>
          <w:ilvl w:val="0"/>
          <w:numId w:val="41"/>
        </w:numPr>
        <w:spacing w:line="360" w:lineRule="auto"/>
        <w:ind w:firstLine="480" w:firstLineChars="200"/>
        <w:jc w:val="left"/>
        <w:rPr>
          <w:rFonts w:hint="eastAsia" w:ascii="宋体" w:hAnsi="宋体" w:cs="宋体"/>
          <w:bCs/>
        </w:rPr>
      </w:pPr>
      <w:r>
        <w:rPr>
          <w:rFonts w:hint="eastAsia" w:ascii="宋体" w:hAnsi="宋体" w:cs="宋体"/>
          <w:bCs/>
        </w:rPr>
        <w:t>本理财计划在每个开放期的开放日工作时间可进行申购和赎回，申购和赎回申请将在确认日进行确认，即开放期后的第〖1〗个工作日进行确认。</w:t>
      </w:r>
    </w:p>
    <w:p>
      <w:pPr>
        <w:numPr>
          <w:ilvl w:val="0"/>
          <w:numId w:val="41"/>
        </w:numPr>
        <w:spacing w:line="360" w:lineRule="auto"/>
        <w:ind w:firstLine="480" w:firstLineChars="200"/>
        <w:jc w:val="left"/>
        <w:rPr>
          <w:rFonts w:ascii="宋体" w:hAnsi="宋体" w:cs="宋体"/>
          <w:bCs/>
        </w:rPr>
      </w:pPr>
      <w:r>
        <w:rPr>
          <w:rFonts w:hint="eastAsia" w:ascii="宋体" w:hAnsi="宋体" w:cs="宋体"/>
          <w:bCs/>
        </w:rPr>
        <w:t>工作时间为每个工作日上午〖9:00〗至下午〖17:00〗。</w:t>
      </w:r>
      <w:r>
        <w:rPr>
          <w:rFonts w:hint="eastAsia" w:ascii="宋体" w:hAnsi="宋体" w:cs="宋体"/>
          <w:color w:val="000000"/>
          <w:kern w:val="0"/>
        </w:rPr>
        <w:t>（具体以销售机构规定为准）</w:t>
      </w:r>
    </w:p>
    <w:p>
      <w:pPr>
        <w:numPr>
          <w:ilvl w:val="0"/>
          <w:numId w:val="41"/>
        </w:numPr>
        <w:spacing w:line="360" w:lineRule="auto"/>
        <w:ind w:firstLine="480" w:firstLineChars="200"/>
        <w:jc w:val="left"/>
        <w:rPr>
          <w:rFonts w:ascii="宋体" w:hAnsi="宋体" w:cs="宋体"/>
          <w:bCs/>
        </w:rPr>
      </w:pPr>
      <w:r>
        <w:rPr>
          <w:rFonts w:hint="eastAsia" w:ascii="宋体" w:hAnsi="宋体" w:cs="宋体"/>
          <w:bCs/>
        </w:rPr>
        <w:t>如</w:t>
      </w:r>
      <w:r>
        <w:rPr>
          <w:rFonts w:hint="eastAsia" w:ascii="宋体" w:hAnsi="宋体" w:cs="宋体"/>
          <w:bCs/>
          <w:color w:val="000000"/>
        </w:rPr>
        <w:t>新增申购使得单一投资者持有份额比例超过50％，管理人将不再接受超出部分的申购申请。非因投资管理人主观因素导致突破前款规定比例限制的，在单一投资者持有比例降至50％以下之前，管理人将不再接受该投资者对该理财产品的申购申请。投资者持有份额的计算以管理人登记为准。</w:t>
      </w:r>
    </w:p>
    <w:p>
      <w:pPr>
        <w:numPr>
          <w:ilvl w:val="0"/>
          <w:numId w:val="40"/>
        </w:numPr>
        <w:spacing w:line="360" w:lineRule="auto"/>
        <w:ind w:firstLine="480" w:firstLineChars="200"/>
        <w:jc w:val="left"/>
        <w:rPr>
          <w:rFonts w:ascii="宋体" w:hAnsi="宋体" w:cs="宋体"/>
          <w:bCs/>
        </w:rPr>
      </w:pPr>
      <w:r>
        <w:rPr>
          <w:rFonts w:hint="eastAsia" w:ascii="宋体" w:hAnsi="宋体" w:cs="宋体"/>
          <w:bCs/>
        </w:rPr>
        <w:t>到账时间</w:t>
      </w:r>
    </w:p>
    <w:p>
      <w:pPr>
        <w:spacing w:line="360" w:lineRule="auto"/>
        <w:ind w:firstLine="480" w:firstLineChars="200"/>
        <w:jc w:val="left"/>
        <w:rPr>
          <w:rFonts w:ascii="宋体" w:hAnsi="宋体" w:cs="宋体"/>
          <w:bCs/>
        </w:rPr>
      </w:pPr>
      <w:r>
        <w:rPr>
          <w:rFonts w:hint="eastAsia" w:ascii="宋体" w:hAnsi="宋体" w:cs="宋体"/>
          <w:bCs/>
        </w:rPr>
        <w:t>赎回资金确认后，最快〖1〗个工作日，最晚〖3〗个工作日内（遇节假日顺延）理财资金与收益将一次性支付。如遇资金在途或法定工作日调整，实际资金到账日以公告为准。</w:t>
      </w:r>
      <w:r>
        <w:rPr>
          <w:rFonts w:hint="eastAsia" w:ascii="宋体" w:hAnsi="宋体" w:cs="宋体"/>
          <w:color w:val="000000"/>
          <w:kern w:val="0"/>
        </w:rPr>
        <w:t>（具体以销售机构规定为准）</w:t>
      </w:r>
    </w:p>
    <w:p>
      <w:pPr>
        <w:numPr>
          <w:ilvl w:val="0"/>
          <w:numId w:val="40"/>
        </w:numPr>
        <w:spacing w:line="360" w:lineRule="auto"/>
        <w:ind w:firstLine="480" w:firstLineChars="200"/>
        <w:jc w:val="left"/>
        <w:rPr>
          <w:rFonts w:ascii="宋体" w:hAnsi="宋体" w:cs="宋体"/>
          <w:bCs/>
        </w:rPr>
      </w:pPr>
      <w:r>
        <w:rPr>
          <w:rFonts w:hint="eastAsia" w:ascii="宋体" w:hAnsi="宋体" w:cs="宋体"/>
          <w:bCs/>
        </w:rPr>
        <w:t>巨额赎回处理</w:t>
      </w:r>
    </w:p>
    <w:p>
      <w:pPr>
        <w:numPr>
          <w:ilvl w:val="0"/>
          <w:numId w:val="42"/>
        </w:numPr>
        <w:spacing w:line="360" w:lineRule="auto"/>
        <w:ind w:firstLine="480" w:firstLineChars="200"/>
        <w:jc w:val="left"/>
        <w:rPr>
          <w:rFonts w:hint="eastAsia" w:ascii="宋体" w:hAnsi="宋体" w:cs="宋体"/>
          <w:bCs/>
        </w:rPr>
      </w:pPr>
      <w:r>
        <w:rPr>
          <w:rFonts w:hint="eastAsia" w:ascii="宋体" w:hAnsi="宋体" w:cs="宋体"/>
          <w:bCs/>
        </w:rPr>
        <w:t>巨额赎回认定</w:t>
      </w:r>
    </w:p>
    <w:p>
      <w:pPr>
        <w:spacing w:line="360" w:lineRule="auto"/>
        <w:ind w:firstLine="480" w:firstLineChars="200"/>
        <w:jc w:val="left"/>
        <w:rPr>
          <w:rFonts w:ascii="宋体" w:hAnsi="宋体" w:cs="宋体"/>
          <w:bCs/>
        </w:rPr>
      </w:pPr>
      <w:r>
        <w:rPr>
          <w:rFonts w:hint="eastAsia" w:ascii="宋体" w:hAnsi="宋体" w:cs="宋体"/>
          <w:bCs/>
        </w:rPr>
        <w:t>理财计划存续期内，若理财计划开放日净赎回申请份额超过上一日日终理财计划总份额〖10%〗时，即构成巨额赎回。</w:t>
      </w:r>
    </w:p>
    <w:p>
      <w:pPr>
        <w:numPr>
          <w:ilvl w:val="0"/>
          <w:numId w:val="42"/>
        </w:numPr>
        <w:spacing w:line="360" w:lineRule="auto"/>
        <w:ind w:firstLine="480" w:firstLineChars="200"/>
        <w:jc w:val="left"/>
        <w:rPr>
          <w:rFonts w:ascii="宋体" w:hAnsi="宋体" w:cs="宋体"/>
          <w:bCs/>
        </w:rPr>
      </w:pPr>
      <w:r>
        <w:rPr>
          <w:rFonts w:hint="eastAsia" w:ascii="宋体" w:hAnsi="宋体" w:cs="宋体"/>
          <w:bCs/>
        </w:rPr>
        <w:t>巨额赎回处理</w:t>
      </w:r>
    </w:p>
    <w:p>
      <w:pPr>
        <w:spacing w:line="360" w:lineRule="auto"/>
        <w:ind w:firstLine="480" w:firstLineChars="200"/>
        <w:jc w:val="left"/>
        <w:rPr>
          <w:rFonts w:ascii="宋体" w:hAnsi="宋体" w:cs="宋体"/>
          <w:bCs/>
        </w:rPr>
      </w:pPr>
      <w:r>
        <w:rPr>
          <w:rFonts w:hint="eastAsia" w:ascii="宋体" w:hAnsi="宋体" w:cs="宋体"/>
          <w:bCs/>
        </w:rPr>
        <w:t>当出现巨额赎回时，管理人可以根据资产组合状况决定采取全额赎回或拒绝超出部分的赎回申请。如连续2日（含）以上开放日发生巨额赎回，对于已经接受的赎回申请，管理人可以延缓支付赎回款项，但延缓期限不得超过5个工作日。</w:t>
      </w:r>
    </w:p>
    <w:p>
      <w:pPr>
        <w:numPr>
          <w:ilvl w:val="0"/>
          <w:numId w:val="42"/>
        </w:numPr>
        <w:spacing w:line="360" w:lineRule="auto"/>
        <w:ind w:firstLine="480" w:firstLineChars="200"/>
        <w:jc w:val="left"/>
        <w:rPr>
          <w:rFonts w:ascii="宋体" w:hAnsi="宋体" w:cs="宋体"/>
          <w:bCs/>
        </w:rPr>
      </w:pPr>
      <w:r>
        <w:rPr>
          <w:rFonts w:hint="eastAsia" w:ascii="宋体" w:hAnsi="宋体" w:cs="宋体"/>
          <w:bCs/>
        </w:rPr>
        <w:t>全部赎回</w:t>
      </w:r>
    </w:p>
    <w:p>
      <w:pPr>
        <w:spacing w:line="360" w:lineRule="auto"/>
        <w:ind w:firstLine="480" w:firstLineChars="200"/>
        <w:jc w:val="left"/>
        <w:rPr>
          <w:rFonts w:ascii="宋体" w:hAnsi="宋体" w:cs="宋体"/>
          <w:bCs/>
        </w:rPr>
      </w:pPr>
      <w:r>
        <w:rPr>
          <w:rFonts w:hint="eastAsia" w:ascii="宋体" w:hAnsi="宋体" w:cs="宋体"/>
          <w:bCs/>
        </w:rPr>
        <w:t>当管理人认为全额兑付投资者的赎回申请将不会对本理财计划净值造成较大波动或给本理财计划造成重大损失时，按正常赎回程序执行。</w:t>
      </w:r>
    </w:p>
    <w:p>
      <w:pPr>
        <w:numPr>
          <w:ilvl w:val="0"/>
          <w:numId w:val="42"/>
        </w:numPr>
        <w:spacing w:line="360" w:lineRule="auto"/>
        <w:ind w:firstLine="480" w:firstLineChars="200"/>
        <w:jc w:val="left"/>
        <w:rPr>
          <w:rFonts w:ascii="宋体" w:hAnsi="宋体" w:cs="宋体"/>
          <w:bCs/>
        </w:rPr>
      </w:pPr>
      <w:r>
        <w:rPr>
          <w:rFonts w:hint="eastAsia" w:ascii="宋体" w:hAnsi="宋体" w:cs="宋体"/>
          <w:bCs/>
        </w:rPr>
        <w:t>拒绝超出部分的赎回申请</w:t>
      </w:r>
    </w:p>
    <w:p>
      <w:pPr>
        <w:spacing w:line="360" w:lineRule="auto"/>
        <w:ind w:firstLine="480" w:firstLineChars="200"/>
        <w:jc w:val="left"/>
        <w:rPr>
          <w:rFonts w:hint="eastAsia" w:ascii="宋体" w:hAnsi="宋体" w:cs="宋体"/>
          <w:bCs/>
        </w:rPr>
      </w:pPr>
      <w:r>
        <w:rPr>
          <w:rFonts w:hint="eastAsia" w:ascii="宋体" w:hAnsi="宋体" w:cs="宋体"/>
          <w:bCs/>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2"/>
        </w:numPr>
        <w:spacing w:line="360" w:lineRule="auto"/>
        <w:ind w:firstLine="480" w:firstLineChars="200"/>
        <w:jc w:val="left"/>
        <w:rPr>
          <w:rFonts w:ascii="宋体" w:hAnsi="宋体" w:cs="宋体"/>
          <w:bCs/>
        </w:rPr>
      </w:pPr>
      <w:r>
        <w:rPr>
          <w:rFonts w:hint="eastAsia" w:ascii="宋体" w:hAnsi="宋体" w:cs="宋体"/>
          <w:bCs/>
        </w:rPr>
        <w:t>在理财计划存续期内，管理人有权根据市场情况调整巨额赎回金额比例，并及时进行对外公告。</w:t>
      </w:r>
    </w:p>
    <w:p>
      <w:pPr>
        <w:numPr>
          <w:ilvl w:val="0"/>
          <w:numId w:val="40"/>
        </w:numPr>
        <w:spacing w:line="360" w:lineRule="auto"/>
        <w:ind w:firstLine="480" w:firstLineChars="200"/>
        <w:jc w:val="left"/>
        <w:rPr>
          <w:rFonts w:ascii="宋体" w:hAnsi="宋体" w:cs="宋体"/>
          <w:bCs/>
        </w:rPr>
      </w:pPr>
      <w:r>
        <w:rPr>
          <w:rFonts w:hint="eastAsia" w:ascii="宋体" w:hAnsi="宋体" w:cs="宋体"/>
          <w:bCs/>
        </w:rPr>
        <w:t>暂停申购、赎回及延期支付赎回的情形</w:t>
      </w:r>
    </w:p>
    <w:p>
      <w:pPr>
        <w:spacing w:line="360" w:lineRule="auto"/>
        <w:ind w:firstLine="480" w:firstLineChars="200"/>
        <w:jc w:val="left"/>
        <w:rPr>
          <w:rFonts w:hint="eastAsia" w:ascii="宋体" w:hAnsi="宋体" w:cs="宋体"/>
          <w:bCs/>
        </w:rPr>
      </w:pPr>
      <w:r>
        <w:rPr>
          <w:rFonts w:hint="eastAsia" w:ascii="宋体" w:hAnsi="宋体" w:cs="宋体"/>
          <w:bCs/>
        </w:rPr>
        <w:t>发生以下情形，管理人可暂停接受全部或部分投资者的申购申请：</w:t>
      </w:r>
    </w:p>
    <w:p>
      <w:pPr>
        <w:numPr>
          <w:ilvl w:val="0"/>
          <w:numId w:val="43"/>
        </w:numPr>
        <w:spacing w:line="360" w:lineRule="auto"/>
        <w:ind w:firstLine="480" w:firstLineChars="200"/>
        <w:jc w:val="left"/>
        <w:rPr>
          <w:rFonts w:ascii="宋体" w:hAnsi="宋体" w:cs="宋体"/>
          <w:bCs/>
        </w:rPr>
      </w:pPr>
      <w:r>
        <w:rPr>
          <w:rFonts w:hint="eastAsia" w:ascii="宋体" w:hAnsi="宋体" w:cs="宋体"/>
          <w:bCs/>
        </w:rPr>
        <w:t>理财计划资产规模过大，继续接受申购可能对理财计划业绩产生负面影响，从而损害现有份额持有人利益的情形时。</w:t>
      </w:r>
    </w:p>
    <w:p>
      <w:pPr>
        <w:numPr>
          <w:ilvl w:val="0"/>
          <w:numId w:val="43"/>
        </w:numPr>
        <w:spacing w:line="360" w:lineRule="auto"/>
        <w:ind w:firstLine="480" w:firstLineChars="200"/>
        <w:jc w:val="left"/>
        <w:rPr>
          <w:rFonts w:ascii="宋体" w:hAnsi="宋体" w:cs="宋体"/>
          <w:bCs/>
        </w:rPr>
      </w:pPr>
      <w:r>
        <w:rPr>
          <w:rFonts w:hint="eastAsia" w:ascii="宋体" w:hAnsi="宋体" w:cs="宋体"/>
          <w:bCs/>
        </w:rPr>
        <w:t>当管理人认为某笔申购申请会有损于其他份额持有人利益的情形时。</w:t>
      </w:r>
    </w:p>
    <w:p>
      <w:pPr>
        <w:numPr>
          <w:ilvl w:val="0"/>
          <w:numId w:val="43"/>
        </w:numPr>
        <w:spacing w:line="360" w:lineRule="auto"/>
        <w:ind w:firstLine="480" w:firstLineChars="200"/>
        <w:jc w:val="left"/>
        <w:rPr>
          <w:rFonts w:ascii="宋体" w:hAnsi="宋体" w:cs="宋体"/>
          <w:bCs/>
        </w:rPr>
      </w:pPr>
      <w:r>
        <w:rPr>
          <w:rFonts w:hint="eastAsia" w:ascii="宋体" w:hAnsi="宋体" w:cs="宋体"/>
          <w:bCs/>
        </w:rPr>
        <w:t>发生产品说明书约定的暂停估值的情形时。</w:t>
      </w:r>
    </w:p>
    <w:p>
      <w:pPr>
        <w:numPr>
          <w:ilvl w:val="0"/>
          <w:numId w:val="43"/>
        </w:numPr>
        <w:spacing w:line="360" w:lineRule="auto"/>
        <w:ind w:firstLine="480" w:firstLineChars="200"/>
        <w:jc w:val="left"/>
        <w:rPr>
          <w:rFonts w:ascii="宋体" w:hAnsi="宋体" w:cs="宋体"/>
          <w:bCs/>
        </w:rPr>
      </w:pPr>
      <w:r>
        <w:rPr>
          <w:rFonts w:hint="eastAsia" w:ascii="宋体" w:hAnsi="宋体" w:cs="宋体"/>
          <w:bCs/>
        </w:rPr>
        <w:t>法律法规规定或监管机构认定的其他情形。</w:t>
      </w:r>
    </w:p>
    <w:p>
      <w:pPr>
        <w:spacing w:line="360" w:lineRule="auto"/>
        <w:ind w:firstLine="480" w:firstLineChars="200"/>
        <w:jc w:val="left"/>
        <w:rPr>
          <w:rFonts w:hint="eastAsia" w:ascii="宋体" w:hAnsi="宋体" w:cs="宋体"/>
          <w:bCs/>
        </w:rPr>
      </w:pPr>
      <w:r>
        <w:rPr>
          <w:rFonts w:hint="eastAsia" w:ascii="宋体" w:hAnsi="宋体" w:cs="宋体"/>
          <w:bCs/>
        </w:rPr>
        <w:t>发生以下情形，对超出前一日终理财产品总份额10%的赎回申请，管理人可暂停接受全部或部分、延期办理投资者的赎回申请：</w:t>
      </w:r>
    </w:p>
    <w:p>
      <w:pPr>
        <w:numPr>
          <w:ilvl w:val="0"/>
          <w:numId w:val="44"/>
        </w:numPr>
        <w:spacing w:line="360" w:lineRule="auto"/>
        <w:ind w:firstLine="480" w:firstLineChars="200"/>
        <w:jc w:val="left"/>
        <w:rPr>
          <w:rFonts w:ascii="宋体" w:hAnsi="宋体" w:cs="宋体"/>
          <w:bCs/>
        </w:rPr>
      </w:pPr>
      <w:r>
        <w:rPr>
          <w:rFonts w:hint="eastAsia" w:ascii="宋体" w:hAnsi="宋体" w:cs="宋体"/>
          <w:bCs/>
        </w:rPr>
        <w:t>理财计划发生巨额赎回情形时。</w:t>
      </w:r>
    </w:p>
    <w:p>
      <w:pPr>
        <w:numPr>
          <w:ilvl w:val="0"/>
          <w:numId w:val="44"/>
        </w:numPr>
        <w:spacing w:line="360" w:lineRule="auto"/>
        <w:ind w:firstLine="480" w:firstLineChars="200"/>
        <w:jc w:val="left"/>
        <w:rPr>
          <w:rFonts w:ascii="宋体" w:hAnsi="宋体" w:cs="宋体"/>
          <w:bCs/>
        </w:rPr>
      </w:pPr>
      <w:r>
        <w:rPr>
          <w:rFonts w:hint="eastAsia" w:ascii="宋体" w:hAnsi="宋体" w:cs="宋体"/>
          <w:bCs/>
        </w:rPr>
        <w:t>当继续</w:t>
      </w:r>
      <w:r>
        <w:rPr>
          <w:rFonts w:ascii="宋体" w:hAnsi="宋体" w:cs="宋体"/>
          <w:bCs/>
        </w:rPr>
        <w:t>接受赎回申请将损害存量投资者利益的情形</w:t>
      </w:r>
      <w:r>
        <w:rPr>
          <w:rFonts w:hint="eastAsia" w:ascii="宋体" w:hAnsi="宋体" w:cs="宋体"/>
          <w:bCs/>
        </w:rPr>
        <w:t>时。</w:t>
      </w:r>
    </w:p>
    <w:p>
      <w:pPr>
        <w:numPr>
          <w:ilvl w:val="0"/>
          <w:numId w:val="44"/>
        </w:numPr>
        <w:spacing w:line="360" w:lineRule="auto"/>
        <w:ind w:firstLine="480" w:firstLineChars="200"/>
        <w:jc w:val="left"/>
        <w:rPr>
          <w:rFonts w:ascii="宋体" w:hAnsi="宋体" w:cs="宋体"/>
          <w:bCs/>
        </w:rPr>
      </w:pPr>
      <w:r>
        <w:rPr>
          <w:rFonts w:hint="eastAsia" w:ascii="宋体" w:hAnsi="宋体" w:cs="宋体"/>
          <w:bCs/>
        </w:rPr>
        <w:t>当</w:t>
      </w:r>
      <w:r>
        <w:rPr>
          <w:rFonts w:ascii="宋体" w:hAnsi="宋体" w:cs="宋体"/>
          <w:bCs/>
        </w:rPr>
        <w:t>前一估值日</w:t>
      </w:r>
      <w:r>
        <w:rPr>
          <w:rFonts w:hint="eastAsia" w:ascii="宋体" w:hAnsi="宋体" w:cs="宋体"/>
          <w:bCs/>
        </w:rPr>
        <w:t>理财计划</w:t>
      </w:r>
      <w:r>
        <w:rPr>
          <w:rFonts w:ascii="宋体" w:hAnsi="宋体" w:cs="宋体"/>
          <w:bCs/>
        </w:rPr>
        <w:t>资产净值50%以上的资产不具备活跃交易市场或者在活跃市场中无报价，且不能采用估值技术可靠计量公允价值</w:t>
      </w:r>
      <w:r>
        <w:rPr>
          <w:rFonts w:hint="eastAsia" w:ascii="宋体" w:hAnsi="宋体" w:cs="宋体"/>
          <w:bCs/>
        </w:rPr>
        <w:t>的情形</w:t>
      </w:r>
      <w:r>
        <w:rPr>
          <w:rFonts w:ascii="宋体" w:hAnsi="宋体" w:cs="宋体"/>
          <w:bCs/>
        </w:rPr>
        <w:t>时</w:t>
      </w:r>
      <w:r>
        <w:rPr>
          <w:rFonts w:hint="eastAsia" w:ascii="宋体" w:hAnsi="宋体" w:cs="宋体"/>
          <w:bCs/>
        </w:rPr>
        <w:t>。</w:t>
      </w:r>
    </w:p>
    <w:p>
      <w:pPr>
        <w:numPr>
          <w:ilvl w:val="0"/>
          <w:numId w:val="44"/>
        </w:numPr>
        <w:spacing w:line="360" w:lineRule="auto"/>
        <w:ind w:firstLine="480" w:firstLineChars="200"/>
        <w:jc w:val="left"/>
        <w:rPr>
          <w:rFonts w:ascii="宋体" w:hAnsi="宋体" w:cs="宋体"/>
          <w:bCs/>
        </w:rPr>
      </w:pPr>
      <w:r>
        <w:rPr>
          <w:rFonts w:hint="eastAsia" w:ascii="宋体" w:hAnsi="宋体" w:cs="宋体"/>
          <w:bCs/>
        </w:rPr>
        <w:t>发生产品说明书约定的暂停估值的情形时。</w:t>
      </w:r>
    </w:p>
    <w:p>
      <w:pPr>
        <w:numPr>
          <w:ilvl w:val="0"/>
          <w:numId w:val="44"/>
        </w:numPr>
        <w:spacing w:line="360" w:lineRule="auto"/>
        <w:ind w:firstLine="480" w:firstLineChars="200"/>
        <w:jc w:val="left"/>
        <w:rPr>
          <w:rFonts w:ascii="宋体" w:hAnsi="宋体" w:cs="宋体"/>
          <w:bCs/>
        </w:rPr>
      </w:pPr>
      <w:r>
        <w:rPr>
          <w:rFonts w:hint="eastAsia" w:ascii="宋体" w:hAnsi="宋体" w:cs="宋体"/>
          <w:bCs/>
        </w:rPr>
        <w:t>法律法规规定或监管机构认定的其他情形。</w:t>
      </w:r>
    </w:p>
    <w:p>
      <w:pPr>
        <w:spacing w:line="360" w:lineRule="auto"/>
        <w:ind w:firstLine="480" w:firstLineChars="200"/>
        <w:jc w:val="left"/>
        <w:rPr>
          <w:rFonts w:hint="eastAsia" w:ascii="宋体" w:hAnsi="宋体" w:cs="宋体"/>
          <w:bCs/>
        </w:rPr>
      </w:pPr>
      <w:r>
        <w:rPr>
          <w:rFonts w:hint="eastAsia" w:ascii="宋体" w:hAnsi="宋体" w:cs="宋体"/>
          <w:bCs/>
        </w:rPr>
        <w:t>发生以下情形，管理人对已接受的赎回申请，可延期支付赎回款项：</w:t>
      </w:r>
    </w:p>
    <w:p>
      <w:pPr>
        <w:numPr>
          <w:ilvl w:val="0"/>
          <w:numId w:val="45"/>
        </w:numPr>
        <w:spacing w:line="360" w:lineRule="auto"/>
        <w:ind w:firstLine="480" w:firstLineChars="200"/>
        <w:jc w:val="left"/>
        <w:rPr>
          <w:rFonts w:ascii="宋体" w:hAnsi="宋体" w:cs="宋体"/>
          <w:bCs/>
        </w:rPr>
      </w:pPr>
      <w:r>
        <w:rPr>
          <w:rFonts w:hint="eastAsia" w:ascii="宋体" w:hAnsi="宋体" w:cs="宋体"/>
          <w:bCs/>
        </w:rPr>
        <w:t>因不可抗力等原因，导致管理人接受赎回申请后无法及时兑付的情形时。</w:t>
      </w:r>
    </w:p>
    <w:p>
      <w:pPr>
        <w:numPr>
          <w:ilvl w:val="0"/>
          <w:numId w:val="45"/>
        </w:numPr>
        <w:spacing w:line="360" w:lineRule="auto"/>
        <w:ind w:firstLine="480" w:firstLineChars="200"/>
        <w:jc w:val="left"/>
        <w:rPr>
          <w:rFonts w:ascii="宋体" w:hAnsi="宋体" w:cs="宋体"/>
          <w:bCs/>
        </w:rPr>
      </w:pPr>
      <w:r>
        <w:rPr>
          <w:rFonts w:hint="eastAsia" w:ascii="宋体" w:hAnsi="宋体" w:cs="宋体"/>
          <w:bCs/>
        </w:rPr>
        <w:t>连续</w:t>
      </w:r>
      <w:r>
        <w:rPr>
          <w:rFonts w:ascii="宋体" w:hAnsi="宋体" w:cs="宋体"/>
          <w:bCs/>
        </w:rPr>
        <w:t>2</w:t>
      </w:r>
      <w:r>
        <w:rPr>
          <w:rFonts w:hint="eastAsia" w:ascii="宋体" w:hAnsi="宋体" w:cs="宋体"/>
          <w:bCs/>
        </w:rPr>
        <w:t>日</w:t>
      </w:r>
      <w:r>
        <w:rPr>
          <w:rFonts w:ascii="宋体" w:hAnsi="宋体" w:cs="宋体"/>
          <w:bCs/>
        </w:rPr>
        <w:t>（含）以上开放日发生巨额赎回的</w:t>
      </w:r>
      <w:r>
        <w:rPr>
          <w:rFonts w:hint="eastAsia" w:ascii="宋体" w:hAnsi="宋体" w:cs="宋体"/>
          <w:bCs/>
        </w:rPr>
        <w:t>情形时。</w:t>
      </w:r>
    </w:p>
    <w:p>
      <w:pPr>
        <w:numPr>
          <w:ilvl w:val="0"/>
          <w:numId w:val="45"/>
        </w:numPr>
        <w:spacing w:line="360" w:lineRule="auto"/>
        <w:ind w:firstLine="480" w:firstLineChars="200"/>
        <w:jc w:val="left"/>
        <w:rPr>
          <w:rFonts w:ascii="宋体" w:hAnsi="宋体" w:cs="宋体"/>
          <w:bCs/>
        </w:rPr>
      </w:pPr>
      <w:r>
        <w:rPr>
          <w:rFonts w:hint="eastAsia" w:ascii="宋体" w:hAnsi="宋体" w:cs="宋体"/>
          <w:bCs/>
        </w:rPr>
        <w:t>当前</w:t>
      </w:r>
      <w:r>
        <w:rPr>
          <w:rFonts w:ascii="宋体" w:hAnsi="宋体" w:cs="宋体"/>
          <w:bCs/>
        </w:rPr>
        <w:t>一估值日</w:t>
      </w:r>
      <w:r>
        <w:rPr>
          <w:rFonts w:hint="eastAsia" w:ascii="宋体" w:hAnsi="宋体" w:cs="宋体"/>
          <w:bCs/>
        </w:rPr>
        <w:t>理财计划</w:t>
      </w:r>
      <w:r>
        <w:rPr>
          <w:rFonts w:ascii="宋体" w:hAnsi="宋体" w:cs="宋体"/>
          <w:bCs/>
        </w:rPr>
        <w:t>资产净值50%以上的资产不具备活跃交易市场或者在活跃市场中无报价，且不能采用估值技术可靠计量公允价值</w:t>
      </w:r>
      <w:r>
        <w:rPr>
          <w:rFonts w:hint="eastAsia" w:ascii="宋体" w:hAnsi="宋体" w:cs="宋体"/>
          <w:bCs/>
        </w:rPr>
        <w:t>的情形</w:t>
      </w:r>
      <w:r>
        <w:rPr>
          <w:rFonts w:ascii="宋体" w:hAnsi="宋体" w:cs="宋体"/>
          <w:bCs/>
        </w:rPr>
        <w:t>时</w:t>
      </w:r>
      <w:r>
        <w:rPr>
          <w:rFonts w:hint="eastAsia" w:ascii="宋体" w:hAnsi="宋体" w:cs="宋体"/>
          <w:bCs/>
        </w:rPr>
        <w:t>。</w:t>
      </w:r>
    </w:p>
    <w:p>
      <w:pPr>
        <w:numPr>
          <w:ilvl w:val="0"/>
          <w:numId w:val="45"/>
        </w:numPr>
        <w:spacing w:line="360" w:lineRule="auto"/>
        <w:ind w:firstLine="480" w:firstLineChars="200"/>
        <w:jc w:val="left"/>
        <w:rPr>
          <w:rFonts w:ascii="宋体" w:hAnsi="宋体" w:cs="宋体"/>
          <w:bCs/>
        </w:rPr>
      </w:pPr>
      <w:r>
        <w:rPr>
          <w:rFonts w:hint="eastAsia" w:ascii="宋体" w:hAnsi="宋体" w:cs="宋体"/>
          <w:bCs/>
        </w:rPr>
        <w:t>法律法规规定或监管机构认定的其他情形。</w:t>
      </w:r>
    </w:p>
    <w:p>
      <w:pPr>
        <w:numPr>
          <w:ilvl w:val="0"/>
          <w:numId w:val="37"/>
        </w:numPr>
        <w:spacing w:line="360" w:lineRule="auto"/>
        <w:ind w:firstLine="482" w:firstLineChars="200"/>
        <w:jc w:val="left"/>
        <w:outlineLvl w:val="2"/>
        <w:rPr>
          <w:rFonts w:hint="eastAsia" w:ascii="宋体" w:hAnsi="宋体" w:cs="宋体"/>
          <w:b/>
        </w:rPr>
      </w:pPr>
      <w:r>
        <w:rPr>
          <w:rFonts w:hint="eastAsia" w:ascii="宋体" w:hAnsi="宋体" w:cs="宋体"/>
          <w:b/>
        </w:rPr>
        <w:t>到期清算</w:t>
      </w:r>
    </w:p>
    <w:p>
      <w:pPr>
        <w:spacing w:line="360" w:lineRule="auto"/>
        <w:ind w:firstLine="480" w:firstLineChars="200"/>
        <w:jc w:val="left"/>
        <w:rPr>
          <w:rFonts w:ascii="宋体" w:hAnsi="宋体" w:cs="宋体"/>
          <w:bCs/>
        </w:rPr>
      </w:pPr>
      <w:r>
        <w:rPr>
          <w:rFonts w:hint="eastAsia" w:ascii="宋体" w:hAnsi="宋体" w:cs="宋体"/>
          <w:bCs/>
        </w:rPr>
        <w:t>正常到期清算：本理财计划终止后，管理人将按照清算后的资产净值按持有份额比例对投资者进行分配，并通过销售机构最快〖1〗个工作日、最晚〖3〗个工作日内（遇节假日顺延）将资金按规定的要求划入投资者授权指定的理财账户。</w:t>
      </w:r>
      <w:r>
        <w:rPr>
          <w:rFonts w:hint="eastAsia" w:ascii="宋体" w:hAnsi="宋体" w:cs="宋体"/>
          <w:color w:val="000000"/>
          <w:kern w:val="0"/>
        </w:rPr>
        <w:t>（具体以销售机构规定为准）</w:t>
      </w:r>
    </w:p>
    <w:p>
      <w:pPr>
        <w:numPr>
          <w:ilvl w:val="0"/>
          <w:numId w:val="37"/>
        </w:numPr>
        <w:spacing w:line="360" w:lineRule="auto"/>
        <w:ind w:firstLine="482" w:firstLineChars="200"/>
        <w:jc w:val="left"/>
        <w:outlineLvl w:val="2"/>
        <w:rPr>
          <w:rFonts w:hint="eastAsia" w:ascii="宋体" w:hAnsi="宋体" w:cs="宋体"/>
          <w:b/>
        </w:rPr>
      </w:pPr>
      <w:r>
        <w:rPr>
          <w:rFonts w:hint="eastAsia" w:ascii="宋体" w:hAnsi="宋体" w:cs="宋体"/>
          <w:b/>
        </w:rPr>
        <w:t>提前终止</w:t>
      </w:r>
    </w:p>
    <w:p>
      <w:pPr>
        <w:spacing w:line="360" w:lineRule="auto"/>
        <w:ind w:firstLine="480" w:firstLineChars="200"/>
        <w:jc w:val="left"/>
        <w:rPr>
          <w:rFonts w:hint="eastAsia" w:ascii="宋体" w:hAnsi="宋体" w:cs="宋体"/>
          <w:bCs/>
        </w:rPr>
      </w:pPr>
      <w:r>
        <w:rPr>
          <w:rFonts w:hint="eastAsia" w:ascii="宋体" w:hAnsi="宋体" w:cs="宋体"/>
          <w:bCs/>
        </w:rPr>
        <w:t>在理财计划期限内，管理人根据投资情况有提前终止权，于本理财计划提前终止日前</w:t>
      </w:r>
      <w:r>
        <w:rPr>
          <w:rFonts w:hint="eastAsia" w:ascii="宋体" w:hAnsi="宋体" w:cs="宋体"/>
        </w:rPr>
        <w:t>〖1</w:t>
      </w:r>
      <w:r>
        <w:rPr>
          <w:rFonts w:hint="eastAsia" w:ascii="宋体" w:hAnsi="宋体" w:cs="宋体"/>
          <w:bCs/>
          <w:color w:val="000000"/>
        </w:rPr>
        <w:t>〗</w:t>
      </w:r>
      <w:r>
        <w:rPr>
          <w:rFonts w:hint="eastAsia" w:ascii="宋体" w:hAnsi="宋体" w:cs="宋体"/>
          <w:bCs/>
        </w:rPr>
        <w:t>个工作日通过管理人或销售机构发布提前终止公告，并于终止日后</w:t>
      </w:r>
      <w:r>
        <w:rPr>
          <w:rFonts w:hint="eastAsia" w:ascii="宋体" w:hAnsi="宋体" w:cs="宋体"/>
        </w:rPr>
        <w:t>〖</w:t>
      </w:r>
      <w:r>
        <w:rPr>
          <w:rFonts w:hint="eastAsia" w:ascii="宋体" w:hAnsi="宋体" w:cs="宋体"/>
          <w:szCs w:val="21"/>
        </w:rPr>
        <w:t>3</w:t>
      </w:r>
      <w:r>
        <w:rPr>
          <w:rFonts w:hint="eastAsia" w:ascii="宋体" w:hAnsi="宋体" w:cs="宋体"/>
          <w:bCs/>
          <w:color w:val="000000"/>
        </w:rPr>
        <w:t>〗</w:t>
      </w:r>
      <w:r>
        <w:rPr>
          <w:rFonts w:hint="eastAsia" w:ascii="宋体" w:hAnsi="宋体" w:cs="宋体"/>
          <w:bCs/>
        </w:rPr>
        <w:t>个工作日内将可兑付款项按规定的要求划入投资者授权指定的理财账户。终止日至资金实际到账日之间，投资者资金不计息。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rPr>
      </w:pPr>
      <w:r>
        <w:rPr>
          <w:rFonts w:hint="eastAsia" w:ascii="宋体" w:hAnsi="宋体" w:cs="宋体"/>
          <w:b/>
        </w:rPr>
        <w:t>如发生以下事项时，管理人可对本理财计划行使全部或部分提前终止权：</w:t>
      </w:r>
    </w:p>
    <w:p>
      <w:pPr>
        <w:numPr>
          <w:ilvl w:val="0"/>
          <w:numId w:val="46"/>
        </w:numPr>
        <w:spacing w:line="360" w:lineRule="auto"/>
        <w:ind w:firstLine="482" w:firstLineChars="200"/>
        <w:jc w:val="left"/>
        <w:rPr>
          <w:rFonts w:ascii="宋体" w:hAnsi="宋体" w:cs="宋体"/>
          <w:b/>
        </w:rPr>
      </w:pPr>
      <w:r>
        <w:rPr>
          <w:rFonts w:hint="eastAsia" w:ascii="宋体" w:hAnsi="宋体" w:cs="宋体"/>
          <w:b/>
        </w:rPr>
        <w:t>如因本理财计划资产运作模式等与法律法规、规章的规定或者监管部门的要求等存在冲突导致理财计划必须提前终止的。</w:t>
      </w:r>
    </w:p>
    <w:p>
      <w:pPr>
        <w:numPr>
          <w:ilvl w:val="0"/>
          <w:numId w:val="46"/>
        </w:numPr>
        <w:spacing w:line="360" w:lineRule="auto"/>
        <w:ind w:firstLine="482" w:firstLineChars="200"/>
        <w:jc w:val="left"/>
        <w:rPr>
          <w:rFonts w:ascii="宋体" w:hAnsi="宋体" w:cs="宋体"/>
          <w:b/>
        </w:rPr>
      </w:pPr>
      <w:r>
        <w:rPr>
          <w:rFonts w:hint="eastAsia" w:ascii="宋体" w:hAnsi="宋体" w:cs="宋体"/>
          <w:b/>
        </w:rPr>
        <w:t>国家有关法律、法规、规章、政策的改变、紧急措施的出台、理财市场环境发生重大变化等导致理财计划必须提前终止的。</w:t>
      </w:r>
    </w:p>
    <w:p>
      <w:pPr>
        <w:numPr>
          <w:ilvl w:val="0"/>
          <w:numId w:val="46"/>
        </w:numPr>
        <w:spacing w:line="360" w:lineRule="auto"/>
        <w:ind w:firstLine="482" w:firstLineChars="200"/>
        <w:jc w:val="left"/>
        <w:rPr>
          <w:rFonts w:ascii="宋体" w:hAnsi="宋体" w:cs="宋体"/>
          <w:b/>
        </w:rPr>
      </w:pPr>
      <w:r>
        <w:rPr>
          <w:rFonts w:hint="eastAsia" w:ascii="宋体" w:hAnsi="宋体" w:cs="宋体"/>
          <w:b/>
        </w:rPr>
        <w:t>因不可抗力因素导致本理财计划必须提前终止的。</w:t>
      </w:r>
    </w:p>
    <w:p>
      <w:pPr>
        <w:numPr>
          <w:ilvl w:val="0"/>
          <w:numId w:val="46"/>
        </w:numPr>
        <w:spacing w:line="360" w:lineRule="auto"/>
        <w:ind w:firstLine="482" w:firstLineChars="200"/>
        <w:jc w:val="left"/>
        <w:rPr>
          <w:rFonts w:ascii="宋体" w:hAnsi="宋体" w:cs="宋体"/>
          <w:b/>
        </w:rPr>
      </w:pPr>
      <w:r>
        <w:rPr>
          <w:rFonts w:hint="eastAsia" w:ascii="宋体" w:hAnsi="宋体" w:cs="宋体"/>
          <w:b/>
        </w:rPr>
        <w:t>理财计划的投资策略已不适合当前的市场环境的。</w:t>
      </w:r>
    </w:p>
    <w:p>
      <w:pPr>
        <w:numPr>
          <w:ilvl w:val="0"/>
          <w:numId w:val="46"/>
        </w:numPr>
        <w:spacing w:line="360" w:lineRule="auto"/>
        <w:ind w:firstLine="482" w:firstLineChars="200"/>
        <w:jc w:val="left"/>
        <w:rPr>
          <w:rFonts w:ascii="宋体" w:hAnsi="宋体" w:cs="宋体"/>
          <w:b/>
        </w:rPr>
      </w:pPr>
      <w:r>
        <w:rPr>
          <w:rFonts w:hint="eastAsia" w:ascii="宋体" w:hAnsi="宋体" w:cs="宋体"/>
          <w:b/>
        </w:rPr>
        <w:t>市场收益率大幅波动，可能或实质影响理财计划投资收益的。</w:t>
      </w:r>
    </w:p>
    <w:p>
      <w:pPr>
        <w:numPr>
          <w:ilvl w:val="0"/>
          <w:numId w:val="46"/>
        </w:numPr>
        <w:spacing w:line="360" w:lineRule="auto"/>
        <w:ind w:firstLine="482" w:firstLineChars="200"/>
        <w:jc w:val="left"/>
        <w:rPr>
          <w:rFonts w:ascii="宋体" w:hAnsi="宋体" w:cs="宋体"/>
          <w:b/>
        </w:rPr>
      </w:pPr>
      <w:r>
        <w:rPr>
          <w:rFonts w:hint="eastAsia" w:ascii="宋体" w:hAnsi="宋体" w:cs="宋体"/>
          <w:b/>
        </w:rPr>
        <w:t>融资人行使提前到期或还款权利的。</w:t>
      </w:r>
    </w:p>
    <w:p>
      <w:pPr>
        <w:numPr>
          <w:ilvl w:val="0"/>
          <w:numId w:val="46"/>
        </w:numPr>
        <w:spacing w:line="360" w:lineRule="auto"/>
        <w:ind w:firstLine="482" w:firstLineChars="200"/>
        <w:jc w:val="left"/>
        <w:rPr>
          <w:rFonts w:ascii="宋体" w:hAnsi="宋体" w:cs="宋体"/>
          <w:b/>
        </w:rPr>
      </w:pPr>
      <w:r>
        <w:rPr>
          <w:rFonts w:hint="eastAsia" w:ascii="宋体" w:hAnsi="宋体" w:cs="宋体"/>
          <w:b/>
        </w:rPr>
        <w:t>管理人认为应该提前终止的其他情形。</w:t>
      </w:r>
    </w:p>
    <w:p>
      <w:pPr>
        <w:numPr>
          <w:ilvl w:val="0"/>
          <w:numId w:val="37"/>
        </w:numPr>
        <w:spacing w:line="360" w:lineRule="auto"/>
        <w:ind w:firstLine="482" w:firstLineChars="200"/>
        <w:jc w:val="left"/>
        <w:outlineLvl w:val="2"/>
        <w:rPr>
          <w:rFonts w:hint="eastAsia" w:ascii="宋体" w:hAnsi="宋体" w:cs="宋体"/>
          <w:b/>
        </w:rPr>
      </w:pPr>
      <w:r>
        <w:rPr>
          <w:rFonts w:hint="eastAsia" w:ascii="宋体" w:hAnsi="宋体" w:cs="宋体"/>
          <w:b/>
        </w:rPr>
        <w:t>延期</w:t>
      </w:r>
    </w:p>
    <w:p>
      <w:pPr>
        <w:spacing w:line="360" w:lineRule="auto"/>
        <w:ind w:firstLine="480" w:firstLineChars="200"/>
        <w:jc w:val="left"/>
        <w:rPr>
          <w:rFonts w:hint="eastAsia" w:ascii="宋体" w:hAnsi="宋体" w:cs="宋体"/>
          <w:bCs/>
        </w:rPr>
      </w:pPr>
      <w:r>
        <w:rPr>
          <w:rFonts w:hint="eastAsia" w:ascii="宋体" w:hAnsi="宋体" w:cs="宋体"/>
          <w:bCs/>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7"/>
        </w:numPr>
        <w:spacing w:line="360" w:lineRule="auto"/>
        <w:ind w:firstLine="482" w:firstLineChars="200"/>
        <w:jc w:val="left"/>
        <w:rPr>
          <w:rFonts w:ascii="宋体" w:hAnsi="宋体" w:cs="宋体"/>
          <w:b/>
        </w:rPr>
      </w:pPr>
      <w:r>
        <w:rPr>
          <w:rFonts w:hint="eastAsia" w:ascii="宋体" w:hAnsi="宋体" w:cs="宋体"/>
          <w:b/>
        </w:rPr>
        <w:t>预计在理财计划预计到期日，理财计划资产因市场风险、信用风险等原因无法全部变现。</w:t>
      </w:r>
    </w:p>
    <w:p>
      <w:pPr>
        <w:numPr>
          <w:ilvl w:val="0"/>
          <w:numId w:val="47"/>
        </w:numPr>
        <w:spacing w:line="360" w:lineRule="auto"/>
        <w:ind w:firstLine="482" w:firstLineChars="200"/>
        <w:jc w:val="left"/>
        <w:rPr>
          <w:rFonts w:ascii="宋体" w:hAnsi="宋体" w:cs="宋体"/>
          <w:b/>
        </w:rPr>
      </w:pPr>
      <w:r>
        <w:rPr>
          <w:rFonts w:hint="eastAsia" w:ascii="宋体" w:hAnsi="宋体" w:cs="宋体"/>
          <w:b/>
        </w:rPr>
        <w:t>预计理财计划所投资的信托计划、资管计划、私募基金的受托人或管理人不能按时向管理人划付理财计划的本金和收益。</w:t>
      </w:r>
    </w:p>
    <w:p>
      <w:pPr>
        <w:numPr>
          <w:ilvl w:val="0"/>
          <w:numId w:val="47"/>
        </w:numPr>
        <w:spacing w:line="360" w:lineRule="auto"/>
        <w:ind w:firstLine="482" w:firstLineChars="200"/>
        <w:jc w:val="left"/>
        <w:rPr>
          <w:rFonts w:ascii="宋体" w:hAnsi="宋体" w:cs="宋体"/>
          <w:b/>
        </w:rPr>
      </w:pPr>
      <w:r>
        <w:rPr>
          <w:rFonts w:hint="eastAsia" w:ascii="宋体" w:hAnsi="宋体" w:cs="宋体"/>
          <w:b/>
        </w:rPr>
        <w:t>理财计划财产涉及诉讼或仲裁，且预计诉讼或仲裁执行程序于理财计划到期日尚未终结。</w:t>
      </w:r>
    </w:p>
    <w:p>
      <w:pPr>
        <w:numPr>
          <w:ilvl w:val="0"/>
          <w:numId w:val="47"/>
        </w:numPr>
        <w:spacing w:line="360" w:lineRule="auto"/>
        <w:ind w:firstLine="482" w:firstLineChars="200"/>
        <w:jc w:val="left"/>
        <w:rPr>
          <w:rFonts w:ascii="宋体" w:hAnsi="宋体" w:cs="宋体"/>
          <w:b/>
        </w:rPr>
      </w:pPr>
      <w:r>
        <w:rPr>
          <w:rFonts w:hint="eastAsia" w:ascii="宋体" w:hAnsi="宋体" w:cs="宋体"/>
          <w:b/>
        </w:rPr>
        <w:t>管理人与托管人、销售机构协商一致决定延期。</w:t>
      </w:r>
    </w:p>
    <w:p>
      <w:pPr>
        <w:numPr>
          <w:ilvl w:val="0"/>
          <w:numId w:val="47"/>
        </w:numPr>
        <w:spacing w:line="360" w:lineRule="auto"/>
        <w:ind w:firstLine="482" w:firstLineChars="200"/>
        <w:jc w:val="left"/>
        <w:rPr>
          <w:rFonts w:ascii="宋体" w:hAnsi="宋体" w:cs="宋体"/>
          <w:b/>
        </w:rPr>
      </w:pPr>
      <w:r>
        <w:rPr>
          <w:rFonts w:hint="eastAsia" w:ascii="宋体" w:hAnsi="宋体" w:cs="宋体"/>
          <w:b/>
        </w:rPr>
        <w:t>法律法规规定的或管理人认为有必要延期的其他情形。</w:t>
      </w:r>
    </w:p>
    <w:p>
      <w:pPr>
        <w:spacing w:line="360" w:lineRule="auto"/>
        <w:jc w:val="left"/>
        <w:rPr>
          <w:rFonts w:ascii="宋体" w:hAnsi="宋体" w:cs="宋体"/>
          <w:b/>
        </w:rPr>
      </w:pPr>
    </w:p>
    <w:p>
      <w:pPr>
        <w:numPr>
          <w:ilvl w:val="0"/>
          <w:numId w:val="20"/>
        </w:numPr>
        <w:spacing w:line="360" w:lineRule="auto"/>
        <w:ind w:firstLine="482" w:firstLineChars="200"/>
        <w:jc w:val="left"/>
        <w:outlineLvl w:val="1"/>
        <w:rPr>
          <w:rFonts w:hint="eastAsia" w:ascii="宋体" w:hAnsi="宋体" w:cs="宋体"/>
          <w:b/>
        </w:rPr>
      </w:pPr>
      <w:r>
        <w:rPr>
          <w:rFonts w:hint="eastAsia" w:ascii="宋体" w:hAnsi="宋体" w:cs="宋体"/>
          <w:b/>
        </w:rPr>
        <w:t>信息披露</w:t>
      </w:r>
    </w:p>
    <w:p>
      <w:pPr>
        <w:numPr>
          <w:ilvl w:val="0"/>
          <w:numId w:val="48"/>
        </w:numPr>
        <w:spacing w:line="360" w:lineRule="auto"/>
        <w:ind w:firstLine="482" w:firstLineChars="200"/>
        <w:jc w:val="left"/>
        <w:outlineLvl w:val="2"/>
        <w:rPr>
          <w:rFonts w:hint="eastAsia" w:ascii="宋体" w:hAnsi="宋体" w:cs="宋体"/>
          <w:b/>
        </w:rPr>
      </w:pPr>
      <w:r>
        <w:rPr>
          <w:rFonts w:hint="eastAsia" w:ascii="宋体" w:hAnsi="宋体" w:cs="宋体"/>
          <w:b/>
        </w:rPr>
        <w:t>披露内容及时间</w:t>
      </w:r>
    </w:p>
    <w:p>
      <w:pPr>
        <w:numPr>
          <w:ilvl w:val="0"/>
          <w:numId w:val="49"/>
        </w:numPr>
        <w:spacing w:line="360" w:lineRule="auto"/>
        <w:ind w:firstLine="482" w:firstLineChars="200"/>
        <w:jc w:val="left"/>
        <w:rPr>
          <w:rFonts w:hint="eastAsia" w:ascii="宋体" w:hAnsi="宋体" w:cs="宋体"/>
          <w:b/>
        </w:rPr>
      </w:pPr>
      <w:r>
        <w:rPr>
          <w:rFonts w:hint="eastAsia" w:ascii="宋体" w:hAnsi="宋体" w:cs="宋体"/>
          <w:b/>
        </w:rPr>
        <w:t>认购信息披露</w:t>
      </w:r>
    </w:p>
    <w:p>
      <w:pPr>
        <w:numPr>
          <w:ilvl w:val="0"/>
          <w:numId w:val="50"/>
        </w:numPr>
        <w:spacing w:line="360" w:lineRule="auto"/>
        <w:ind w:firstLine="480" w:firstLineChars="200"/>
        <w:rPr>
          <w:rFonts w:hint="eastAsia" w:ascii="宋体" w:hAnsi="宋体" w:cs="宋体"/>
          <w:bCs/>
          <w:color w:val="000000"/>
        </w:rPr>
      </w:pPr>
      <w:r>
        <w:rPr>
          <w:rFonts w:hint="eastAsia" w:ascii="宋体" w:hAnsi="宋体" w:cs="宋体"/>
          <w:bCs/>
          <w:color w:val="000000"/>
        </w:rPr>
        <w:t>理财计划合同：管理人应在正式办理理财计划份额认购前披露，包括但不限于理财计划风险揭示书、理财计划产品说明书、投资者权益须知、理财计划投资协议书以及理财计划销售协议书。</w:t>
      </w:r>
    </w:p>
    <w:p>
      <w:pPr>
        <w:numPr>
          <w:ilvl w:val="0"/>
          <w:numId w:val="50"/>
        </w:numPr>
        <w:spacing w:line="360" w:lineRule="auto"/>
        <w:ind w:firstLine="480" w:firstLineChars="200"/>
        <w:rPr>
          <w:rFonts w:ascii="宋体" w:hAnsi="宋体" w:cs="宋体"/>
          <w:bCs/>
          <w:color w:val="000000"/>
        </w:rPr>
      </w:pPr>
      <w:r>
        <w:rPr>
          <w:rFonts w:hint="eastAsia" w:ascii="宋体" w:hAnsi="宋体" w:cs="宋体"/>
          <w:bCs/>
          <w:color w:val="000000"/>
        </w:rPr>
        <w:t>发行公告：管理人应在理财计划成立日后5个工作日内披露，包括成立日期、募集规模等信息。</w:t>
      </w:r>
    </w:p>
    <w:p>
      <w:pPr>
        <w:numPr>
          <w:ilvl w:val="0"/>
          <w:numId w:val="49"/>
        </w:numPr>
        <w:spacing w:line="360" w:lineRule="auto"/>
        <w:ind w:firstLine="482" w:firstLineChars="200"/>
        <w:jc w:val="left"/>
        <w:rPr>
          <w:rFonts w:hint="eastAsia" w:ascii="宋体" w:hAnsi="宋体" w:cs="宋体"/>
          <w:b/>
        </w:rPr>
      </w:pPr>
      <w:r>
        <w:rPr>
          <w:rFonts w:hint="eastAsia" w:ascii="宋体" w:hAnsi="宋体" w:cs="宋体"/>
          <w:b/>
        </w:rPr>
        <w:t>运作信息披露</w:t>
      </w:r>
    </w:p>
    <w:p>
      <w:pPr>
        <w:numPr>
          <w:ilvl w:val="0"/>
          <w:numId w:val="51"/>
        </w:numPr>
        <w:spacing w:line="360" w:lineRule="auto"/>
        <w:ind w:firstLine="480" w:firstLineChars="200"/>
        <w:rPr>
          <w:rFonts w:hint="eastAsia" w:ascii="宋体" w:hAnsi="宋体" w:cs="宋体"/>
          <w:bCs/>
          <w:color w:val="000000"/>
        </w:rPr>
      </w:pPr>
      <w:r>
        <w:rPr>
          <w:rFonts w:hint="eastAsia" w:ascii="宋体" w:hAnsi="宋体" w:cs="宋体"/>
          <w:bCs/>
          <w:color w:val="000000"/>
        </w:rPr>
        <w:t>理财计划净值：管理人应在理财计划成立后，每个开放确认日后2个工作日内披露本理财计划净值。</w:t>
      </w:r>
    </w:p>
    <w:p>
      <w:pPr>
        <w:numPr>
          <w:ilvl w:val="0"/>
          <w:numId w:val="51"/>
        </w:numPr>
        <w:spacing w:line="360" w:lineRule="auto"/>
        <w:ind w:firstLine="480" w:firstLineChars="200"/>
        <w:rPr>
          <w:rFonts w:hint="eastAsia" w:ascii="宋体" w:hAnsi="宋体" w:cs="宋体"/>
          <w:b/>
        </w:rPr>
      </w:pPr>
      <w:r>
        <w:rPr>
          <w:rFonts w:hint="eastAsia" w:ascii="宋体" w:hAnsi="宋体" w:cs="宋体"/>
          <w:bCs/>
          <w:color w:val="000000"/>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理财产品成立不足90个工作日或者存续期不超过90个工作日的，不编制理财产品当期的季度、半年和年度报告。</w:t>
      </w:r>
    </w:p>
    <w:p>
      <w:pPr>
        <w:numPr>
          <w:ilvl w:val="0"/>
          <w:numId w:val="51"/>
        </w:numPr>
        <w:spacing w:line="360" w:lineRule="auto"/>
        <w:ind w:firstLine="480" w:firstLineChars="200"/>
        <w:rPr>
          <w:rFonts w:hint="eastAsia" w:ascii="宋体" w:hAnsi="宋体" w:cs="宋体"/>
          <w:b/>
        </w:rPr>
      </w:pPr>
      <w:r>
        <w:rPr>
          <w:rFonts w:hint="eastAsia" w:ascii="宋体" w:hAnsi="宋体" w:cs="宋体"/>
          <w:bCs/>
          <w:color w:val="000000"/>
        </w:rPr>
        <w:t>到期报告：管理人应在理财计划到期后5个工作日内披露，包括存续期限、到期兑付净值、收益分配情况等信息。</w:t>
      </w:r>
    </w:p>
    <w:p>
      <w:pPr>
        <w:numPr>
          <w:ilvl w:val="0"/>
          <w:numId w:val="49"/>
        </w:numPr>
        <w:spacing w:line="360" w:lineRule="auto"/>
        <w:ind w:firstLine="482" w:firstLineChars="200"/>
        <w:jc w:val="left"/>
        <w:rPr>
          <w:rFonts w:hint="eastAsia" w:ascii="宋体" w:hAnsi="宋体" w:cs="宋体"/>
          <w:b/>
        </w:rPr>
      </w:pPr>
      <w:r>
        <w:rPr>
          <w:rFonts w:hint="eastAsia" w:ascii="宋体" w:hAnsi="宋体" w:cs="宋体"/>
          <w:b/>
        </w:rPr>
        <w:t>临时信息披露</w:t>
      </w:r>
    </w:p>
    <w:p>
      <w:pPr>
        <w:numPr>
          <w:ilvl w:val="0"/>
          <w:numId w:val="52"/>
        </w:numPr>
        <w:spacing w:line="360" w:lineRule="auto"/>
        <w:ind w:firstLine="480" w:firstLineChars="200"/>
        <w:rPr>
          <w:rFonts w:hint="eastAsia" w:ascii="宋体" w:hAnsi="宋体" w:cs="宋体"/>
          <w:bCs/>
          <w:color w:val="000000"/>
        </w:rPr>
      </w:pPr>
      <w:r>
        <w:rPr>
          <w:rFonts w:hint="eastAsia" w:ascii="宋体" w:hAnsi="宋体" w:cs="宋体"/>
          <w:bCs/>
          <w:color w:val="000000"/>
        </w:rPr>
        <w:t>重大事项公告：管理人应在运用收取短期赎回费、摆动定价等措施后，3个交易日内发布相关事项公告；应在运用暂停认购、延期办理巨额赎回申请、暂停接受赎回申请、延缓支付赎回款项、暂停理财产品估值等措施后，3个交易日内发布相关事项公告，说明运用相关措施的原因、拟采取的应对安排等；应在发生可能对理财计划投资者或者理财计划收益产生重大事项的事件后2个工作日内发布重大事项公告。</w:t>
      </w:r>
    </w:p>
    <w:p>
      <w:pPr>
        <w:numPr>
          <w:ilvl w:val="0"/>
          <w:numId w:val="52"/>
        </w:numPr>
        <w:spacing w:line="360" w:lineRule="auto"/>
        <w:ind w:firstLine="480" w:firstLineChars="200"/>
        <w:rPr>
          <w:rFonts w:hint="eastAsia" w:ascii="宋体" w:hAnsi="宋体" w:cs="宋体"/>
          <w:b/>
        </w:rPr>
      </w:pPr>
      <w:r>
        <w:rPr>
          <w:rFonts w:hint="eastAsia" w:ascii="宋体" w:hAnsi="宋体" w:cs="宋体"/>
          <w:bCs/>
          <w:color w:val="000000"/>
        </w:rPr>
        <w:t>临时公告：管理人应当及时披露除重大事项以外的其他信息，包括但不限于理财计划终止、更换理财计划管理人和托管人、涉及理财计划管理业务的重大诉讼、涉及费率相关事项的变动、理财计划延期兑付等。</w:t>
      </w:r>
    </w:p>
    <w:p>
      <w:pPr>
        <w:numPr>
          <w:ilvl w:val="0"/>
          <w:numId w:val="48"/>
        </w:numPr>
        <w:spacing w:line="360" w:lineRule="auto"/>
        <w:ind w:firstLine="482" w:firstLineChars="200"/>
        <w:jc w:val="left"/>
        <w:outlineLvl w:val="2"/>
        <w:rPr>
          <w:rFonts w:hint="eastAsia" w:ascii="宋体" w:hAnsi="宋体" w:cs="宋体"/>
          <w:b/>
        </w:rPr>
      </w:pPr>
      <w:r>
        <w:rPr>
          <w:rFonts w:hint="eastAsia" w:ascii="宋体" w:hAnsi="宋体" w:cs="宋体"/>
          <w:b/>
        </w:rPr>
        <w:t>披露方式</w:t>
      </w:r>
    </w:p>
    <w:p>
      <w:pPr>
        <w:spacing w:line="360" w:lineRule="auto"/>
        <w:ind w:firstLine="480" w:firstLineChars="200"/>
        <w:rPr>
          <w:rFonts w:hint="eastAsia" w:ascii="宋体" w:hAnsi="宋体" w:cs="宋体"/>
          <w:bCs/>
          <w:color w:val="000000"/>
        </w:rPr>
      </w:pPr>
      <w:r>
        <w:rPr>
          <w:rFonts w:hint="eastAsia" w:ascii="宋体" w:hAnsi="宋体" w:cs="宋体"/>
          <w:bCs/>
          <w:color w:val="000000"/>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rPr>
      </w:pPr>
    </w:p>
    <w:p>
      <w:pPr>
        <w:numPr>
          <w:ilvl w:val="0"/>
          <w:numId w:val="20"/>
        </w:numPr>
        <w:spacing w:line="360" w:lineRule="auto"/>
        <w:ind w:firstLine="482" w:firstLineChars="200"/>
        <w:jc w:val="left"/>
        <w:outlineLvl w:val="1"/>
        <w:rPr>
          <w:rFonts w:hint="eastAsia" w:ascii="宋体" w:hAnsi="宋体" w:cs="宋体"/>
          <w:b/>
        </w:rPr>
      </w:pPr>
      <w:r>
        <w:rPr>
          <w:rFonts w:hint="eastAsia" w:ascii="宋体" w:hAnsi="宋体" w:cs="宋体"/>
          <w:b/>
        </w:rPr>
        <w:t>其他</w:t>
      </w:r>
    </w:p>
    <w:p>
      <w:pPr>
        <w:numPr>
          <w:ilvl w:val="0"/>
          <w:numId w:val="53"/>
        </w:numPr>
        <w:spacing w:line="360" w:lineRule="auto"/>
        <w:ind w:firstLine="482" w:firstLineChars="200"/>
        <w:jc w:val="left"/>
        <w:outlineLvl w:val="2"/>
        <w:rPr>
          <w:rFonts w:hint="eastAsia" w:ascii="宋体" w:hAnsi="宋体" w:cs="宋体"/>
          <w:b/>
        </w:rPr>
      </w:pPr>
      <w:r>
        <w:rPr>
          <w:rFonts w:hint="eastAsia" w:ascii="宋体" w:hAnsi="宋体" w:cs="宋体"/>
          <w:b/>
        </w:rPr>
        <w:t>追索条款</w:t>
      </w:r>
    </w:p>
    <w:p>
      <w:pPr>
        <w:spacing w:line="360" w:lineRule="auto"/>
        <w:ind w:firstLine="480" w:firstLineChars="200"/>
        <w:rPr>
          <w:rFonts w:hint="eastAsia" w:ascii="宋体" w:hAnsi="宋体" w:cs="宋体"/>
          <w:b/>
        </w:rPr>
      </w:pPr>
      <w:r>
        <w:rPr>
          <w:rFonts w:hint="eastAsia" w:ascii="宋体" w:hAnsi="宋体" w:cs="宋体"/>
          <w:bCs/>
          <w:color w:val="000000"/>
        </w:rPr>
        <w:t>若本理财计划所投资的金融资产到期不能全部偿付导致资产减值甚至本金大幅损失，则本公司将以管理人名义，代表投资者利益行使诉讼权利或者实施其他法律行为。</w:t>
      </w:r>
    </w:p>
    <w:p>
      <w:pPr>
        <w:numPr>
          <w:ilvl w:val="0"/>
          <w:numId w:val="53"/>
        </w:numPr>
        <w:spacing w:line="360" w:lineRule="auto"/>
        <w:ind w:firstLine="482" w:firstLineChars="200"/>
        <w:jc w:val="left"/>
        <w:outlineLvl w:val="2"/>
        <w:rPr>
          <w:rFonts w:hint="eastAsia" w:ascii="宋体" w:hAnsi="宋体" w:cs="宋体"/>
          <w:b/>
        </w:rPr>
      </w:pPr>
      <w:r>
        <w:rPr>
          <w:rFonts w:hint="eastAsia" w:ascii="宋体" w:hAnsi="宋体" w:cs="宋体"/>
          <w:b/>
        </w:rPr>
        <w:t>信息安全</w:t>
      </w:r>
    </w:p>
    <w:p>
      <w:pPr>
        <w:spacing w:line="360" w:lineRule="auto"/>
        <w:ind w:firstLine="480" w:firstLineChars="200"/>
        <w:rPr>
          <w:rFonts w:hint="eastAsia" w:ascii="宋体" w:hAnsi="宋体" w:cs="宋体"/>
          <w:b/>
        </w:rPr>
      </w:pPr>
      <w:r>
        <w:rPr>
          <w:rFonts w:hint="eastAsia" w:ascii="宋体" w:hAnsi="宋体" w:cs="宋体"/>
          <w:bCs/>
          <w:color w:val="000000"/>
        </w:rPr>
        <w:t>管理人应就理财计划销售过程中获知的投资者信息承担保密义务。非经投资者事先许可，不得向第三方披露，但法律法规或监管规定另有要求的除外。投资者在此同意并授权，管理人可根据监管要求，为理财计划登记等需要，向登记部门或监管机构提供投资者相关信息。</w:t>
      </w:r>
    </w:p>
    <w:p>
      <w:pPr>
        <w:numPr>
          <w:ilvl w:val="0"/>
          <w:numId w:val="53"/>
        </w:numPr>
        <w:spacing w:line="360" w:lineRule="auto"/>
        <w:ind w:firstLine="482" w:firstLineChars="200"/>
        <w:jc w:val="left"/>
        <w:outlineLvl w:val="2"/>
        <w:rPr>
          <w:rFonts w:hint="eastAsia" w:ascii="宋体" w:hAnsi="宋体" w:cs="宋体"/>
          <w:b/>
        </w:rPr>
      </w:pPr>
      <w:r>
        <w:rPr>
          <w:rFonts w:hint="eastAsia" w:ascii="宋体" w:hAnsi="宋体" w:cs="宋体"/>
          <w:b/>
        </w:rPr>
        <w:t>争议解决</w:t>
      </w:r>
    </w:p>
    <w:p>
      <w:pPr>
        <w:spacing w:line="360" w:lineRule="auto"/>
        <w:ind w:firstLine="480" w:firstLineChars="200"/>
        <w:rPr>
          <w:rFonts w:hint="eastAsia" w:ascii="宋体" w:hAnsi="宋体" w:cs="宋体"/>
          <w:bCs/>
          <w:color w:val="000000"/>
        </w:rPr>
      </w:pPr>
      <w:r>
        <w:rPr>
          <w:rFonts w:hint="eastAsia" w:ascii="宋体" w:hAnsi="宋体" w:cs="宋体"/>
          <w:bCs/>
          <w:color w:val="000000"/>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销售机构或管理人所在地有管辖权的人民法院诉讼解决。</w:t>
      </w:r>
    </w:p>
    <w:p>
      <w:pPr>
        <w:numPr>
          <w:ilvl w:val="0"/>
          <w:numId w:val="53"/>
        </w:numPr>
        <w:spacing w:line="360" w:lineRule="auto"/>
        <w:ind w:firstLine="482" w:firstLineChars="200"/>
        <w:jc w:val="left"/>
        <w:outlineLvl w:val="2"/>
        <w:rPr>
          <w:rFonts w:hint="eastAsia" w:ascii="宋体" w:hAnsi="宋体" w:cs="宋体"/>
          <w:b/>
        </w:rPr>
      </w:pPr>
      <w:r>
        <w:rPr>
          <w:rFonts w:hint="eastAsia" w:ascii="宋体" w:hAnsi="宋体" w:cs="宋体"/>
          <w:b/>
        </w:rPr>
        <w:t>特别提示</w:t>
      </w:r>
    </w:p>
    <w:p>
      <w:pPr>
        <w:spacing w:line="360" w:lineRule="auto"/>
        <w:ind w:firstLine="482" w:firstLineChars="200"/>
        <w:rPr>
          <w:rFonts w:hint="eastAsia" w:ascii="宋体" w:hAnsi="宋体" w:cs="宋体"/>
          <w:b/>
          <w:color w:val="000000"/>
        </w:rPr>
      </w:pPr>
      <w:r>
        <w:rPr>
          <w:rFonts w:hint="eastAsia" w:ascii="宋体" w:hAnsi="宋体" w:cs="宋体"/>
          <w:b/>
          <w:color w:val="000000"/>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rPr>
      </w:pPr>
      <w:r>
        <w:rPr>
          <w:rFonts w:hint="eastAsia" w:ascii="宋体" w:hAnsi="宋体" w:cs="宋体"/>
          <w:bCs/>
          <w:color w:val="000000"/>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jc w:val="both"/>
        <w:outlineLvl w:val="9"/>
        <w:rPr>
          <w:rFonts w:hint="eastAsia"/>
          <w:b/>
          <w:sz w:val="44"/>
          <w:szCs w:val="44"/>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b/>
        <w:bCs/>
      </w:rPr>
    </w:pPr>
    <w:r>
      <w:rPr>
        <w:b/>
        <w:bCs/>
      </w:rPr>
      <w:drawing>
        <wp:anchor distT="0" distB="0" distL="114300" distR="114300" simplePos="0" relativeHeight="251659264"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rPr>
      <w:t>理财非存款 产品有风险 投资需谨慎</w:t>
    </w:r>
    <w:r>
      <w:rPr>
        <w:rFonts w:hint="eastAsia"/>
        <w:b/>
        <w:bCs/>
        <w:color w:val="FF0000"/>
      </w:rPr>
      <w:t xml:space="preserve">  </w:t>
    </w:r>
    <w:r>
      <w:rPr>
        <w:rFonts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74CE87F"/>
    <w:multiLevelType w:val="singleLevel"/>
    <w:tmpl w:val="B74CE87F"/>
    <w:lvl w:ilvl="0" w:tentative="0">
      <w:start w:val="1"/>
      <w:numFmt w:val="decimal"/>
      <w:suff w:val="nothing"/>
      <w:lvlText w:val="%1．"/>
      <w:lvlJc w:val="left"/>
      <w:pPr>
        <w:ind w:left="0" w:firstLine="400"/>
      </w:pPr>
      <w:rPr>
        <w:rFonts w:hint="default"/>
      </w:rPr>
    </w:lvl>
  </w:abstractNum>
  <w:abstractNum w:abstractNumId="14">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5">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6">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7">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8">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9">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20">
    <w:nsid w:val="D8D75090"/>
    <w:multiLevelType w:val="singleLevel"/>
    <w:tmpl w:val="D8D75090"/>
    <w:lvl w:ilvl="0" w:tentative="0">
      <w:start w:val="1"/>
      <w:numFmt w:val="decimal"/>
      <w:suff w:val="nothing"/>
      <w:lvlText w:val="（%1）"/>
      <w:lvlJc w:val="left"/>
      <w:rPr>
        <w:rFonts w:hint="default"/>
        <w:b w:val="0"/>
        <w:bCs w:val="0"/>
      </w:rPr>
    </w:lvl>
  </w:abstractNum>
  <w:abstractNum w:abstractNumId="21">
    <w:nsid w:val="DD2251DF"/>
    <w:multiLevelType w:val="singleLevel"/>
    <w:tmpl w:val="DD2251DF"/>
    <w:lvl w:ilvl="0" w:tentative="0">
      <w:start w:val="1"/>
      <w:numFmt w:val="decimal"/>
      <w:suff w:val="nothing"/>
      <w:lvlText w:val="（%1）"/>
      <w:lvlJc w:val="left"/>
      <w:rPr>
        <w:rFonts w:hint="default"/>
        <w:b w:val="0"/>
        <w:bCs w:val="0"/>
      </w:r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1">
    <w:nsid w:val="084A6179"/>
    <w:multiLevelType w:val="singleLevel"/>
    <w:tmpl w:val="084A6179"/>
    <w:lvl w:ilvl="0" w:tentative="0">
      <w:start w:val="1"/>
      <w:numFmt w:val="decimal"/>
      <w:suff w:val="nothing"/>
      <w:lvlText w:val="（%1）"/>
      <w:lvlJc w:val="left"/>
      <w:rPr>
        <w:rFonts w:hint="default"/>
        <w:highlight w:val="none"/>
      </w:rPr>
    </w:lvl>
  </w:abstractNum>
  <w:abstractNum w:abstractNumId="32">
    <w:nsid w:val="1127010C"/>
    <w:multiLevelType w:val="singleLevel"/>
    <w:tmpl w:val="1127010C"/>
    <w:lvl w:ilvl="0" w:tentative="0">
      <w:start w:val="1"/>
      <w:numFmt w:val="decimal"/>
      <w:suff w:val="nothing"/>
      <w:lvlText w:val="%1．"/>
      <w:lvlJc w:val="left"/>
      <w:pPr>
        <w:ind w:left="0" w:firstLine="400"/>
      </w:pPr>
      <w:rPr>
        <w:rFonts w:hint="default" w:ascii="宋体" w:hAnsi="宋体" w:eastAsia="宋体" w:cs="宋体"/>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7"/>
  </w:num>
  <w:num w:numId="8">
    <w:abstractNumId w:val="10"/>
  </w:num>
  <w:num w:numId="9">
    <w:abstractNumId w:val="14"/>
  </w:num>
  <w:num w:numId="10">
    <w:abstractNumId w:val="7"/>
  </w:num>
  <w:num w:numId="11">
    <w:abstractNumId w:val="8"/>
  </w:num>
  <w:num w:numId="12">
    <w:abstractNumId w:val="6"/>
  </w:num>
  <w:num w:numId="13">
    <w:abstractNumId w:val="32"/>
  </w:num>
  <w:num w:numId="14">
    <w:abstractNumId w:val="43"/>
  </w:num>
  <w:num w:numId="15">
    <w:abstractNumId w:val="28"/>
  </w:num>
  <w:num w:numId="16">
    <w:abstractNumId w:val="45"/>
  </w:num>
  <w:num w:numId="17">
    <w:abstractNumId w:val="50"/>
  </w:num>
  <w:num w:numId="18">
    <w:abstractNumId w:val="38"/>
  </w:num>
  <w:num w:numId="19">
    <w:abstractNumId w:val="16"/>
  </w:num>
  <w:num w:numId="20">
    <w:abstractNumId w:val="37"/>
  </w:num>
  <w:num w:numId="21">
    <w:abstractNumId w:val="19"/>
  </w:num>
  <w:num w:numId="22">
    <w:abstractNumId w:val="5"/>
  </w:num>
  <w:num w:numId="23">
    <w:abstractNumId w:val="47"/>
  </w:num>
  <w:num w:numId="24">
    <w:abstractNumId w:val="4"/>
  </w:num>
  <w:num w:numId="25">
    <w:abstractNumId w:val="31"/>
  </w:num>
  <w:num w:numId="26">
    <w:abstractNumId w:val="36"/>
  </w:num>
  <w:num w:numId="27">
    <w:abstractNumId w:val="52"/>
  </w:num>
  <w:num w:numId="28">
    <w:abstractNumId w:val="30"/>
  </w:num>
  <w:num w:numId="29">
    <w:abstractNumId w:val="18"/>
  </w:num>
  <w:num w:numId="30">
    <w:abstractNumId w:val="40"/>
  </w:num>
  <w:num w:numId="31">
    <w:abstractNumId w:val="0"/>
  </w:num>
  <w:num w:numId="32">
    <w:abstractNumId w:val="21"/>
  </w:num>
  <w:num w:numId="33">
    <w:abstractNumId w:val="42"/>
  </w:num>
  <w:num w:numId="34">
    <w:abstractNumId w:val="2"/>
  </w:num>
  <w:num w:numId="35">
    <w:abstractNumId w:val="22"/>
  </w:num>
  <w:num w:numId="36">
    <w:abstractNumId w:val="13"/>
  </w:num>
  <w:num w:numId="37">
    <w:abstractNumId w:val="46"/>
  </w:num>
  <w:num w:numId="38">
    <w:abstractNumId w:val="34"/>
  </w:num>
  <w:num w:numId="39">
    <w:abstractNumId w:val="15"/>
  </w:num>
  <w:num w:numId="40">
    <w:abstractNumId w:val="27"/>
  </w:num>
  <w:num w:numId="41">
    <w:abstractNumId w:val="23"/>
  </w:num>
  <w:num w:numId="42">
    <w:abstractNumId w:val="24"/>
  </w:num>
  <w:num w:numId="43">
    <w:abstractNumId w:val="51"/>
  </w:num>
  <w:num w:numId="44">
    <w:abstractNumId w:val="39"/>
  </w:num>
  <w:num w:numId="45">
    <w:abstractNumId w:val="1"/>
  </w:num>
  <w:num w:numId="46">
    <w:abstractNumId w:val="49"/>
  </w:num>
  <w:num w:numId="47">
    <w:abstractNumId w:val="11"/>
  </w:num>
  <w:num w:numId="48">
    <w:abstractNumId w:val="9"/>
  </w:num>
  <w:num w:numId="49">
    <w:abstractNumId w:val="12"/>
  </w:num>
  <w:num w:numId="50">
    <w:abstractNumId w:val="35"/>
  </w:num>
  <w:num w:numId="51">
    <w:abstractNumId w:val="20"/>
  </w:num>
  <w:num w:numId="52">
    <w:abstractNumId w:val="3"/>
  </w:num>
  <w:num w:numId="5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2A7986"/>
    <w:rsid w:val="004A3A51"/>
    <w:rsid w:val="004F1AB2"/>
    <w:rsid w:val="007C012C"/>
    <w:rsid w:val="008C59F7"/>
    <w:rsid w:val="00B234C2"/>
    <w:rsid w:val="00C2766C"/>
    <w:rsid w:val="00C61102"/>
    <w:rsid w:val="00D5498D"/>
    <w:rsid w:val="00F81186"/>
    <w:rsid w:val="01364432"/>
    <w:rsid w:val="01523B8E"/>
    <w:rsid w:val="01E60817"/>
    <w:rsid w:val="01FD241C"/>
    <w:rsid w:val="02FB5178"/>
    <w:rsid w:val="031A641B"/>
    <w:rsid w:val="046C4318"/>
    <w:rsid w:val="05E05E4D"/>
    <w:rsid w:val="06420CFA"/>
    <w:rsid w:val="06503B59"/>
    <w:rsid w:val="06F301FD"/>
    <w:rsid w:val="0752555A"/>
    <w:rsid w:val="07E45984"/>
    <w:rsid w:val="0828699A"/>
    <w:rsid w:val="087D4021"/>
    <w:rsid w:val="09155E8F"/>
    <w:rsid w:val="097E3F67"/>
    <w:rsid w:val="099F5B56"/>
    <w:rsid w:val="09A37E25"/>
    <w:rsid w:val="0A0C6349"/>
    <w:rsid w:val="0A1347F5"/>
    <w:rsid w:val="0A1F3796"/>
    <w:rsid w:val="0A2A32B9"/>
    <w:rsid w:val="0B8E27E3"/>
    <w:rsid w:val="0BF71AE2"/>
    <w:rsid w:val="0C9C7394"/>
    <w:rsid w:val="0CA6603D"/>
    <w:rsid w:val="0D0B1B00"/>
    <w:rsid w:val="0D3F210A"/>
    <w:rsid w:val="0DEF72FB"/>
    <w:rsid w:val="0E36795A"/>
    <w:rsid w:val="0E4A4B6F"/>
    <w:rsid w:val="0E9465E2"/>
    <w:rsid w:val="0EAE473F"/>
    <w:rsid w:val="0EF65480"/>
    <w:rsid w:val="0F3349D0"/>
    <w:rsid w:val="0FE6637F"/>
    <w:rsid w:val="10776FA2"/>
    <w:rsid w:val="10E7087B"/>
    <w:rsid w:val="10FA5463"/>
    <w:rsid w:val="11BA058F"/>
    <w:rsid w:val="12081858"/>
    <w:rsid w:val="12B62B3B"/>
    <w:rsid w:val="12F57C75"/>
    <w:rsid w:val="12F96486"/>
    <w:rsid w:val="13031153"/>
    <w:rsid w:val="13181417"/>
    <w:rsid w:val="135A629F"/>
    <w:rsid w:val="13CF7B8E"/>
    <w:rsid w:val="14B80FF2"/>
    <w:rsid w:val="14C57FED"/>
    <w:rsid w:val="150C5665"/>
    <w:rsid w:val="15C56302"/>
    <w:rsid w:val="160940BB"/>
    <w:rsid w:val="161F6E18"/>
    <w:rsid w:val="1659752C"/>
    <w:rsid w:val="16BC19D9"/>
    <w:rsid w:val="16E43A7F"/>
    <w:rsid w:val="173B243E"/>
    <w:rsid w:val="175F7C56"/>
    <w:rsid w:val="185A3DA1"/>
    <w:rsid w:val="186223C0"/>
    <w:rsid w:val="1954515B"/>
    <w:rsid w:val="198C4B50"/>
    <w:rsid w:val="19DA4F78"/>
    <w:rsid w:val="19F13F4F"/>
    <w:rsid w:val="1A102675"/>
    <w:rsid w:val="1B280245"/>
    <w:rsid w:val="1B581220"/>
    <w:rsid w:val="1B843575"/>
    <w:rsid w:val="1BBE4697"/>
    <w:rsid w:val="1D4D5B7F"/>
    <w:rsid w:val="1D552DD9"/>
    <w:rsid w:val="1DAB6D83"/>
    <w:rsid w:val="1DF22ABC"/>
    <w:rsid w:val="1E3173A3"/>
    <w:rsid w:val="1E792E51"/>
    <w:rsid w:val="1F0F5A19"/>
    <w:rsid w:val="1F1D6E1F"/>
    <w:rsid w:val="1F3E7F7D"/>
    <w:rsid w:val="1F51312D"/>
    <w:rsid w:val="1FC9553A"/>
    <w:rsid w:val="204D3B12"/>
    <w:rsid w:val="205A2AB3"/>
    <w:rsid w:val="20B6224D"/>
    <w:rsid w:val="21025026"/>
    <w:rsid w:val="21036497"/>
    <w:rsid w:val="2178563E"/>
    <w:rsid w:val="21C9316A"/>
    <w:rsid w:val="22A04AF7"/>
    <w:rsid w:val="22A73C8E"/>
    <w:rsid w:val="22D3594B"/>
    <w:rsid w:val="22F12819"/>
    <w:rsid w:val="234F46D7"/>
    <w:rsid w:val="235600AA"/>
    <w:rsid w:val="23753F06"/>
    <w:rsid w:val="238E1AAE"/>
    <w:rsid w:val="24030B6D"/>
    <w:rsid w:val="24345B9A"/>
    <w:rsid w:val="245517BD"/>
    <w:rsid w:val="2483647E"/>
    <w:rsid w:val="256F076F"/>
    <w:rsid w:val="25AF7681"/>
    <w:rsid w:val="26820AF7"/>
    <w:rsid w:val="27947E62"/>
    <w:rsid w:val="27EB2573"/>
    <w:rsid w:val="27F57B7A"/>
    <w:rsid w:val="285922A7"/>
    <w:rsid w:val="28612B5D"/>
    <w:rsid w:val="292668E3"/>
    <w:rsid w:val="29361BBD"/>
    <w:rsid w:val="2A124404"/>
    <w:rsid w:val="2A1B5D68"/>
    <w:rsid w:val="2A2D7B42"/>
    <w:rsid w:val="2A5975B6"/>
    <w:rsid w:val="2A991D32"/>
    <w:rsid w:val="2AB92324"/>
    <w:rsid w:val="2AD6555A"/>
    <w:rsid w:val="2B376BE0"/>
    <w:rsid w:val="2C1B1E9D"/>
    <w:rsid w:val="2CAB68C5"/>
    <w:rsid w:val="2DBB33DD"/>
    <w:rsid w:val="2E354AE5"/>
    <w:rsid w:val="2EBC6D03"/>
    <w:rsid w:val="2F196945"/>
    <w:rsid w:val="2F1F666C"/>
    <w:rsid w:val="2F746AB8"/>
    <w:rsid w:val="2FD32A37"/>
    <w:rsid w:val="2FD85881"/>
    <w:rsid w:val="30045A54"/>
    <w:rsid w:val="30551FFC"/>
    <w:rsid w:val="311F702A"/>
    <w:rsid w:val="31244CFA"/>
    <w:rsid w:val="31A82883"/>
    <w:rsid w:val="320E3E15"/>
    <w:rsid w:val="329D0CFB"/>
    <w:rsid w:val="32B15B31"/>
    <w:rsid w:val="32C937E9"/>
    <w:rsid w:val="333F6AA7"/>
    <w:rsid w:val="3480359E"/>
    <w:rsid w:val="34BE4ED5"/>
    <w:rsid w:val="35476F5E"/>
    <w:rsid w:val="354D3F58"/>
    <w:rsid w:val="359A216E"/>
    <w:rsid w:val="36631FD8"/>
    <w:rsid w:val="36C419F2"/>
    <w:rsid w:val="36E72D9B"/>
    <w:rsid w:val="36FD7080"/>
    <w:rsid w:val="36FE1E1C"/>
    <w:rsid w:val="379F2ED6"/>
    <w:rsid w:val="37CA172C"/>
    <w:rsid w:val="37DC2068"/>
    <w:rsid w:val="38071350"/>
    <w:rsid w:val="38224FD0"/>
    <w:rsid w:val="39775E90"/>
    <w:rsid w:val="39965EB7"/>
    <w:rsid w:val="39AC0F1B"/>
    <w:rsid w:val="3A3E2041"/>
    <w:rsid w:val="3AA660BF"/>
    <w:rsid w:val="3B131EF6"/>
    <w:rsid w:val="3B490D86"/>
    <w:rsid w:val="3BD74075"/>
    <w:rsid w:val="3C2F2290"/>
    <w:rsid w:val="3DBB1114"/>
    <w:rsid w:val="3EA67C14"/>
    <w:rsid w:val="3EAD1B36"/>
    <w:rsid w:val="3EDB4D6E"/>
    <w:rsid w:val="3F056B9E"/>
    <w:rsid w:val="3F354A62"/>
    <w:rsid w:val="3F63246A"/>
    <w:rsid w:val="3FB01289"/>
    <w:rsid w:val="3FE233B8"/>
    <w:rsid w:val="3FF54C55"/>
    <w:rsid w:val="40181F9C"/>
    <w:rsid w:val="406370BC"/>
    <w:rsid w:val="40FB7670"/>
    <w:rsid w:val="41B60000"/>
    <w:rsid w:val="420010CC"/>
    <w:rsid w:val="423C06E2"/>
    <w:rsid w:val="42815397"/>
    <w:rsid w:val="42C94634"/>
    <w:rsid w:val="437B57F9"/>
    <w:rsid w:val="453D5681"/>
    <w:rsid w:val="45540446"/>
    <w:rsid w:val="458F3937"/>
    <w:rsid w:val="459F641E"/>
    <w:rsid w:val="45A93DC9"/>
    <w:rsid w:val="45BB5620"/>
    <w:rsid w:val="45F127ED"/>
    <w:rsid w:val="46263D02"/>
    <w:rsid w:val="46CD66A0"/>
    <w:rsid w:val="472803B7"/>
    <w:rsid w:val="478411E4"/>
    <w:rsid w:val="47F832A9"/>
    <w:rsid w:val="488B59A4"/>
    <w:rsid w:val="48CC5267"/>
    <w:rsid w:val="494502E1"/>
    <w:rsid w:val="4A010AC9"/>
    <w:rsid w:val="4A7F0ADF"/>
    <w:rsid w:val="4AA612F0"/>
    <w:rsid w:val="4B0D3113"/>
    <w:rsid w:val="4C6B0DDA"/>
    <w:rsid w:val="4C6E1306"/>
    <w:rsid w:val="4CC946ED"/>
    <w:rsid w:val="4CF979F4"/>
    <w:rsid w:val="4D8C0BC8"/>
    <w:rsid w:val="4E186164"/>
    <w:rsid w:val="4E247E9A"/>
    <w:rsid w:val="4E2F1033"/>
    <w:rsid w:val="4E8274B0"/>
    <w:rsid w:val="4EA65BC4"/>
    <w:rsid w:val="4EFC1B31"/>
    <w:rsid w:val="4F2836A5"/>
    <w:rsid w:val="4FF363B3"/>
    <w:rsid w:val="501216FC"/>
    <w:rsid w:val="50B73634"/>
    <w:rsid w:val="51434E1B"/>
    <w:rsid w:val="51504FE6"/>
    <w:rsid w:val="54520532"/>
    <w:rsid w:val="54E91D9C"/>
    <w:rsid w:val="55A47BB4"/>
    <w:rsid w:val="56B44788"/>
    <w:rsid w:val="571D52DC"/>
    <w:rsid w:val="57BB6218"/>
    <w:rsid w:val="57FF3AAA"/>
    <w:rsid w:val="583036AF"/>
    <w:rsid w:val="58DD2EEE"/>
    <w:rsid w:val="58E96C7A"/>
    <w:rsid w:val="59263C31"/>
    <w:rsid w:val="59856C69"/>
    <w:rsid w:val="59AD3C67"/>
    <w:rsid w:val="5A4B183F"/>
    <w:rsid w:val="5B0D630F"/>
    <w:rsid w:val="5B602150"/>
    <w:rsid w:val="5B9919B4"/>
    <w:rsid w:val="5BB70148"/>
    <w:rsid w:val="5C3C3DDC"/>
    <w:rsid w:val="5D160516"/>
    <w:rsid w:val="5D713BC5"/>
    <w:rsid w:val="5D7D0F36"/>
    <w:rsid w:val="5DB61BFF"/>
    <w:rsid w:val="5DEF454B"/>
    <w:rsid w:val="5E5A6C63"/>
    <w:rsid w:val="5E6E1409"/>
    <w:rsid w:val="5F3C6712"/>
    <w:rsid w:val="5F4B58F3"/>
    <w:rsid w:val="6053481F"/>
    <w:rsid w:val="60553A8D"/>
    <w:rsid w:val="606E0DED"/>
    <w:rsid w:val="60AB2000"/>
    <w:rsid w:val="61A27A8B"/>
    <w:rsid w:val="61C97391"/>
    <w:rsid w:val="61D85325"/>
    <w:rsid w:val="62860AAA"/>
    <w:rsid w:val="628B7CEE"/>
    <w:rsid w:val="629D5796"/>
    <w:rsid w:val="63FA4C5C"/>
    <w:rsid w:val="64102A52"/>
    <w:rsid w:val="64BC6713"/>
    <w:rsid w:val="64E9088D"/>
    <w:rsid w:val="66F54088"/>
    <w:rsid w:val="671E2162"/>
    <w:rsid w:val="67C2281F"/>
    <w:rsid w:val="680C1A56"/>
    <w:rsid w:val="68D8721E"/>
    <w:rsid w:val="68E50F6E"/>
    <w:rsid w:val="6A1A3D91"/>
    <w:rsid w:val="6B610D05"/>
    <w:rsid w:val="6BAC21D5"/>
    <w:rsid w:val="6BC50A56"/>
    <w:rsid w:val="6CED1CB3"/>
    <w:rsid w:val="6D3B42C3"/>
    <w:rsid w:val="6D5A3D63"/>
    <w:rsid w:val="6D9A4080"/>
    <w:rsid w:val="6DF037EE"/>
    <w:rsid w:val="6E11772C"/>
    <w:rsid w:val="6E7E575F"/>
    <w:rsid w:val="6EF15941"/>
    <w:rsid w:val="6F546795"/>
    <w:rsid w:val="6F926461"/>
    <w:rsid w:val="6F9921A1"/>
    <w:rsid w:val="71560F55"/>
    <w:rsid w:val="720B7A64"/>
    <w:rsid w:val="720F6016"/>
    <w:rsid w:val="727D0EB8"/>
    <w:rsid w:val="73407EBD"/>
    <w:rsid w:val="73932176"/>
    <w:rsid w:val="73BC153D"/>
    <w:rsid w:val="73EF4563"/>
    <w:rsid w:val="74175679"/>
    <w:rsid w:val="744124AA"/>
    <w:rsid w:val="74664F47"/>
    <w:rsid w:val="756E538F"/>
    <w:rsid w:val="758100F6"/>
    <w:rsid w:val="76F41323"/>
    <w:rsid w:val="778222EA"/>
    <w:rsid w:val="77A30DC4"/>
    <w:rsid w:val="77E0572E"/>
    <w:rsid w:val="77ED4104"/>
    <w:rsid w:val="78EF4372"/>
    <w:rsid w:val="79771B00"/>
    <w:rsid w:val="7980282D"/>
    <w:rsid w:val="798F6426"/>
    <w:rsid w:val="79B94653"/>
    <w:rsid w:val="7ACA272A"/>
    <w:rsid w:val="7B0E7C70"/>
    <w:rsid w:val="7B2E004A"/>
    <w:rsid w:val="7B76641B"/>
    <w:rsid w:val="7BBF1397"/>
    <w:rsid w:val="7E6F339A"/>
    <w:rsid w:val="7E7A7C50"/>
    <w:rsid w:val="7E810662"/>
    <w:rsid w:val="7ED67E61"/>
    <w:rsid w:val="7F590AE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cs="黑体"/>
      <w:kern w:val="2"/>
      <w:sz w:val="24"/>
      <w:szCs w:val="24"/>
      <w:lang w:val="en-US" w:eastAsia="zh-CN" w:bidi="ar-SA"/>
    </w:rPr>
  </w:style>
  <w:style w:type="paragraph" w:styleId="2">
    <w:name w:val="heading 1"/>
    <w:basedOn w:val="1"/>
    <w:next w:val="1"/>
    <w:link w:val="24"/>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2"/>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3"/>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Style w:val="11"/>
      <w:tblLayout w:type="fixed"/>
      <w:tblCellMar>
        <w:top w:w="0" w:type="dxa"/>
        <w:left w:w="108" w:type="dxa"/>
        <w:bottom w:w="0" w:type="dxa"/>
        <w:right w:w="108" w:type="dxa"/>
      </w:tblCellMar>
    </w:tblPr>
  </w:style>
  <w:style w:type="paragraph" w:styleId="5">
    <w:name w:val="annotation text"/>
    <w:basedOn w:val="1"/>
    <w:link w:val="20"/>
    <w:uiPriority w:val="0"/>
    <w:pPr>
      <w:jc w:val="left"/>
    </w:pPr>
  </w:style>
  <w:style w:type="paragraph" w:styleId="6">
    <w:name w:val="Balloon Text"/>
    <w:basedOn w:val="1"/>
    <w:link w:val="19"/>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21"/>
    <w:uiPriority w:val="0"/>
    <w:rPr>
      <w:b/>
      <w:bCs/>
    </w:rPr>
  </w:style>
  <w:style w:type="table" w:styleId="12">
    <w:name w:val="Table Grid"/>
    <w:basedOn w:val="11"/>
    <w:unhideWhenUsed/>
    <w:uiPriority w:val="99"/>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color w:val="000000"/>
      <w:sz w:val="24"/>
      <w:szCs w:val="24"/>
      <w:lang w:val="en-US" w:eastAsia="zh-CN" w:bidi="ar-SA"/>
    </w:rPr>
  </w:style>
  <w:style w:type="paragraph" w:customStyle="1" w:styleId="18">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19">
    <w:name w:val="批注框文本 字符"/>
    <w:link w:val="6"/>
    <w:uiPriority w:val="0"/>
    <w:rPr>
      <w:rFonts w:ascii="Calibri" w:hAnsi="Calibri" w:cs="黑体"/>
      <w:kern w:val="2"/>
      <w:sz w:val="18"/>
      <w:szCs w:val="18"/>
    </w:rPr>
  </w:style>
  <w:style w:type="character" w:customStyle="1" w:styleId="20">
    <w:name w:val="批注文字 字符"/>
    <w:link w:val="5"/>
    <w:uiPriority w:val="0"/>
    <w:rPr>
      <w:rFonts w:ascii="Calibri" w:hAnsi="Calibri" w:cs="黑体"/>
      <w:kern w:val="2"/>
      <w:sz w:val="21"/>
      <w:szCs w:val="24"/>
    </w:rPr>
  </w:style>
  <w:style w:type="character" w:customStyle="1" w:styleId="21">
    <w:name w:val="批注主题 字符"/>
    <w:link w:val="10"/>
    <w:uiPriority w:val="0"/>
    <w:rPr>
      <w:rFonts w:ascii="Calibri" w:hAnsi="Calibri" w:cs="黑体"/>
      <w:b/>
      <w:bCs/>
      <w:kern w:val="2"/>
      <w:sz w:val="21"/>
      <w:szCs w:val="24"/>
    </w:rPr>
  </w:style>
  <w:style w:type="character" w:customStyle="1" w:styleId="22">
    <w:name w:val="标题 2 字符"/>
    <w:link w:val="3"/>
    <w:uiPriority w:val="0"/>
    <w:rPr>
      <w:rFonts w:ascii="Arial" w:hAnsi="Arial" w:eastAsia="宋体"/>
      <w:b/>
      <w:sz w:val="24"/>
    </w:rPr>
  </w:style>
  <w:style w:type="character" w:customStyle="1" w:styleId="23">
    <w:name w:val="标题 3 字符"/>
    <w:link w:val="4"/>
    <w:uiPriority w:val="0"/>
    <w:rPr>
      <w:rFonts w:hAnsi="Calibri" w:eastAsia="宋体"/>
      <w:b/>
      <w:sz w:val="24"/>
    </w:rPr>
  </w:style>
  <w:style w:type="character" w:customStyle="1" w:styleId="24">
    <w:name w:val="标题 1 字符"/>
    <w:link w:val="2"/>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55</Pages>
  <Words>35069</Words>
  <Characters>37035</Characters>
  <Lines>267</Lines>
  <Paragraphs>75</Paragraphs>
  <TotalTime>1</TotalTime>
  <ScaleCrop>false</ScaleCrop>
  <LinksUpToDate>false</LinksUpToDate>
  <CharactersWithSpaces>37261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2025-07-08T01:14:40Z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