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cs="宋体"/>
          <w:b/>
          <w:bCs/>
          <w:sz w:val="44"/>
          <w:szCs w:val="44"/>
          <w:highlight w:val="none"/>
          <w:lang w:eastAsia="zh-CN"/>
        </w:rPr>
        <w:t>幸福99益合·添益（年年红）1年定开型2539期理财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和理财计划（代理销售）销售协议书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keepNext w:val="0"/>
        <w:keepLines w:val="0"/>
        <w:numPr>
          <w:ilvl w:val="0"/>
          <w:numId w:val="2"/>
        </w:numPr>
        <w:bidi w:val="0"/>
        <w:ind w:firstLine="480" w:firstLineChars="200"/>
        <w:rPr>
          <w:highlight w:val="none"/>
        </w:rPr>
      </w:pPr>
      <w:r>
        <w:rPr>
          <w:rStyle w:val="22"/>
          <w:rFonts w:hint="eastAsia"/>
          <w:b w:val="0"/>
          <w:vanish w:val="0"/>
          <w:highlight w:val="none"/>
        </w:rPr>
        <w:t>信用风险：</w:t>
      </w:r>
      <w:r>
        <w:rPr>
          <w:rFonts w:hint="eastAsia"/>
          <w:vanish w:val="0"/>
          <w:highlight w:val="none"/>
        </w:rPr>
        <w:t>理财计划所投资产的相关义务人信用状况恶化，出现信用违约情形，则理财计划本金或收益蒙受部分或全部损失的风险。</w:t>
      </w:r>
    </w:p>
    <w:p>
      <w:pPr>
        <w:pStyle w:val="4"/>
        <w:keepNext w:val="0"/>
        <w:keepLines w:val="0"/>
        <w:numPr>
          <w:ilvl w:val="0"/>
          <w:numId w:val="2"/>
        </w:numPr>
        <w:bidi w:val="0"/>
        <w:ind w:firstLine="482" w:firstLineChars="200"/>
        <w:rPr>
          <w:rFonts w:hint="eastAsia"/>
          <w:highlight w:val="none"/>
        </w:rPr>
      </w:pPr>
      <w:r>
        <w:rPr>
          <w:rFonts w:hint="eastAsia"/>
          <w:b/>
          <w:highlight w:val="none"/>
        </w:rPr>
        <w:t>市场风险：</w:t>
      </w:r>
      <w:r>
        <w:rPr>
          <w:rFonts w:hint="eastAsia"/>
          <w:vanish w:val="0"/>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2" w:firstLineChars="200"/>
        <w:jc w:val="left"/>
        <w:textAlignment w:val="auto"/>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keepNext w:val="0"/>
        <w:keepLines w:val="0"/>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keepNext w:val="0"/>
        <w:keepLines w:val="0"/>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highlight w:val="none"/>
        </w:rPr>
        <w:t>法规发生变化，可能会影响理财计划的发行、投资、兑付等正常工作流程的进行，导致理财计划本金或收益蒙受部分或全部损失的风险。</w:t>
      </w:r>
    </w:p>
    <w:p>
      <w:pPr>
        <w:pStyle w:val="4"/>
        <w:keepNext w:val="0"/>
        <w:keepLines w:val="0"/>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keepNext w:val="0"/>
        <w:keepLines w:val="0"/>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keepNext w:val="0"/>
        <w:keepLines w:val="0"/>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keepNext w:val="0"/>
        <w:keepLines w:val="0"/>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keepNext w:val="0"/>
        <w:keepLines w:val="0"/>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19"/>
          <w:rFonts w:hint="eastAsia"/>
          <w:vanish w:val="0"/>
          <w:highlight w:val="none"/>
          <w:lang w:val="en-US" w:eastAsia="zh-CN"/>
        </w:rPr>
        <w:t>信息传递风险：1.理财计划管理人将按照本理财计划销售文件中约定的信息披露方式、途径向投资者公示本理财计划的各类信息和重大事件，投资者应及时查询、了解。由于投资者未能及时主动了解理财计划信息或由于不可抗力及/或意外事件的影响导致投资者无法及时了解理财计划信息，从而影响投资者的投资决策，由此产生的责任和风险由投资者自行承担。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pStyle w:val="4"/>
        <w:keepNext w:val="0"/>
        <w:keepLines w:val="0"/>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2" w:firstLineChars="200"/>
        <w:jc w:val="left"/>
        <w:textAlignment w:val="auto"/>
        <w:outlineLvl w:val="2"/>
        <w:rPr>
          <w:rFonts w:ascii="宋体" w:hAnsi="宋体" w:cs="宋体"/>
          <w:b/>
          <w:sz w:val="24"/>
          <w:highlight w:val="none"/>
        </w:rPr>
      </w:pPr>
      <w:r>
        <w:rPr>
          <w:rFonts w:ascii="宋体" w:hAnsi="宋体" w:cs="宋体"/>
          <w:b/>
          <w:sz w:val="24"/>
          <w:highlight w:val="none"/>
        </w:rPr>
        <w:t>关联关系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highlight w:val="none"/>
          <w:lang w:val="en-US" w:eastAsia="zh-CN"/>
        </w:rPr>
        <w:t>资金</w:t>
      </w:r>
      <w:r>
        <w:rPr>
          <w:rFonts w:hint="eastAsia" w:ascii="宋体" w:hAnsi="宋体" w:cs="宋体"/>
          <w:b/>
          <w:highlight w:val="none"/>
        </w:rPr>
        <w:t>流动性风险：本理财定期开放申购、赎回，非开放期内投资者不得提前交易。</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收益不达业绩比较基准风险：本理财可投资于债券及非标准化债权类资产等固定收益类及权益类资产，因融资人违约及市场波动或导致投资者的本金出现损失。</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cs="宋体"/>
          <w:b/>
          <w:sz w:val="24"/>
          <w:highlight w:val="none"/>
          <w:lang w:val="en-US" w:eastAsia="zh-CN"/>
        </w:rPr>
        <w:t>公募</w:t>
      </w:r>
      <w:r>
        <w:rPr>
          <w:rFonts w:hint="eastAsia" w:ascii="宋体" w:hAnsi="宋体" w:cs="宋体"/>
          <w:b/>
          <w:sz w:val="24"/>
          <w:highlight w:val="none"/>
        </w:rPr>
        <w:t>、</w:t>
      </w:r>
      <w:r>
        <w:rPr>
          <w:rFonts w:hint="eastAsia" w:ascii="宋体" w:hAnsi="宋体" w:cs="宋体"/>
          <w:b/>
          <w:sz w:val="24"/>
          <w:highlight w:val="none"/>
          <w:lang w:val="en-US" w:eastAsia="zh-CN"/>
        </w:rPr>
        <w:t>开放式</w:t>
      </w:r>
      <w:r>
        <w:rPr>
          <w:rFonts w:hint="eastAsia" w:ascii="宋体" w:hAnsi="宋体" w:cs="宋体"/>
          <w:b/>
          <w:sz w:val="24"/>
          <w:highlight w:val="none"/>
        </w:rPr>
        <w:t>、〖</w:t>
      </w:r>
      <w:r>
        <w:rPr>
          <w:rFonts w:hint="eastAsia" w:ascii="宋体" w:hAnsi="宋体" w:cs="宋体"/>
          <w:b/>
          <w:sz w:val="24"/>
          <w:highlight w:val="none"/>
          <w:lang w:val="en-US" w:eastAsia="zh-CN"/>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〗，不保证本金与收益。根据本公司理财产品内部风险评级，该理财计划风险评级结果为〖</w:t>
      </w:r>
      <w:r>
        <w:rPr>
          <w:rFonts w:hint="eastAsia" w:ascii="宋体" w:hAnsi="宋体" w:cs="宋体"/>
          <w:b/>
          <w:sz w:val="24"/>
          <w:highlight w:val="none"/>
          <w:lang w:val="en-US" w:eastAsia="zh-CN"/>
        </w:rPr>
        <w:t>R2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cs="宋体"/>
          <w:b/>
          <w:sz w:val="24"/>
          <w:highlight w:val="none"/>
          <w:lang w:val="en-US" w:eastAsia="zh-CN"/>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pStyle w:val="18"/>
        <w:spacing w:line="360" w:lineRule="auto"/>
        <w:ind w:firstLine="0" w:firstLineChars="0"/>
        <w:jc w:val="right"/>
        <w:outlineLvl w:val="1"/>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18"/>
        <w:spacing w:line="360" w:lineRule="auto"/>
        <w:ind w:firstLine="0" w:firstLineChars="0"/>
        <w:jc w:val="center"/>
        <w:outlineLvl w:val="1"/>
        <w:rPr>
          <w:rFonts w:hint="eastAsia" w:ascii="宋体" w:hAnsi="宋体" w:cs="宋体"/>
          <w:b/>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投资者确认栏（个人投资者填写）</w:t>
      </w:r>
    </w:p>
    <w:p>
      <w:pPr>
        <w:pStyle w:val="18"/>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8"/>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8"/>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8"/>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8"/>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8"/>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8"/>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jc w:val="left"/>
        <w:rPr>
          <w:rFonts w:hint="default" w:ascii="宋体" w:hAnsi="宋体" w:eastAsia="宋体" w:cs="宋体"/>
          <w:kern w:val="0"/>
          <w:sz w:val="24"/>
          <w:highlight w:val="none"/>
          <w:lang w:val="en-US" w:eastAsia="zh-CN"/>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r>
        <w:rPr>
          <w:rFonts w:hint="eastAsia" w:ascii="宋体" w:hAnsi="宋体" w:cs="宋体"/>
          <w:kern w:val="0"/>
          <w:sz w:val="24"/>
          <w:highlight w:val="none"/>
          <w:lang w:val="en-US" w:eastAsia="zh-CN"/>
        </w:rPr>
        <w:t xml:space="preserve">  </w:t>
      </w: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rPr>
          <w:rFonts w:hint="eastAsia" w:ascii="宋体" w:hAnsi="宋体" w:eastAsia="宋体" w:cs="宋体"/>
          <w:b/>
          <w:bCs/>
          <w:color w:val="auto"/>
          <w:highlight w:val="none"/>
          <w:u w:val="none"/>
        </w:rPr>
      </w:pPr>
    </w:p>
    <w:p>
      <w:pPr>
        <w:pStyle w:val="18"/>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r>
        <w:rPr>
          <w:rFonts w:hint="eastAsia" w:ascii="宋体" w:hAnsi="宋体" w:eastAsia="宋体" w:cs="宋体"/>
          <w:b/>
          <w:bCs/>
          <w:color w:val="auto"/>
          <w:highlight w:val="none"/>
          <w:u w:val="none"/>
        </w:rPr>
        <w:t>投资者确认栏（机构投资者）</w:t>
      </w: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8"/>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8"/>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8"/>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8"/>
        <w:spacing w:line="360" w:lineRule="auto"/>
        <w:ind w:firstLine="0" w:firstLineChars="0"/>
        <w:jc w:val="both"/>
        <w:rPr>
          <w:rFonts w:hint="eastAsia" w:ascii="宋体" w:hAnsi="宋体" w:eastAsia="宋体" w:cs="宋体"/>
          <w:b/>
          <w:bCs/>
          <w:color w:val="auto"/>
          <w:highlight w:val="none"/>
          <w:u w:val="single"/>
          <w:lang w:val="en-US" w:eastAsia="zh-CN"/>
        </w:rPr>
      </w:pPr>
    </w:p>
    <w:p>
      <w:pPr>
        <w:spacing w:line="360" w:lineRule="auto"/>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jE0NjdiOGU5MjM3YmE2OGEzNGJiZDhhYjg1NzYifQ=="/>
    <w:docVar w:name="KSO_WPS_MARK_KEY" w:val="ab8c09fc-ebb4-4f15-b49e-3b6144cc8e86"/>
  </w:docVars>
  <w:rsids>
    <w:rsidRoot w:val="00172A27"/>
    <w:rsid w:val="004A3A51"/>
    <w:rsid w:val="012C2B17"/>
    <w:rsid w:val="01364432"/>
    <w:rsid w:val="01523B8E"/>
    <w:rsid w:val="01E60817"/>
    <w:rsid w:val="036B5FEB"/>
    <w:rsid w:val="040B79D9"/>
    <w:rsid w:val="0449537A"/>
    <w:rsid w:val="046F2BFF"/>
    <w:rsid w:val="04A52A8E"/>
    <w:rsid w:val="04A74955"/>
    <w:rsid w:val="050A18A0"/>
    <w:rsid w:val="05C21734"/>
    <w:rsid w:val="05E05E4D"/>
    <w:rsid w:val="06420CFA"/>
    <w:rsid w:val="06503B59"/>
    <w:rsid w:val="06592D9B"/>
    <w:rsid w:val="06C07478"/>
    <w:rsid w:val="0752555A"/>
    <w:rsid w:val="07E45984"/>
    <w:rsid w:val="081B7D56"/>
    <w:rsid w:val="0828699A"/>
    <w:rsid w:val="082B58DC"/>
    <w:rsid w:val="08E37254"/>
    <w:rsid w:val="096D780F"/>
    <w:rsid w:val="097E3F67"/>
    <w:rsid w:val="09851159"/>
    <w:rsid w:val="09B01B43"/>
    <w:rsid w:val="09D777D8"/>
    <w:rsid w:val="0A1347F5"/>
    <w:rsid w:val="0A2A32B9"/>
    <w:rsid w:val="0A5F546C"/>
    <w:rsid w:val="0B8E27E3"/>
    <w:rsid w:val="0BF71AE2"/>
    <w:rsid w:val="0CA6603D"/>
    <w:rsid w:val="0D0B1B00"/>
    <w:rsid w:val="0E4A4B6F"/>
    <w:rsid w:val="0EAE473F"/>
    <w:rsid w:val="0EF65480"/>
    <w:rsid w:val="10593F50"/>
    <w:rsid w:val="10E7087B"/>
    <w:rsid w:val="10FA5463"/>
    <w:rsid w:val="11BA058F"/>
    <w:rsid w:val="11C23A9E"/>
    <w:rsid w:val="12046DA7"/>
    <w:rsid w:val="12081858"/>
    <w:rsid w:val="127D7C55"/>
    <w:rsid w:val="12B62B3B"/>
    <w:rsid w:val="13031153"/>
    <w:rsid w:val="13181417"/>
    <w:rsid w:val="13D3452B"/>
    <w:rsid w:val="142A3D0A"/>
    <w:rsid w:val="146D615D"/>
    <w:rsid w:val="14C57FED"/>
    <w:rsid w:val="150C5665"/>
    <w:rsid w:val="159302CA"/>
    <w:rsid w:val="15C56302"/>
    <w:rsid w:val="15D419A2"/>
    <w:rsid w:val="160940BB"/>
    <w:rsid w:val="1659752C"/>
    <w:rsid w:val="169F376F"/>
    <w:rsid w:val="16B845ED"/>
    <w:rsid w:val="16E43A7F"/>
    <w:rsid w:val="185A3DA1"/>
    <w:rsid w:val="18E6578A"/>
    <w:rsid w:val="18F22962"/>
    <w:rsid w:val="198C4B50"/>
    <w:rsid w:val="19DA666D"/>
    <w:rsid w:val="19F13F4F"/>
    <w:rsid w:val="1A102675"/>
    <w:rsid w:val="1B280245"/>
    <w:rsid w:val="1BBE4697"/>
    <w:rsid w:val="1BEE4FD6"/>
    <w:rsid w:val="1C1147C7"/>
    <w:rsid w:val="1C3F1BB8"/>
    <w:rsid w:val="1D3C4AE8"/>
    <w:rsid w:val="1D552DD9"/>
    <w:rsid w:val="1DAB6D83"/>
    <w:rsid w:val="1DD76500"/>
    <w:rsid w:val="1DFD293B"/>
    <w:rsid w:val="1E3173A3"/>
    <w:rsid w:val="1E410106"/>
    <w:rsid w:val="1ED938B7"/>
    <w:rsid w:val="1F0F5A19"/>
    <w:rsid w:val="1F1D6E1F"/>
    <w:rsid w:val="1F3E7F7D"/>
    <w:rsid w:val="1F51312D"/>
    <w:rsid w:val="1FC9553A"/>
    <w:rsid w:val="1FE3536C"/>
    <w:rsid w:val="1FFB1A16"/>
    <w:rsid w:val="1FFEB843"/>
    <w:rsid w:val="20137C57"/>
    <w:rsid w:val="204D3B12"/>
    <w:rsid w:val="205A2AB3"/>
    <w:rsid w:val="20B6224D"/>
    <w:rsid w:val="21025026"/>
    <w:rsid w:val="21B93623"/>
    <w:rsid w:val="21C22F06"/>
    <w:rsid w:val="22A04AF7"/>
    <w:rsid w:val="22D32481"/>
    <w:rsid w:val="22D3594B"/>
    <w:rsid w:val="22F12819"/>
    <w:rsid w:val="23393314"/>
    <w:rsid w:val="23753F06"/>
    <w:rsid w:val="238E1AAE"/>
    <w:rsid w:val="24345B9A"/>
    <w:rsid w:val="2483647E"/>
    <w:rsid w:val="256F076F"/>
    <w:rsid w:val="2610340F"/>
    <w:rsid w:val="26820AF7"/>
    <w:rsid w:val="26966D40"/>
    <w:rsid w:val="272A311F"/>
    <w:rsid w:val="28677578"/>
    <w:rsid w:val="292668E3"/>
    <w:rsid w:val="2A1B5D68"/>
    <w:rsid w:val="2A5975B6"/>
    <w:rsid w:val="2A991D32"/>
    <w:rsid w:val="2AB92324"/>
    <w:rsid w:val="2AD6555A"/>
    <w:rsid w:val="2B1902F3"/>
    <w:rsid w:val="2B376BE0"/>
    <w:rsid w:val="2BD223E7"/>
    <w:rsid w:val="2BEB1823"/>
    <w:rsid w:val="2C1B1E9D"/>
    <w:rsid w:val="2CAB68C5"/>
    <w:rsid w:val="2DEF6CE6"/>
    <w:rsid w:val="2E45409C"/>
    <w:rsid w:val="2EBC6D03"/>
    <w:rsid w:val="2F1F666C"/>
    <w:rsid w:val="2F802D62"/>
    <w:rsid w:val="2FD32A37"/>
    <w:rsid w:val="304F5466"/>
    <w:rsid w:val="30551FFC"/>
    <w:rsid w:val="311F702A"/>
    <w:rsid w:val="31A82883"/>
    <w:rsid w:val="320E3E15"/>
    <w:rsid w:val="32C937E9"/>
    <w:rsid w:val="333F6AA7"/>
    <w:rsid w:val="33F7523E"/>
    <w:rsid w:val="3480359E"/>
    <w:rsid w:val="34BE4ED5"/>
    <w:rsid w:val="34D115D5"/>
    <w:rsid w:val="35476F5E"/>
    <w:rsid w:val="3563318D"/>
    <w:rsid w:val="3602513D"/>
    <w:rsid w:val="36631FD8"/>
    <w:rsid w:val="366A0F47"/>
    <w:rsid w:val="36B64AFC"/>
    <w:rsid w:val="36E72D9B"/>
    <w:rsid w:val="379F2ED6"/>
    <w:rsid w:val="37CA172C"/>
    <w:rsid w:val="37CB10A0"/>
    <w:rsid w:val="37EE9B5C"/>
    <w:rsid w:val="38071350"/>
    <w:rsid w:val="38224FD0"/>
    <w:rsid w:val="38696564"/>
    <w:rsid w:val="38BC5508"/>
    <w:rsid w:val="3A26630A"/>
    <w:rsid w:val="3A3E2041"/>
    <w:rsid w:val="3A57501E"/>
    <w:rsid w:val="3B131EF6"/>
    <w:rsid w:val="3B490D86"/>
    <w:rsid w:val="3C2F2290"/>
    <w:rsid w:val="3D8434FB"/>
    <w:rsid w:val="3EA67C14"/>
    <w:rsid w:val="3EAD1B36"/>
    <w:rsid w:val="3F056B9E"/>
    <w:rsid w:val="3F2521B4"/>
    <w:rsid w:val="3F354A62"/>
    <w:rsid w:val="3FF54C55"/>
    <w:rsid w:val="3FFD787A"/>
    <w:rsid w:val="406370BC"/>
    <w:rsid w:val="40FB7670"/>
    <w:rsid w:val="41627E6A"/>
    <w:rsid w:val="41B60000"/>
    <w:rsid w:val="41C74B6C"/>
    <w:rsid w:val="4220746F"/>
    <w:rsid w:val="423C06E2"/>
    <w:rsid w:val="424239CB"/>
    <w:rsid w:val="42815397"/>
    <w:rsid w:val="42C94634"/>
    <w:rsid w:val="433F12EE"/>
    <w:rsid w:val="43423D19"/>
    <w:rsid w:val="4399327E"/>
    <w:rsid w:val="44FC77BE"/>
    <w:rsid w:val="45540446"/>
    <w:rsid w:val="45BB5620"/>
    <w:rsid w:val="45F127ED"/>
    <w:rsid w:val="46263D02"/>
    <w:rsid w:val="46CD66A0"/>
    <w:rsid w:val="46F85BFB"/>
    <w:rsid w:val="472803B7"/>
    <w:rsid w:val="475F21BD"/>
    <w:rsid w:val="48267AA2"/>
    <w:rsid w:val="48565368"/>
    <w:rsid w:val="488B59A4"/>
    <w:rsid w:val="48DB39C6"/>
    <w:rsid w:val="494502E1"/>
    <w:rsid w:val="49943680"/>
    <w:rsid w:val="49A948D7"/>
    <w:rsid w:val="4A1D5AD2"/>
    <w:rsid w:val="4A3D69E6"/>
    <w:rsid w:val="4A4D47B1"/>
    <w:rsid w:val="4A6F7B99"/>
    <w:rsid w:val="4A7F0ADF"/>
    <w:rsid w:val="4AA612F0"/>
    <w:rsid w:val="4B0D3113"/>
    <w:rsid w:val="4C215473"/>
    <w:rsid w:val="4C6B0DDA"/>
    <w:rsid w:val="4C6E1306"/>
    <w:rsid w:val="4D4E6461"/>
    <w:rsid w:val="4DEE1021"/>
    <w:rsid w:val="4E186164"/>
    <w:rsid w:val="4E2F1033"/>
    <w:rsid w:val="4E8274B0"/>
    <w:rsid w:val="4E8E16CB"/>
    <w:rsid w:val="4EC40AC5"/>
    <w:rsid w:val="4EFC1B31"/>
    <w:rsid w:val="4F2836A5"/>
    <w:rsid w:val="4FF363B3"/>
    <w:rsid w:val="501216FC"/>
    <w:rsid w:val="50B73634"/>
    <w:rsid w:val="50D8608E"/>
    <w:rsid w:val="511164BD"/>
    <w:rsid w:val="51504FE6"/>
    <w:rsid w:val="51907961"/>
    <w:rsid w:val="530D2324"/>
    <w:rsid w:val="53F5113F"/>
    <w:rsid w:val="53FE3DB0"/>
    <w:rsid w:val="54E91D9C"/>
    <w:rsid w:val="551553FD"/>
    <w:rsid w:val="552247DE"/>
    <w:rsid w:val="552C3ED5"/>
    <w:rsid w:val="55903A38"/>
    <w:rsid w:val="55A0734E"/>
    <w:rsid w:val="55A47BB4"/>
    <w:rsid w:val="56804A86"/>
    <w:rsid w:val="56872658"/>
    <w:rsid w:val="56B03B30"/>
    <w:rsid w:val="571D2E14"/>
    <w:rsid w:val="576C4461"/>
    <w:rsid w:val="5790790A"/>
    <w:rsid w:val="57BB6218"/>
    <w:rsid w:val="57FF3AAA"/>
    <w:rsid w:val="58DD2EEE"/>
    <w:rsid w:val="58E96C7A"/>
    <w:rsid w:val="59AD3C67"/>
    <w:rsid w:val="59CC6D6F"/>
    <w:rsid w:val="5A0B1AF2"/>
    <w:rsid w:val="5B0D630F"/>
    <w:rsid w:val="5B264E92"/>
    <w:rsid w:val="5B5D608F"/>
    <w:rsid w:val="5BBF5529"/>
    <w:rsid w:val="5C013B47"/>
    <w:rsid w:val="5C3C3DDC"/>
    <w:rsid w:val="5D160516"/>
    <w:rsid w:val="5D7D0F36"/>
    <w:rsid w:val="5DB61BFF"/>
    <w:rsid w:val="5DEF454B"/>
    <w:rsid w:val="5DFF1D1D"/>
    <w:rsid w:val="5E5A6C63"/>
    <w:rsid w:val="5EF478B5"/>
    <w:rsid w:val="5EFF0EC6"/>
    <w:rsid w:val="5F0D3289"/>
    <w:rsid w:val="5F3C6712"/>
    <w:rsid w:val="5F4B58F3"/>
    <w:rsid w:val="5F8C5613"/>
    <w:rsid w:val="5FD55F7B"/>
    <w:rsid w:val="6053481F"/>
    <w:rsid w:val="606E0DED"/>
    <w:rsid w:val="60AB2000"/>
    <w:rsid w:val="60C04AFA"/>
    <w:rsid w:val="610129B1"/>
    <w:rsid w:val="61AE53BE"/>
    <w:rsid w:val="61D85325"/>
    <w:rsid w:val="62860AAA"/>
    <w:rsid w:val="628B7CEE"/>
    <w:rsid w:val="629D5796"/>
    <w:rsid w:val="64340620"/>
    <w:rsid w:val="657A160B"/>
    <w:rsid w:val="65D25F29"/>
    <w:rsid w:val="67182835"/>
    <w:rsid w:val="671E2162"/>
    <w:rsid w:val="68D8721E"/>
    <w:rsid w:val="6B3A5BD0"/>
    <w:rsid w:val="6B3C7023"/>
    <w:rsid w:val="6B610D05"/>
    <w:rsid w:val="6B767560"/>
    <w:rsid w:val="6BAC21D5"/>
    <w:rsid w:val="6BDE7617"/>
    <w:rsid w:val="6C1D42E9"/>
    <w:rsid w:val="6C3B62C3"/>
    <w:rsid w:val="6C3E5296"/>
    <w:rsid w:val="6C97174C"/>
    <w:rsid w:val="6CED1CB3"/>
    <w:rsid w:val="6D3B42C3"/>
    <w:rsid w:val="6DDE0D10"/>
    <w:rsid w:val="6E5969DC"/>
    <w:rsid w:val="6E7B6A0F"/>
    <w:rsid w:val="6E7E575F"/>
    <w:rsid w:val="6EF15941"/>
    <w:rsid w:val="6EFD7143"/>
    <w:rsid w:val="6F6861E1"/>
    <w:rsid w:val="6F9921A1"/>
    <w:rsid w:val="6FB83EF3"/>
    <w:rsid w:val="6FFAE0A6"/>
    <w:rsid w:val="70272715"/>
    <w:rsid w:val="70AC6E8A"/>
    <w:rsid w:val="732E7FA6"/>
    <w:rsid w:val="73407EBD"/>
    <w:rsid w:val="73EF4563"/>
    <w:rsid w:val="74175679"/>
    <w:rsid w:val="744124AA"/>
    <w:rsid w:val="745E0741"/>
    <w:rsid w:val="74664F47"/>
    <w:rsid w:val="74733B2E"/>
    <w:rsid w:val="774B5512"/>
    <w:rsid w:val="77E0572E"/>
    <w:rsid w:val="77ED4104"/>
    <w:rsid w:val="77FB3F74"/>
    <w:rsid w:val="789508C5"/>
    <w:rsid w:val="78E55A6A"/>
    <w:rsid w:val="78EF4372"/>
    <w:rsid w:val="795026DF"/>
    <w:rsid w:val="79554B55"/>
    <w:rsid w:val="79771B00"/>
    <w:rsid w:val="7980282D"/>
    <w:rsid w:val="798F6426"/>
    <w:rsid w:val="79E60E88"/>
    <w:rsid w:val="7ACA272A"/>
    <w:rsid w:val="7B0E7C70"/>
    <w:rsid w:val="7B2F5D22"/>
    <w:rsid w:val="7C8B1B8E"/>
    <w:rsid w:val="7CB79A73"/>
    <w:rsid w:val="7DEFBF68"/>
    <w:rsid w:val="7E6F339A"/>
    <w:rsid w:val="7E810662"/>
    <w:rsid w:val="7EBFCCEE"/>
    <w:rsid w:val="7F590AE3"/>
    <w:rsid w:val="7F72DFA6"/>
    <w:rsid w:val="7F7EC362"/>
    <w:rsid w:val="7FC44D8E"/>
    <w:rsid w:val="7FCFC145"/>
    <w:rsid w:val="7FE83D34"/>
    <w:rsid w:val="8FAF8AD8"/>
    <w:rsid w:val="B997A5AD"/>
    <w:rsid w:val="BBBDC055"/>
    <w:rsid w:val="BBFF2937"/>
    <w:rsid w:val="BFFBBC98"/>
    <w:rsid w:val="D37CAFE9"/>
    <w:rsid w:val="D73F82B2"/>
    <w:rsid w:val="D7BD226C"/>
    <w:rsid w:val="DA7FC5B8"/>
    <w:rsid w:val="DFF7DC7D"/>
    <w:rsid w:val="DFFD8E57"/>
    <w:rsid w:val="E3E076BE"/>
    <w:rsid w:val="EFDB6580"/>
    <w:rsid w:val="EFDE941D"/>
    <w:rsid w:val="F4F64487"/>
    <w:rsid w:val="F7EEBBDF"/>
    <w:rsid w:val="F7EFB835"/>
    <w:rsid w:val="F92C5A21"/>
    <w:rsid w:val="F97B95C2"/>
    <w:rsid w:val="F9F71591"/>
    <w:rsid w:val="FB7FF2A7"/>
    <w:rsid w:val="FCDE1A5D"/>
    <w:rsid w:val="FDBF3995"/>
    <w:rsid w:val="FEF37BDB"/>
    <w:rsid w:val="FFFFF3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0"/>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2"/>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4"/>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3"/>
    <w:qFormat/>
    <w:uiPriority w:val="0"/>
    <w:rPr>
      <w:b/>
      <w:bCs/>
    </w:rPr>
  </w:style>
  <w:style w:type="table" w:styleId="12">
    <w:name w:val="Table Grid"/>
    <w:basedOn w:val="11"/>
    <w:unhideWhenUsed/>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标题 3 Char"/>
    <w:link w:val="4"/>
    <w:uiPriority w:val="0"/>
    <w:rPr>
      <w:rFonts w:hAnsi="Calibri" w:eastAsia="宋体"/>
      <w:b/>
      <w:sz w:val="24"/>
    </w:rPr>
  </w:style>
  <w:style w:type="character" w:customStyle="1" w:styleId="20">
    <w:name w:val="标题 1 Char"/>
    <w:link w:val="2"/>
    <w:qFormat/>
    <w:uiPriority w:val="0"/>
    <w:rPr>
      <w:rFonts w:eastAsia="宋体"/>
      <w:b/>
      <w:kern w:val="44"/>
      <w:sz w:val="44"/>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标题 2 Char"/>
    <w:link w:val="3"/>
    <w:uiPriority w:val="0"/>
    <w:rPr>
      <w:rFonts w:ascii="Arial" w:hAnsi="Arial" w:eastAsia="宋体"/>
      <w:b/>
      <w:sz w:val="24"/>
    </w:rPr>
  </w:style>
  <w:style w:type="character" w:customStyle="1" w:styleId="23">
    <w:name w:val="批注主题 Char"/>
    <w:link w:val="10"/>
    <w:uiPriority w:val="0"/>
    <w:rPr>
      <w:rFonts w:ascii="Calibri" w:hAnsi="Calibri" w:cs="黑体"/>
      <w:b/>
      <w:bCs/>
      <w:kern w:val="2"/>
      <w:sz w:val="21"/>
      <w:szCs w:val="24"/>
    </w:rPr>
  </w:style>
  <w:style w:type="character" w:customStyle="1" w:styleId="24">
    <w:name w:val="批注框文本 Char"/>
    <w:link w:val="6"/>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37740</Words>
  <Characters>40213</Characters>
  <Lines>210</Lines>
  <Paragraphs>59</Paragraphs>
  <TotalTime>0</TotalTime>
  <ScaleCrop>false</ScaleCrop>
  <LinksUpToDate>false</LinksUpToDate>
  <CharactersWithSpaces>40472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hccb</cp:lastModifiedBy>
  <dcterms:modified xsi:type="dcterms:W3CDTF">2025-09-29T06:37:08Z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