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 w:bidi="ar-SA"/>
        </w:rPr>
        <w:t>幸福99丰裕固收386天25191期理财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Z7002225000375</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幸福99丰裕固收386天25191期理财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幸福99丰裕固收386天25191期理财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幸福99丰裕固收386天25191期理财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幸福99丰裕固收386天25191期理财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幸福99丰裕固收386天25191期理财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w:t>
      </w:r>
      <w:r>
        <w:rPr>
          <w:rFonts w:hint="eastAsia" w:ascii="宋体" w:hAnsi="宋体" w:cs="宋体"/>
          <w:bCs/>
          <w:color w:val="auto"/>
          <w:kern w:val="2"/>
          <w:highlight w:val="none"/>
        </w:rPr>
        <w:t>书》《投资者权益须知》《理财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幸福99丰裕固收386天25191期理财</w:t>
      </w:r>
      <w:r>
        <w:rPr>
          <w:rFonts w:hint="eastAsia" w:ascii="宋体" w:hAnsi="宋体" w:cs="宋体"/>
          <w:bCs/>
          <w:highlight w:val="none"/>
        </w:rPr>
        <w:t>。</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7"/>
        <w:adjustRightInd/>
        <w:spacing w:line="360" w:lineRule="auto"/>
        <w:rPr>
          <w:rFonts w:hint="eastAsia" w:ascii="宋体" w:hAnsi="宋体" w:cs="宋体"/>
          <w:bCs/>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Cs/>
          <w:color w:val="auto"/>
          <w:kern w:val="2"/>
          <w:highlight w:val="none"/>
          <w:lang w:eastAsia="zh-CN"/>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kern w:val="2"/>
                <w:sz w:val="21"/>
                <w:szCs w:val="21"/>
                <w:highlight w:val="none"/>
                <w:lang w:val="en-US" w:eastAsia="zh-CN" w:bidi="ar-SA"/>
              </w:rPr>
              <w:t>幸福99丰裕固收386天25191期理财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丰裕固收25191期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FYG25191</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Z7002225000375</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Cs w:val="21"/>
                <w:highlight w:val="none"/>
              </w:rPr>
              <w:t>。</w:t>
            </w:r>
            <w:r>
              <w:rPr>
                <w:rFonts w:hint="eastAsia" w:ascii="宋体" w:hAnsi="宋体" w:cs="宋体"/>
                <w:bCs/>
                <w:color w:val="auto"/>
                <w:kern w:val="2"/>
                <w:highlight w:val="none"/>
                <w:lang w:eastAsia="zh-CN"/>
              </w:rPr>
              <w:t>投资者风险承受能力评级水平以销售机构评估为准。</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
                <w:color w:val="000000"/>
                <w:szCs w:val="21"/>
                <w:highlight w:val="none"/>
                <w:lang w:eastAsia="zh"/>
              </w:rPr>
            </w:pPr>
            <w:r>
              <w:rPr>
                <w:rFonts w:hint="eastAsia" w:ascii="宋体" w:hAnsi="宋体" w:eastAsia="宋体" w:cs="宋体"/>
                <w:b w:val="0"/>
                <w:bCs/>
                <w:color w:val="000000"/>
                <w:kern w:val="2"/>
                <w:sz w:val="21"/>
                <w:szCs w:val="21"/>
                <w:highlight w:val="none"/>
                <w:lang w:val="en-US" w:eastAsia="zh" w:bidi="ar-SA"/>
              </w:rPr>
              <w:t>其中：</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A份额（销售代码〖FYG25191A〗）：普通个人投资者和机构客户。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B份额（销售代码〖FYG25191B〗）：普通个人投资者和机构客户。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C份额（销售代码〖FYG25191C〗）：普通个人投资者和机构客户。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D份额（销售代码〖FYG25191D〗）：普通个人投资者和机构客户。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E份额（公司专属）（销售代码〖FYG25191E〗）：普通个人投资者和机构客户。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F份额（销售代码〖FYG25191F〗）：普通个人投资者和机构客户。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G份额（汉口银行专属）（销售代码〖FYG25191G〗）：普通个人投资者和机构客户。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H份额（北行专属）（销售代码〖FYG25191H〗）：普通个人投资者和机构客户。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I份额（爽盈优选）（销售代码〖FYG25191I〗）：普通个人投资者和机构客户。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J份额（销售代码〖FYG25191J〗）：普通个人投资者和机构客户。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K份额（鲲鹏优选）（销售代码〖FYG25191K〗）：普通个人投资者和机构客户。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N份额惠享款（长长财富·专属）（销售代码〖FYG25191N〗）：普通个人投资者和机构客户。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O份额（销售代码〖FYG25191O〗）：普通个人投资者和机构客户。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P份额（芙蓉锦程·优选）（销售代码〖FYG25191P〗）：普通个人投资者和机构客户。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Q份额惠享款（候鸟专属）（销售代码〖FYG25191Q〗）：普通个人投资者和机构客户。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R份额惠享款吉行十二号（销售代码〖FYG25191R〗）：普通个人投资者和机构客户。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S份额惠享款（齐鲁-逢六有约）（销售代码〖FYG25191S〗）：普通个人投资者和机构客户。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U份额惠享款（销售代码〖FYG25191U〗）：普通个人投资者和机构客户。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V份额（金芙蓉专属）（销售代码〖FYG25191V〗）：普通个人投资者和机构客户。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W份额惠享款（销售代码〖FYG25191W〗）：普通个人投资者和机构客户。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X份额（销售代码〖FYG25191X〗）：普通个人投资者。</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Y份额惠享款（销售代码〖FYG25191Y〗）：普通个人投资者和机构客户。</w:t>
            </w:r>
            <w:r>
              <w:rPr>
                <w:rFonts w:hint="eastAsia" w:ascii="宋体" w:hAnsi="宋体" w:eastAsia="宋体" w:cs="宋体"/>
                <w:b w:val="0"/>
                <w:bCs/>
                <w:color w:val="000000"/>
                <w:kern w:val="2"/>
                <w:sz w:val="21"/>
                <w:szCs w:val="21"/>
                <w:highlight w:val="none"/>
                <w:lang w:val="en-US" w:eastAsia="zh" w:bidi="ar-SA"/>
              </w:rPr>
              <w:br w:type="textWrapping"/>
            </w:r>
            <w:r>
              <w:rPr>
                <w:rFonts w:hint="eastAsia" w:ascii="宋体" w:hAnsi="宋体" w:eastAsia="宋体" w:cs="宋体"/>
                <w:b w:val="0"/>
                <w:bCs/>
                <w:color w:val="000000"/>
                <w:kern w:val="2"/>
                <w:sz w:val="21"/>
                <w:szCs w:val="21"/>
                <w:highlight w:val="none"/>
                <w:lang w:val="en-US" w:eastAsia="zh" w:bidi="ar-SA"/>
              </w:rPr>
              <w:t>Z份额惠享款（销售代码〖FYG25191Z〗）：普通个人投资者和机构客户。</w:t>
            </w:r>
            <w:r>
              <w:rPr>
                <w:rFonts w:hint="eastAsia" w:ascii="宋体" w:hAnsi="宋体" w:cs="宋体"/>
                <w:b w:val="0"/>
                <w:bCs/>
                <w:color w:val="000000"/>
                <w:szCs w:val="21"/>
                <w:highlight w:val="none"/>
                <w:lang w:eastAsia="zh"/>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Cs w:val="21"/>
                <w:highlight w:val="none"/>
              </w:rPr>
              <w:t>〗</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cs="宋体"/>
                <w:color w:val="000000"/>
                <w:szCs w:val="21"/>
                <w:highlight w:val="none"/>
              </w:rPr>
              <w:t>全国</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14</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20</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21</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386</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〖A份额〗起点〖1〗元整，超过认购起点部分，应为〖1〗元的整数倍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〖B份额〗起点〖1〗元整，超过认购起点部分，应为〖1〗元的整数倍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〖C份额〗起点〖1〗元整，超过认购起点部分，应为〖1〗元的整数倍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〖D份额〗起点〖1〗元整，超过认购起点部分，应为〖1〗元的整数倍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〖E份额〗起点〖1〗元整，超过认购起点部分，应为〖1〗元的整数倍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〖F份额〗起点〖1〗元整，超过认购起点部分，应为〖1〗元的整数倍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〖G份额〗起点〖1〗元整，超过认购起点部分，应为〖1〗元的整数倍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〖H份额〗起点〖1〗元整，超过认购起点部分，应为〖1〗元的整数倍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〖I份额〗起点〖1〗元整，超过认购起点部分，应为〖1〗元的整数倍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〖J份额〗起点〖1〗元整，超过认购起点部分，应为〖1〗元的整数倍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〖K份额〗起点〖1〗元整，超过认购起点部分，应为〖1〗元的整数倍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〖N份额〗起点〖1〗元整，超过认购起点部分，应为〖1〗元的整数倍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〖O份额〗起点〖1〗元整，超过认购起点部分，应为〖1〗元的整数倍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〖P份额〗起点〖1〗元整，超过认购起点部分，应为〖1〗元的整数倍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〖Q份额〗起点〖1〗万元整，超过认购起点部分，应为〖1〗元的整数倍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〖R份额〗起点〖1〗元整，超过认购起点部分，应为〖1〗元的整数倍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〖S份额〗起点〖1〗元整，超过认购起点部分，应为〖1〗元的整数倍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〖U份额〗起点〖10〗万元整，超过认购起点部分，应为〖1〗元的整数倍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〖V份额〗起点〖100〗万元整，超过认购起点部分，应为〖1〗元的整数倍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〖W份额〗起点〖1〗元整，超过认购起点部分，应为〖1〗元的整数倍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〖X份额〗起点〖1〗元整，超过认购起点部分，应为〖1〗元的整数倍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〖Y份额〗起点〖1〗元整，超过认购起点部分，应为〖1〗元的整数倍</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〖Z份额〗起点〖1〗元整，超过认购起点部分，应为〖1〗元的整数倍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w:t>
            </w:r>
            <w:r>
              <w:rPr>
                <w:rFonts w:hint="eastAsia" w:ascii="宋体" w:hAnsi="宋体" w:cs="宋体"/>
                <w:szCs w:val="21"/>
                <w:highlight w:val="none"/>
              </w:rPr>
              <w:t>〖</w:t>
            </w:r>
            <w:r>
              <w:rPr>
                <w:rFonts w:hint="eastAsia" w:ascii="宋体" w:hAnsi="宋体" w:cs="宋体"/>
                <w:color w:val="FF0000"/>
                <w:szCs w:val="21"/>
                <w:highlight w:val="none"/>
              </w:rPr>
              <w:t>2</w:t>
            </w:r>
            <w:r>
              <w:rPr>
                <w:rFonts w:hint="eastAsia" w:ascii="宋体" w:hAnsi="宋体" w:cs="宋体"/>
                <w:szCs w:val="21"/>
                <w:highlight w:val="none"/>
              </w:rPr>
              <w:t>〗</w:t>
            </w:r>
            <w:r>
              <w:rPr>
                <w:rFonts w:hint="eastAsia" w:ascii="宋体" w:hAnsi="宋体" w:cs="宋体"/>
                <w:color w:val="000000"/>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理财计划总份额，单位净值</w:t>
            </w:r>
            <w:r>
              <w:rPr>
                <w:rFonts w:hint="eastAsia" w:ascii="宋体" w:hAnsi="宋体" w:cs="宋体"/>
                <w:szCs w:val="21"/>
                <w:highlight w:val="none"/>
              </w:rPr>
              <w:t>〖</w:t>
            </w:r>
            <w:r>
              <w:rPr>
                <w:rFonts w:hint="eastAsia" w:ascii="宋体" w:hAnsi="宋体" w:cs="宋体"/>
                <w:color w:val="000000"/>
                <w:szCs w:val="21"/>
                <w:highlight w:val="none"/>
              </w:rPr>
              <w:t>保留小数点后四位</w:t>
            </w:r>
            <w:r>
              <w:rPr>
                <w:rFonts w:hint="eastAsia" w:ascii="宋体" w:hAnsi="宋体" w:cs="宋体"/>
                <w:szCs w:val="21"/>
                <w:highlight w:val="none"/>
              </w:rPr>
              <w:t>〗</w:t>
            </w:r>
            <w:r>
              <w:rPr>
                <w:rFonts w:hint="eastAsia" w:ascii="宋体" w:hAnsi="宋体" w:cs="宋体"/>
                <w:color w:val="000000"/>
                <w:szCs w:val="21"/>
                <w:highlight w:val="none"/>
                <w:lang w:val="en-US" w:eastAsia="zh-CN"/>
              </w:rPr>
              <w:t>,</w:t>
            </w:r>
            <w:r>
              <w:rPr>
                <w:rFonts w:hint="eastAsia" w:ascii="宋体" w:hAnsi="宋体" w:cs="宋体"/>
                <w:szCs w:val="21"/>
                <w:highlight w:val="none"/>
              </w:rPr>
              <w:t>〖</w:t>
            </w:r>
            <w:r>
              <w:rPr>
                <w:rFonts w:hint="eastAsia" w:ascii="宋体" w:hAnsi="宋体" w:cs="宋体"/>
                <w:kern w:val="2"/>
                <w:sz w:val="21"/>
                <w:szCs w:val="21"/>
                <w:highlight w:val="none"/>
                <w:lang w:val="en-US" w:eastAsia="zh" w:bidi="ar-SA"/>
              </w:rPr>
              <w:t>四舍五入</w:t>
            </w:r>
            <w:r>
              <w:rPr>
                <w:rFonts w:hint="eastAsia" w:ascii="宋体" w:hAnsi="宋体" w:cs="宋体"/>
                <w:szCs w:val="21"/>
                <w:highlight w:val="none"/>
              </w:rPr>
              <w:t>〗</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eastAsia="宋体" w:cs="宋体"/>
                <w:color w:val="000000"/>
                <w:kern w:val="2"/>
                <w:sz w:val="21"/>
                <w:szCs w:val="21"/>
                <w:lang w:val="en-US" w:eastAsia="zh-CN" w:bidi="ar"/>
              </w:rPr>
              <w:t>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szCs w:val="21"/>
                <w:highlight w:val="none"/>
              </w:rPr>
              <w:t>〖</w:t>
            </w:r>
            <w:r>
              <w:rPr>
                <w:rFonts w:hint="eastAsia" w:ascii="宋体" w:hAnsi="宋体" w:cs="宋体"/>
                <w:color w:val="000000"/>
                <w:szCs w:val="21"/>
                <w:highlight w:val="none"/>
                <w:lang w:eastAsia="zh"/>
              </w:rPr>
              <w:t>不</w:t>
            </w:r>
            <w:r>
              <w:rPr>
                <w:rFonts w:hint="eastAsia" w:ascii="宋体" w:hAnsi="宋体" w:cs="宋体"/>
                <w:color w:val="000000"/>
                <w:szCs w:val="21"/>
                <w:highlight w:val="none"/>
              </w:rPr>
              <w:t>定期</w:t>
            </w:r>
            <w:r>
              <w:rPr>
                <w:rFonts w:hint="eastAsia" w:ascii="宋体" w:hAnsi="宋体" w:cs="宋体"/>
                <w:szCs w:val="21"/>
                <w:highlight w:val="none"/>
              </w:rPr>
              <w:t>〗</w:t>
            </w:r>
            <w:r>
              <w:rPr>
                <w:rFonts w:hint="eastAsia" w:ascii="宋体" w:hAnsi="宋体" w:cs="宋体"/>
                <w:color w:val="000000"/>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1" w:right="-1"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本理财计划〖A份额〗业绩比较基准为〖2.45%-2.75%〗（年化）。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本理财计划〖B份额〗业绩比较基准为〖2.55%-2.85%〗（年化）。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本理财计划〖C份额〗业绩比较基准为〖2.65%-2.95%〗（年化）。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本理财计划〖D份额〗业绩比较基准为〖2.60%-2.90%〗（年化）。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本理财计划〖E份额〗业绩比较基准为〖2.30%-2.60%〗（年化）。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本理财计划〖F份额〗业绩比较基准为〖2.60%-2.90%〗（年化）。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本理财计划〖G份额〗业绩比较基准为〖2.70%-3.00%〗（年化）。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本理财计划〖H份额〗业绩比较基准为〖2.55%-2.85%〗（年化）。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本理财计划〖I份额〗业绩比较基准为〖2.45%-2.75%〗（年化）。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本理财计划〖J份额〗业绩比较基准为〖2.70%-3.00%〗（年化）。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本理财计划〖K份额〗业绩比较基准为〖2.45%-2.75%〗（年化）。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本理财计划〖N份额〗业绩比较基准为〖2.55%-2.85%〗（年化）。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本理财计划〖O份额〗业绩比较基准为〖2.55%-2.85%〗（年化）。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本理财计划〖P份额〗业绩比较基准为〖2.60%-2.90%〗（年化）。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本理财计划〖Q份额〗业绩比较基准为〖2.65%-2.95%〗（年化）。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本理财计划〖R份额〗业绩比较基准为〖2.60%-2.90%〗（年化）。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本理财计划〖S份额〗业绩比较基准为〖2.61%-2.91%〗（年化）。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本理财计划〖U份额〗业绩比较基准为〖2.55%-2.85%〗（年化）。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本理财计划〖V份额〗业绩比较基准为〖2.65%-2.95%〗（年化）。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本理财计划〖W份额〗业绩比较基准为〖2.45%-2.75%〗（年化）。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本理财计划〖X份额〗业绩比较基准为〖2.70%-3.00%〗（年化）。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本理财计划〖Y份额〗业绩比较基准为〖2.55%-2.85%〗（年化）。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本理财计划〖Z份额〗业绩比较基准为〖2.65%-2.95%〗（年化）。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w:t>
            </w:r>
            <w:r>
              <w:rPr>
                <w:rFonts w:hint="eastAsia" w:ascii="宋体" w:hAnsi="宋体" w:eastAsia="宋体" w:cs="宋体"/>
                <w:b/>
                <w:bCs/>
                <w:kern w:val="2"/>
                <w:sz w:val="21"/>
                <w:szCs w:val="21"/>
                <w:lang w:val="en-US" w:eastAsia="zh-CN" w:bidi="ar"/>
              </w:rPr>
              <w:t>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szCs w:val="21"/>
                <w:highlight w:val="none"/>
              </w:rPr>
            </w:pPr>
            <w:r>
              <w:rPr>
                <w:rFonts w:hint="eastAsia" w:ascii="宋体" w:hAnsi="宋体" w:cs="宋体"/>
                <w:szCs w:val="21"/>
                <w:highlight w:val="none"/>
              </w:rPr>
              <w:t>管理人有权根据市场情况及</w:t>
            </w:r>
            <w:r>
              <w:rPr>
                <w:rFonts w:hint="eastAsia" w:ascii="宋体" w:hAnsi="宋体" w:cs="宋体"/>
                <w:szCs w:val="21"/>
                <w:highlight w:val="none"/>
                <w:lang w:eastAsia="zh-CN"/>
              </w:rPr>
              <w:t>理财计划</w:t>
            </w:r>
            <w:r>
              <w:rPr>
                <w:rFonts w:hint="eastAsia" w:ascii="宋体" w:hAnsi="宋体" w:cs="宋体"/>
                <w:szCs w:val="21"/>
                <w:highlight w:val="none"/>
              </w:rPr>
              <w:t>运作情况调整业绩基准，并至少于新业绩基准启用前</w:t>
            </w:r>
            <w:r>
              <w:rPr>
                <w:rFonts w:hint="eastAsia" w:ascii="宋体" w:hAnsi="宋体" w:cs="宋体"/>
                <w:kern w:val="0"/>
                <w:highlight w:val="none"/>
              </w:rPr>
              <w:t>〖</w:t>
            </w:r>
            <w:r>
              <w:rPr>
                <w:rFonts w:hint="eastAsia" w:ascii="宋体" w:hAnsi="宋体" w:cs="宋体"/>
                <w:color w:val="000000"/>
                <w:kern w:val="0"/>
                <w:highlight w:val="none"/>
                <w:lang w:val="en-US" w:eastAsia="zh-CN"/>
              </w:rPr>
              <w:t>2</w:t>
            </w:r>
            <w:r>
              <w:rPr>
                <w:rFonts w:hint="eastAsia" w:ascii="宋体" w:hAnsi="宋体" w:cs="宋体"/>
                <w:kern w:val="0"/>
                <w:highlight w:val="none"/>
              </w:rPr>
              <w:t>〗</w:t>
            </w:r>
            <w:r>
              <w:rPr>
                <w:rFonts w:hint="eastAsia" w:ascii="宋体" w:hAnsi="宋体" w:cs="宋体"/>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szCs w:val="21"/>
                <w:highlight w:val="none"/>
              </w:rPr>
              <w:t>本理财计划为净值型理财产品，其业绩表现将随市场波动具有不确定性。本公司提醒投资者关注，业绩比较基准</w:t>
            </w:r>
            <w:r>
              <w:rPr>
                <w:rFonts w:hint="eastAsia" w:ascii="宋体" w:hAnsi="宋体" w:cs="宋体"/>
                <w:b/>
                <w:szCs w:val="21"/>
                <w:highlight w:val="none"/>
                <w:lang w:eastAsia="zh-CN"/>
              </w:rPr>
              <w:t>不是预期收益率，</w:t>
            </w:r>
            <w:r>
              <w:rPr>
                <w:rFonts w:hint="eastAsia" w:ascii="宋体" w:hAnsi="宋体" w:cs="宋体"/>
                <w:b/>
                <w:szCs w:val="21"/>
                <w:highlight w:val="none"/>
              </w:rPr>
              <w:t>并不代表</w:t>
            </w:r>
            <w:r>
              <w:rPr>
                <w:rFonts w:hint="eastAsia" w:ascii="宋体" w:hAnsi="宋体" w:cs="宋体"/>
                <w:b/>
                <w:szCs w:val="21"/>
                <w:highlight w:val="none"/>
                <w:lang w:eastAsia="zh-CN"/>
              </w:rPr>
              <w:t>理财计划的未来表现和</w:t>
            </w:r>
            <w:r>
              <w:rPr>
                <w:rFonts w:hint="eastAsia" w:ascii="宋体" w:hAnsi="宋体" w:cs="宋体"/>
                <w:b/>
                <w:szCs w:val="21"/>
                <w:highlight w:val="none"/>
              </w:rPr>
              <w:t>实际收益率</w:t>
            </w:r>
            <w:r>
              <w:rPr>
                <w:rFonts w:hint="eastAsia" w:ascii="宋体" w:hAnsi="宋体" w:cs="宋体"/>
                <w:b/>
                <w:szCs w:val="21"/>
                <w:highlight w:val="none"/>
                <w:lang w:eastAsia="zh-CN"/>
              </w:rPr>
              <w:t>，不构成对理财计划收益的承诺</w:t>
            </w:r>
            <w:r>
              <w:rPr>
                <w:rFonts w:hint="eastAsia" w:ascii="宋体" w:hAnsi="宋体" w:cs="宋体"/>
                <w:b/>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〖F份额〗收取年化〖0.15%〗的销售服务费, 〖G份额〗收取年化〖0.05%〗的销售服务费, 〖H份额〗收取年化〖0.20%〗的销售服务费, 〖I份额〗收取年化〖0.30%〗的销售服务费, 〖J份额〗收取年化〖0.05%〗的销售服务费, 〖K份额〗收取年化〖0.30%〗的销售服务费, 〖N份额〗收取年化〖0.20%〗的销售服务费, 〖O份额〗收取年化〖0.20%〗的销售服务费, 〖P份额〗收取年化〖0.15%〗的销售服务费, 〖Q份额〗收取年化〖0.10%〗的销售服务费, 〖R份额〗收取年化〖0.15%〗的销售服务费, 〖S份额〗收取年化〖0.15%〗的销售服务费, 〖U份额〗收取年化〖0.20%〗的销售服务费, 〖V份额〗收取年化〖0.10%〗的销售服务费, 〖W份额〗收取年化〖0.30%〗的销售服务费, 〖X份额〗收取年化〖0.05%〗的销售服务费, 〖Y份额〗收取年化〖0.20%〗的销售服务费, 〖Z份额〗收取年化〖0.10%〗的销售服务费。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Cs w:val="21"/>
                <w:highlight w:val="none"/>
                <w:lang w:eastAsia="zh"/>
              </w:rPr>
              <w:t>%</w:t>
            </w:r>
            <w:r>
              <w:rPr>
                <w:rFonts w:hint="eastAsia" w:ascii="宋体" w:hAnsi="宋体" w:cs="宋体"/>
                <w:szCs w:val="21"/>
                <w:highlight w:val="none"/>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〖A份额〗收取年化〖0.05%〗的固定管理费, 〖B份额〗收取年化〖0.05%〗的固定管理费, 〖C份额〗收取年化〖0.05%〗的固定管理费, 〖D份额〗收取年化〖0.05%〗的固定管理费, 〖E份额〗收取年化〖0.10%〗的固定管理费, 〖F份额〗收取年化〖0.05%〗的固定管理费, 〖G份额〗收取年化〖0.05%〗的固定管理费, 〖H份额〗收取年化〖0.05%〗的固定管理费, 〖I份额〗收取年化〖0.05%〗的固定管理费, 〖J份额〗收取年化〖0.05%〗的固定管理费, 〖K份额〗收取年化〖0.05%〗的固定管理费, 〖N份额〗收取年化〖0.05%〗的固定管理费, 〖O份额〗收取年化〖0.05%〗的固定管理费, 〖P份额〗收取年化〖0.05%〗的固定管理费, 〖Q份额〗收取年化〖0.05%〗的固定管理费, 〖R份额〗收取年化〖0.05%〗的固定管理费, 〖S份额〗收取年化〖0.04%〗的固定管理费, 〖U份额〗收取年化〖0.05%〗的固定管理费, 〖V份额〗收取年化〖0.05%〗的固定管理费, 〖W份额〗收取年化〖0.05%〗的固定管理费, 〖X份额〗收取年化〖0.05%〗的固定管理费, 〖Y份额〗收取年化〖0.05%〗的固定管理费, 〖Z份额〗收取年化〖0.05%〗的固定管理费。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O份额）到期日（提前终止日）的折合年化收益率在〖业绩比较基准下限（含）至业绩比较基准上限（含）〗的部分，管理人提取〖50%〗作为浮动管理费，在折合年化收益率超过〖业绩比较基准上限〗的部分，管理人提取〖80%〗作为浮动管理费；〖O份额〗到期日（提前终止日）的折合年化收益率在〖业绩比较基准下限（含）至业绩比较基准中枢（含）〗的部分，管理人提取〖50%〗作为浮动管理费，在折合年化收益率超过〖业绩比较基准中枢〗的部分，管理人提取〖60%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权益类资产：仅限境内发行优先股和永续债。</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8"/>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17"/>
        <w:numPr>
          <w:ilvl w:val="0"/>
          <w:numId w:val="13"/>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17"/>
        <w:numPr>
          <w:ilvl w:val="0"/>
          <w:numId w:val="13"/>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3"/>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3"/>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3"/>
        </w:numPr>
        <w:adjustRightInd/>
        <w:spacing w:line="360" w:lineRule="auto"/>
        <w:ind w:firstLine="458" w:firstLineChars="19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4"/>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将通过对宏观经济形势、各项国家政策、及证券市场环境的分析来判断经济周期目前的位置，主动判断市场时机进行资产配置，确定在股票、债券、金融衍生品等各类资产上的投资比例。</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5"/>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lang w:eastAsia="zh-CN"/>
        </w:rPr>
        <w:t>拟</w:t>
      </w:r>
      <w:r>
        <w:rPr>
          <w:rFonts w:hint="eastAsia" w:ascii="宋体" w:hAnsi="宋体" w:cs="宋体"/>
          <w:b/>
          <w:bCs w:val="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Cs w:val="21"/>
                <w:highlight w:val="none"/>
              </w:rPr>
            </w:pPr>
            <w:r>
              <w:rPr>
                <w:rFonts w:hint="default"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highlight w:val="none"/>
                <w:lang w:val="en-US" w:eastAsia="zh-CN"/>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8"/>
        <w:tblW w:w="7517" w:type="dxa"/>
        <w:tblInd w:w="3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0"/>
        <w:gridCol w:w="1626"/>
        <w:gridCol w:w="1225"/>
        <w:gridCol w:w="37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930" w:type="dxa"/>
            <w:vMerge w:val="restart"/>
            <w:tcBorders>
              <w:top w:val="single" w:color="auto" w:sz="4" w:space="0"/>
              <w:left w:val="single" w:color="auto" w:sz="4" w:space="0"/>
              <w:bottom w:val="nil"/>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销售机构信息</w:t>
            </w:r>
          </w:p>
        </w:tc>
        <w:tc>
          <w:tcPr>
            <w:tcW w:w="1626"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2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福建省厦门市思明区湖滨北路101号商业银行大厦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甘肃银行股份有限公司</w:t>
            </w: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甘肃省兰州市城关区东岗西路525—1号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4008696666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2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浙江萧山农村商业银行股份有限公司</w:t>
            </w: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浙江省杭州市萧山区城厢街道人民路258号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海南银行股份有限公司</w:t>
            </w: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海南省海口市龙华区海秀东路31号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0898-96566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大连农村商业银行股份有限公司</w:t>
            </w: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辽宁省大连经济技术开发区五彩城A区1栋-A1号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95"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吉林银行股份有限公司</w:t>
            </w: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经济开发区东南湖大路1817号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400-88-96666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福建海峡银行股份有限公司</w:t>
            </w: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福建省福州市台江区江滨中大道358号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400-893-9999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兰州银行股份有限公司</w:t>
            </w: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甘肃省兰州市酒泉路211号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400-88-96799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厦门农村商业银行股份有限公司</w:t>
            </w: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中国(福建)自由贸易试验区厦门片区东港北路31号(1层、17层、19层、27-28层、30-31层)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40083-96336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汉口银行股份有限公司</w:t>
            </w: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湖北省武汉市江汉区建设大道933号武汉商业银行大厦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35" w:hRule="atLeast"/>
        </w:trPr>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销售机构职责</w:t>
            </w:r>
          </w:p>
        </w:tc>
        <w:tc>
          <w:tcPr>
            <w:tcW w:w="6587"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主要负责理财计划推广、投资者风险承受能力评估、投资者适当性管理、理财计划份额认购、申购及赎回办理。</w:t>
            </w:r>
            <w:r>
              <w:rPr>
                <w:rFonts w:hint="eastAsia" w:ascii="宋体" w:hAnsi="宋体" w:eastAsia="宋体" w:cs="宋体"/>
                <w:color w:val="000000"/>
                <w:kern w:val="0"/>
                <w:sz w:val="21"/>
                <w:szCs w:val="21"/>
                <w:lang w:val="en-US" w:eastAsia="zh-CN" w:bidi="ar"/>
              </w:rPr>
              <w:br w:type="textWrapping"/>
            </w:r>
            <w:r>
              <w:rPr>
                <w:rFonts w:hint="eastAsia" w:ascii="宋体" w:hAnsi="宋体" w:eastAsia="宋体" w:cs="宋体"/>
                <w:color w:val="000000"/>
                <w:kern w:val="0"/>
                <w:sz w:val="21"/>
                <w:szCs w:val="21"/>
                <w:lang w:val="en-US" w:eastAsia="zh-CN" w:bidi="ar"/>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3）</w:t>
      </w:r>
      <w:r>
        <w:rPr>
          <w:rFonts w:hint="eastAsia" w:ascii="宋体" w:hAnsi="宋体"/>
          <w:sz w:val="24"/>
          <w:highlight w:val="none"/>
        </w:rPr>
        <w:t>首次发行未上市的股票，按发行价格进行估值；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4）</w:t>
      </w:r>
      <w:r>
        <w:rPr>
          <w:rFonts w:hint="eastAsia" w:ascii="宋体" w:hAnsi="宋体"/>
          <w:sz w:val="24"/>
          <w:highlight w:val="none"/>
        </w:rPr>
        <w:t>因持有股票而享有的配股权，采用估值技术确定公允价值。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F份额〗、〖G份额〗、〖H份额〗、〖I份额〗、〖J份额〗、〖K份额〗、〖O份额〗、〖P份额〗、〖V份额〗、〖X份额〗和销售服务费于产品成立日一次性收取的〖N份额〗、〖Q份额〗、〖R份额〗、〖S份额〗、〖U份额〗、〖W份额〗、〖Y份额〗、〖Z份额〗。A份额的年化销售服务费率为〖0.30%〗, B份额的年化销售服务费率为〖0.20%〗, C份额的年化销售服务费率为〖0.10%〗, D份额的年化销售服务费率为〖0.15%〗, E份额的年化销售服务费率为〖0.40%〗, F份额的年化销售服务费率为〖0.15%〗, G份额的年化销售服务费率为〖0.05%〗, H份额的年化销售服务费率为〖0.20%〗, I份额的年化销售服务费率为〖0.30%〗, J份额的年化销售服务费率为〖0.05%〗, K份额的年化销售服务费率为〖0.30%〗, N份额的年化销售服务费率为〖0.20%〗, O份额的年化销售服务费率为〖0.20%〗, P份额的年化销售服务费率为〖0.15%〗, Q份额的年化销售服务费率为〖0.10%〗, R份额的年化销售服务费率为〖0.15%〗, S份额的年化销售服务费率为〖0.15%〗, U份额的年化销售服务费率为〖0.20%〗, V份额的年化销售服务费率为〖0.10%〗, W份额的年化销售服务费率为〖0.30%〗, X份额的年化销售服务费率为〖0.05%〗, Y份额的年化销售服务费率为〖0.20%〗, Z份额的年化销售服务费率为〖0.10%〗。两种计算方法如下：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H2为〖N份额〗应计提的销售服务费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E2为〖N份额〗成立日产品份额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color w:val="000000"/>
          <w:sz w:val="24"/>
          <w:szCs w:val="24"/>
          <w:highlight w:val="none"/>
          <w:lang w:eastAsia="zh"/>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kern w:val="2"/>
          <w:sz w:val="24"/>
          <w:szCs w:val="24"/>
          <w:highlight w:val="none"/>
          <w:lang w:val="en-US" w:eastAsia="zh" w:bidi="ar-SA"/>
        </w:rPr>
        <w:t>份额</w:t>
      </w:r>
      <w:r>
        <w:rPr>
          <w:rFonts w:hint="eastAsia" w:ascii="宋体" w:hAnsi="宋体" w:cs="宋体"/>
          <w:color w:val="000000"/>
          <w:szCs w:val="21"/>
          <w:highlight w:val="none"/>
        </w:rPr>
        <w:t>〗</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理财计划财产的年化固定管理费率为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FF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
        </w:rPr>
        <w:t>。</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80%作为浮动管理费，超过〖5.00%〗部分的投资收益管理人收取100%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100,000×1.0000×{[（1.0615÷1.0000-1）×365÷362-5.00%]×100%+(5.00%-4.00%)×80%}×362÷365=1,984.52（元）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100,000.00×（1.0615-1.0000）-1,984.52= 4,165.48（元）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100,000.00×1.0000×[(1.0415÷1.0000-1)×365÷362-4.00%]×80%×362÷365=146.30（元）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100,000.00×（1.0415-1.0000）-146.30 =4,003.70（元）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kern w:val="2"/>
          <w:sz w:val="24"/>
          <w:szCs w:val="24"/>
          <w:lang w:val="en-US" w:eastAsia="zh-CN" w:bidi="ar"/>
        </w:rPr>
        <w:t>〖1〗个〖工作日〗</w:t>
      </w:r>
      <w:r>
        <w:rPr>
          <w:rFonts w:hint="eastAsia" w:ascii="宋体" w:hAnsi="宋体" w:cs="宋体"/>
          <w:bCs/>
          <w:sz w:val="24"/>
          <w:highlight w:val="none"/>
        </w:rPr>
        <w:t>、最晚</w:t>
      </w:r>
      <w:r>
        <w:rPr>
          <w:rFonts w:hint="eastAsia" w:ascii="宋体" w:hAnsi="宋体" w:eastAsia="宋体" w:cs="宋体"/>
          <w:kern w:val="2"/>
          <w:sz w:val="24"/>
          <w:szCs w:val="24"/>
          <w:lang w:val="en-US" w:eastAsia="zh-CN" w:bidi="ar"/>
        </w:rPr>
        <w:t>〖3〗个〖工作日〗</w:t>
      </w:r>
      <w:r>
        <w:rPr>
          <w:rFonts w:hint="eastAsia" w:ascii="宋体" w:hAnsi="宋体" w:cs="宋体"/>
          <w:bCs/>
          <w:sz w:val="24"/>
          <w:highlight w:val="none"/>
        </w:rPr>
        <w:t>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8">
    <w:nsid w:val="D8D75090"/>
    <w:multiLevelType w:val="singleLevel"/>
    <w:tmpl w:val="D8D75090"/>
    <w:lvl w:ilvl="0" w:tentative="0">
      <w:start w:val="1"/>
      <w:numFmt w:val="decimal"/>
      <w:suff w:val="nothing"/>
      <w:lvlText w:val="（%1）"/>
      <w:lvlJc w:val="left"/>
      <w:rPr>
        <w:rFonts w:hint="default"/>
        <w:b w:val="0"/>
        <w:bCs w:val="0"/>
      </w:rPr>
    </w:lvl>
  </w:abstractNum>
  <w:abstractNum w:abstractNumId="19">
    <w:nsid w:val="DD2251DF"/>
    <w:multiLevelType w:val="singleLevel"/>
    <w:tmpl w:val="DD2251DF"/>
    <w:lvl w:ilvl="0" w:tentative="0">
      <w:start w:val="1"/>
      <w:numFmt w:val="decimal"/>
      <w:suff w:val="nothing"/>
      <w:lvlText w:val="（%1）"/>
      <w:lvlJc w:val="left"/>
      <w:rPr>
        <w:rFonts w:hint="default"/>
        <w:b w:val="0"/>
        <w:bCs w:val="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1">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2">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3">
    <w:nsid w:val="F574F5B6"/>
    <w:multiLevelType w:val="singleLevel"/>
    <w:tmpl w:val="F574F5B6"/>
    <w:lvl w:ilvl="0" w:tentative="0">
      <w:start w:val="1"/>
      <w:numFmt w:val="decimal"/>
      <w:suff w:val="nothing"/>
      <w:lvlText w:val="（%1）"/>
      <w:lvlJc w:val="left"/>
    </w:lvl>
  </w:abstractNum>
  <w:abstractNum w:abstractNumId="2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5">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084A6179"/>
    <w:multiLevelType w:val="singleLevel"/>
    <w:tmpl w:val="084A6179"/>
    <w:lvl w:ilvl="0" w:tentative="0">
      <w:start w:val="1"/>
      <w:numFmt w:val="decimal"/>
      <w:suff w:val="nothing"/>
      <w:lvlText w:val="（%1）"/>
      <w:lvlJc w:val="left"/>
      <w:rPr>
        <w:rFonts w:hint="default"/>
        <w:highlight w:val="none"/>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4"/>
  </w:num>
  <w:num w:numId="4">
    <w:abstractNumId w:val="22"/>
  </w:num>
  <w:num w:numId="5">
    <w:abstractNumId w:val="28"/>
  </w:num>
  <w:num w:numId="6">
    <w:abstractNumId w:val="21"/>
  </w:num>
  <w:num w:numId="7">
    <w:abstractNumId w:val="16"/>
  </w:num>
  <w:num w:numId="8">
    <w:abstractNumId w:val="10"/>
  </w:num>
  <w:num w:numId="9">
    <w:abstractNumId w:val="13"/>
  </w:num>
  <w:num w:numId="10">
    <w:abstractNumId w:val="7"/>
  </w:num>
  <w:num w:numId="11">
    <w:abstractNumId w:val="8"/>
  </w:num>
  <w:num w:numId="12">
    <w:abstractNumId w:val="6"/>
  </w:num>
  <w:num w:numId="13">
    <w:abstractNumId w:val="41"/>
  </w:num>
  <w:num w:numId="14">
    <w:abstractNumId w:val="4"/>
  </w:num>
  <w:num w:numId="15">
    <w:abstractNumId w:val="0"/>
  </w:num>
  <w:num w:numId="16">
    <w:abstractNumId w:val="35"/>
  </w:num>
  <w:num w:numId="17">
    <w:abstractNumId w:val="23"/>
  </w:num>
  <w:num w:numId="18">
    <w:abstractNumId w:val="15"/>
  </w:num>
  <w:num w:numId="19">
    <w:abstractNumId w:val="32"/>
  </w:num>
  <w:num w:numId="20">
    <w:abstractNumId w:val="17"/>
  </w:num>
  <w:num w:numId="21">
    <w:abstractNumId w:val="5"/>
  </w:num>
  <w:num w:numId="22">
    <w:abstractNumId w:val="38"/>
  </w:num>
  <w:num w:numId="23">
    <w:abstractNumId w:val="3"/>
  </w:num>
  <w:num w:numId="24">
    <w:abstractNumId w:val="27"/>
  </w:num>
  <w:num w:numId="25">
    <w:abstractNumId w:val="31"/>
  </w:num>
  <w:num w:numId="26">
    <w:abstractNumId w:val="42"/>
  </w:num>
  <w:num w:numId="27">
    <w:abstractNumId w:val="26"/>
  </w:num>
  <w:num w:numId="28">
    <w:abstractNumId w:val="19"/>
  </w:num>
  <w:num w:numId="29">
    <w:abstractNumId w:val="34"/>
  </w:num>
  <w:num w:numId="30">
    <w:abstractNumId w:val="1"/>
  </w:num>
  <w:num w:numId="31">
    <w:abstractNumId w:val="20"/>
  </w:num>
  <w:num w:numId="32">
    <w:abstractNumId w:val="25"/>
  </w:num>
  <w:num w:numId="33">
    <w:abstractNumId w:val="37"/>
  </w:num>
  <w:num w:numId="34">
    <w:abstractNumId w:val="29"/>
  </w:num>
  <w:num w:numId="35">
    <w:abstractNumId w:val="14"/>
  </w:num>
  <w:num w:numId="36">
    <w:abstractNumId w:val="40"/>
  </w:num>
  <w:num w:numId="37">
    <w:abstractNumId w:val="11"/>
  </w:num>
  <w:num w:numId="38">
    <w:abstractNumId w:val="9"/>
  </w:num>
  <w:num w:numId="39">
    <w:abstractNumId w:val="12"/>
  </w:num>
  <w:num w:numId="40">
    <w:abstractNumId w:val="30"/>
  </w:num>
  <w:num w:numId="41">
    <w:abstractNumId w:val="18"/>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4F37C50"/>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6C94A5C"/>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5913EE"/>
    <w:rsid w:val="28F73A05"/>
    <w:rsid w:val="29E223F6"/>
    <w:rsid w:val="2A7A79DE"/>
    <w:rsid w:val="2B5C1F0C"/>
    <w:rsid w:val="2BD054E2"/>
    <w:rsid w:val="2E1F6D90"/>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7FE8B5E"/>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702573F3"/>
    <w:rsid w:val="70B57531"/>
    <w:rsid w:val="70FA499F"/>
    <w:rsid w:val="72DD70A7"/>
    <w:rsid w:val="730C182D"/>
    <w:rsid w:val="73FC9A3F"/>
    <w:rsid w:val="751974A1"/>
    <w:rsid w:val="758B30E4"/>
    <w:rsid w:val="75F42331"/>
    <w:rsid w:val="761F7C3C"/>
    <w:rsid w:val="76683D2A"/>
    <w:rsid w:val="76C62D9E"/>
    <w:rsid w:val="78244617"/>
    <w:rsid w:val="7A923507"/>
    <w:rsid w:val="7ACB640D"/>
    <w:rsid w:val="7BFF1A29"/>
    <w:rsid w:val="7C044D89"/>
    <w:rsid w:val="7C63442B"/>
    <w:rsid w:val="7D3AA22F"/>
    <w:rsid w:val="7DE35ECA"/>
    <w:rsid w:val="7E1A0C5A"/>
    <w:rsid w:val="7E3212D3"/>
    <w:rsid w:val="7F5F887D"/>
    <w:rsid w:val="7FCC7D05"/>
    <w:rsid w:val="7FEF42B8"/>
    <w:rsid w:val="7FEFE414"/>
    <w:rsid w:val="9FD01BC3"/>
    <w:rsid w:val="B3FE25BF"/>
    <w:rsid w:val="BE6E0F8F"/>
    <w:rsid w:val="C679D4D5"/>
    <w:rsid w:val="D3FFF2E3"/>
    <w:rsid w:val="D4B948F0"/>
    <w:rsid w:val="D7BE90C3"/>
    <w:rsid w:val="DF76007A"/>
    <w:rsid w:val="F3F331A4"/>
    <w:rsid w:val="F3FF81F7"/>
    <w:rsid w:val="F7FE62B6"/>
    <w:rsid w:val="FA543BA3"/>
    <w:rsid w:val="FD7F9463"/>
    <w:rsid w:val="FEAED78B"/>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58</Pages>
  <Words>37973</Words>
  <Characters>40822</Characters>
  <Lines>1</Lines>
  <Paragraphs>1</Paragraphs>
  <TotalTime>5</TotalTime>
  <ScaleCrop>false</ScaleCrop>
  <LinksUpToDate>false</LinksUpToDate>
  <CharactersWithSpaces>41307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2014-11-01T12:08:00Z</dcterms:created>
  <dc:creator>Administrator</dc:creator>
  <cp:lastModifiedBy>hccb</cp:lastModifiedBy>
  <dcterms:modified xsi:type="dcterms:W3CDTF">2025-09-29T02:33:19Z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