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8E3F5E" w14:textId="2CB47EAB" w:rsidR="003E0304" w:rsidRPr="00693856" w:rsidRDefault="002A61DE">
      <w:pPr>
        <w:spacing w:line="312" w:lineRule="auto"/>
        <w:jc w:val="center"/>
        <w:rPr>
          <w:rFonts w:ascii="黑体" w:eastAsia="黑体" w:hAnsi="宋体"/>
          <w:b/>
          <w:sz w:val="44"/>
          <w:szCs w:val="44"/>
        </w:rPr>
      </w:pPr>
      <w:proofErr w:type="gramStart"/>
      <w:r>
        <w:rPr>
          <w:rFonts w:ascii="黑体" w:eastAsia="黑体" w:hAnsi="宋体" w:hint="eastAsia"/>
          <w:b/>
          <w:sz w:val="44"/>
          <w:szCs w:val="44"/>
        </w:rPr>
        <w:t>宁银理财</w:t>
      </w:r>
      <w:proofErr w:type="gramEnd"/>
      <w:r>
        <w:rPr>
          <w:rFonts w:ascii="黑体" w:eastAsia="黑体" w:hAnsi="宋体" w:hint="eastAsia"/>
          <w:b/>
          <w:sz w:val="44"/>
          <w:szCs w:val="44"/>
        </w:rPr>
        <w:t>宁</w:t>
      </w:r>
      <w:proofErr w:type="gramStart"/>
      <w:r>
        <w:rPr>
          <w:rFonts w:ascii="黑体" w:eastAsia="黑体" w:hAnsi="宋体" w:hint="eastAsia"/>
          <w:b/>
          <w:sz w:val="44"/>
          <w:szCs w:val="44"/>
        </w:rPr>
        <w:t>欣日日薪</w:t>
      </w:r>
      <w:proofErr w:type="gramEnd"/>
      <w:r>
        <w:rPr>
          <w:rFonts w:ascii="黑体" w:eastAsia="黑体" w:hAnsi="宋体" w:hint="eastAsia"/>
          <w:b/>
          <w:sz w:val="44"/>
          <w:szCs w:val="44"/>
        </w:rPr>
        <w:t>固定</w:t>
      </w:r>
      <w:proofErr w:type="gramStart"/>
      <w:r>
        <w:rPr>
          <w:rFonts w:ascii="黑体" w:eastAsia="黑体" w:hAnsi="宋体" w:hint="eastAsia"/>
          <w:b/>
          <w:sz w:val="44"/>
          <w:szCs w:val="44"/>
        </w:rPr>
        <w:t>收益类日开</w:t>
      </w:r>
      <w:proofErr w:type="gramEnd"/>
      <w:r>
        <w:rPr>
          <w:rFonts w:ascii="黑体" w:eastAsia="黑体" w:hAnsi="宋体" w:hint="eastAsia"/>
          <w:b/>
          <w:sz w:val="44"/>
          <w:szCs w:val="44"/>
        </w:rPr>
        <w:t>理财38号（最短持有7天）</w:t>
      </w:r>
      <w:r w:rsidR="00193C46" w:rsidRPr="00693856">
        <w:rPr>
          <w:rFonts w:ascii="黑体" w:eastAsia="黑体" w:hAnsi="宋体" w:hint="eastAsia"/>
          <w:b/>
          <w:sz w:val="44"/>
          <w:szCs w:val="44"/>
        </w:rPr>
        <w:t>产品风险揭示书</w:t>
      </w:r>
    </w:p>
    <w:p w14:paraId="6C21B64A" w14:textId="132A8496" w:rsidR="003E0304" w:rsidRPr="00693856" w:rsidRDefault="00193C46">
      <w:pPr>
        <w:spacing w:line="312" w:lineRule="auto"/>
        <w:jc w:val="center"/>
        <w:rPr>
          <w:rFonts w:ascii="黑体" w:eastAsia="黑体" w:hAnsi="宋体"/>
          <w:b/>
          <w:sz w:val="44"/>
          <w:szCs w:val="44"/>
        </w:rPr>
      </w:pPr>
      <w:r w:rsidRPr="00693856">
        <w:rPr>
          <w:rFonts w:ascii="宋体" w:hAnsi="宋体" w:hint="eastAsia"/>
          <w:b/>
          <w:sz w:val="24"/>
        </w:rPr>
        <w:t>（</w:t>
      </w:r>
      <w:r w:rsidR="00992EE2" w:rsidRPr="00693856">
        <w:rPr>
          <w:rFonts w:ascii="宋体" w:hAnsi="宋体"/>
          <w:b/>
          <w:sz w:val="24"/>
        </w:rPr>
        <w:t>202</w:t>
      </w:r>
      <w:r w:rsidR="00254EC4">
        <w:rPr>
          <w:rFonts w:ascii="宋体" w:hAnsi="宋体"/>
          <w:b/>
          <w:sz w:val="24"/>
        </w:rPr>
        <w:t>5</w:t>
      </w:r>
      <w:r w:rsidR="00992EE2" w:rsidRPr="00693856">
        <w:rPr>
          <w:rFonts w:ascii="宋体" w:hAnsi="宋体"/>
          <w:b/>
          <w:sz w:val="24"/>
        </w:rPr>
        <w:t>0</w:t>
      </w:r>
      <w:r w:rsidR="00254EC4">
        <w:rPr>
          <w:rFonts w:ascii="宋体" w:hAnsi="宋体"/>
          <w:b/>
          <w:sz w:val="24"/>
        </w:rPr>
        <w:t>1</w:t>
      </w:r>
      <w:r w:rsidR="00256C1A">
        <w:rPr>
          <w:rFonts w:ascii="宋体" w:hAnsi="宋体" w:hint="eastAsia"/>
          <w:b/>
          <w:sz w:val="24"/>
        </w:rPr>
        <w:t>版</w:t>
      </w:r>
      <w:r w:rsidRPr="00693856">
        <w:rPr>
          <w:rFonts w:ascii="宋体" w:hAnsi="宋体" w:hint="eastAsia"/>
          <w:b/>
          <w:sz w:val="24"/>
        </w:rPr>
        <w:t>）</w:t>
      </w:r>
    </w:p>
    <w:p w14:paraId="645B171D" w14:textId="77777777" w:rsidR="003E0304" w:rsidRPr="00693856" w:rsidRDefault="00193C46">
      <w:pPr>
        <w:spacing w:line="312" w:lineRule="auto"/>
        <w:rPr>
          <w:rFonts w:ascii="宋体" w:hAnsi="宋体"/>
          <w:sz w:val="24"/>
        </w:rPr>
      </w:pPr>
      <w:r w:rsidRPr="00693856">
        <w:rPr>
          <w:rFonts w:ascii="宋体" w:hAnsi="宋体" w:hint="eastAsia"/>
          <w:sz w:val="24"/>
        </w:rPr>
        <w:t>尊敬的投资者：</w:t>
      </w:r>
    </w:p>
    <w:p w14:paraId="15929E03" w14:textId="77777777" w:rsidR="003E0304" w:rsidRDefault="00193C46">
      <w:pPr>
        <w:spacing w:line="312" w:lineRule="auto"/>
        <w:jc w:val="center"/>
        <w:rPr>
          <w:rFonts w:ascii="宋体" w:hAnsi="宋体"/>
          <w:b/>
          <w:sz w:val="24"/>
          <w:u w:val="single"/>
        </w:rPr>
      </w:pPr>
      <w:r w:rsidRPr="00693856">
        <w:rPr>
          <w:rFonts w:ascii="宋体" w:hAnsi="宋体" w:hint="eastAsia"/>
          <w:b/>
          <w:sz w:val="24"/>
          <w:u w:val="single"/>
        </w:rPr>
        <w:t>理财非存款、产品有风险、投资须谨慎。</w:t>
      </w:r>
    </w:p>
    <w:p w14:paraId="34C490D6" w14:textId="77777777" w:rsidR="003F7AAB" w:rsidRPr="003F7AAB" w:rsidRDefault="003F7AAB">
      <w:pPr>
        <w:spacing w:line="312" w:lineRule="auto"/>
        <w:jc w:val="center"/>
        <w:rPr>
          <w:rFonts w:ascii="宋体" w:hAnsi="宋体"/>
          <w:b/>
          <w:sz w:val="24"/>
          <w:u w:val="single"/>
        </w:rPr>
      </w:pPr>
      <w:r w:rsidRPr="003F7AAB">
        <w:rPr>
          <w:rFonts w:ascii="宋体" w:hAnsi="宋体" w:hint="eastAsia"/>
          <w:b/>
          <w:sz w:val="24"/>
          <w:u w:val="single"/>
        </w:rPr>
        <w:t>理财产品过往业绩不代表其未来表现，不等于理财产品实际收益，投资须谨慎</w:t>
      </w:r>
      <w:r>
        <w:rPr>
          <w:rFonts w:ascii="宋体" w:hAnsi="宋体" w:hint="eastAsia"/>
          <w:b/>
          <w:sz w:val="24"/>
          <w:u w:val="single"/>
        </w:rPr>
        <w:t>。</w:t>
      </w:r>
    </w:p>
    <w:p w14:paraId="73F540F9" w14:textId="77777777" w:rsidR="003E0304" w:rsidRPr="00693856" w:rsidRDefault="00193C46">
      <w:pPr>
        <w:spacing w:line="312" w:lineRule="auto"/>
        <w:ind w:firstLine="555"/>
        <w:rPr>
          <w:rFonts w:ascii="宋体" w:hAnsi="宋体"/>
          <w:sz w:val="24"/>
        </w:rPr>
      </w:pPr>
      <w:proofErr w:type="gramStart"/>
      <w:r w:rsidRPr="00693856">
        <w:rPr>
          <w:rFonts w:ascii="宋体" w:hAnsi="宋体" w:hint="eastAsia"/>
          <w:sz w:val="24"/>
        </w:rPr>
        <w:t>本产品</w:t>
      </w:r>
      <w:r w:rsidRPr="00693856">
        <w:rPr>
          <w:rFonts w:ascii="宋体" w:hAnsi="宋体"/>
          <w:sz w:val="24"/>
        </w:rPr>
        <w:t>系宁银</w:t>
      </w:r>
      <w:proofErr w:type="gramEnd"/>
      <w:r w:rsidRPr="00693856">
        <w:rPr>
          <w:rFonts w:ascii="宋体" w:hAnsi="宋体"/>
          <w:sz w:val="24"/>
        </w:rPr>
        <w:t>理财有限</w:t>
      </w:r>
      <w:r w:rsidRPr="00693856">
        <w:rPr>
          <w:rFonts w:ascii="宋体" w:hAnsi="宋体" w:hint="eastAsia"/>
          <w:sz w:val="24"/>
        </w:rPr>
        <w:t>责任</w:t>
      </w:r>
      <w:r w:rsidRPr="00693856">
        <w:rPr>
          <w:rFonts w:ascii="宋体" w:hAnsi="宋体"/>
          <w:sz w:val="24"/>
        </w:rPr>
        <w:t>公司</w:t>
      </w:r>
      <w:r w:rsidRPr="00693856">
        <w:rPr>
          <w:rFonts w:ascii="宋体" w:hAnsi="宋体" w:hint="eastAsia"/>
          <w:sz w:val="24"/>
        </w:rPr>
        <w:t>（下称“宁银理财”或“本公司”）</w:t>
      </w:r>
      <w:r w:rsidRPr="00693856">
        <w:rPr>
          <w:rFonts w:ascii="宋体" w:hAnsi="宋体"/>
          <w:sz w:val="24"/>
        </w:rPr>
        <w:t>发行</w:t>
      </w:r>
      <w:r w:rsidRPr="00693856">
        <w:rPr>
          <w:rFonts w:ascii="宋体" w:hAnsi="宋体" w:hint="eastAsia"/>
          <w:sz w:val="24"/>
        </w:rPr>
        <w:t>运作</w:t>
      </w:r>
      <w:r w:rsidRPr="00693856">
        <w:rPr>
          <w:rFonts w:ascii="宋体" w:hAnsi="宋体"/>
          <w:sz w:val="24"/>
        </w:rPr>
        <w:t>的</w:t>
      </w:r>
      <w:r w:rsidRPr="00693856">
        <w:rPr>
          <w:rFonts w:ascii="宋体" w:hAnsi="宋体"/>
          <w:b/>
          <w:sz w:val="24"/>
        </w:rPr>
        <w:t>非保本</w:t>
      </w:r>
      <w:r w:rsidRPr="00693856">
        <w:rPr>
          <w:rFonts w:ascii="宋体" w:hAnsi="宋体"/>
          <w:sz w:val="24"/>
        </w:rPr>
        <w:t>理财产品，</w:t>
      </w:r>
      <w:r w:rsidRPr="00693856">
        <w:rPr>
          <w:rFonts w:ascii="宋体" w:hAnsi="宋体" w:hint="eastAsia"/>
          <w:sz w:val="24"/>
        </w:rPr>
        <w:t>在本产品下</w:t>
      </w:r>
      <w:r w:rsidRPr="00693856">
        <w:rPr>
          <w:rFonts w:ascii="宋体" w:hAnsi="宋体"/>
          <w:sz w:val="24"/>
        </w:rPr>
        <w:t>，</w:t>
      </w:r>
      <w:proofErr w:type="gramStart"/>
      <w:r w:rsidRPr="00693856">
        <w:rPr>
          <w:rFonts w:ascii="宋体" w:hAnsi="宋体" w:hint="eastAsia"/>
          <w:sz w:val="24"/>
        </w:rPr>
        <w:t>您</w:t>
      </w:r>
      <w:r w:rsidRPr="00693856">
        <w:rPr>
          <w:rFonts w:ascii="宋体" w:hAnsi="宋体"/>
          <w:sz w:val="24"/>
        </w:rPr>
        <w:t>委托</w:t>
      </w:r>
      <w:proofErr w:type="gramEnd"/>
      <w:r w:rsidRPr="00693856">
        <w:rPr>
          <w:rFonts w:ascii="宋体" w:hAnsi="宋体" w:hint="eastAsia"/>
          <w:sz w:val="24"/>
        </w:rPr>
        <w:t>本</w:t>
      </w:r>
      <w:r w:rsidRPr="00693856">
        <w:rPr>
          <w:rFonts w:ascii="宋体" w:hAnsi="宋体"/>
          <w:sz w:val="24"/>
        </w:rPr>
        <w:t>公司</w:t>
      </w:r>
      <w:r w:rsidRPr="00693856">
        <w:rPr>
          <w:rFonts w:ascii="宋体" w:hAnsi="宋体" w:hint="eastAsia"/>
          <w:sz w:val="24"/>
        </w:rPr>
        <w:t>对理财产品资金进行投资管理</w:t>
      </w:r>
      <w:r w:rsidRPr="00693856">
        <w:rPr>
          <w:rFonts w:ascii="宋体" w:hAnsi="宋体"/>
          <w:sz w:val="24"/>
        </w:rPr>
        <w:t>，</w:t>
      </w:r>
      <w:r w:rsidRPr="00693856">
        <w:rPr>
          <w:rFonts w:ascii="宋体" w:hAnsi="宋体" w:hint="eastAsia"/>
          <w:sz w:val="24"/>
        </w:rPr>
        <w:t>本公司</w:t>
      </w:r>
      <w:r w:rsidRPr="00693856">
        <w:rPr>
          <w:rFonts w:ascii="宋体" w:hAnsi="宋体"/>
          <w:sz w:val="24"/>
        </w:rPr>
        <w:t>将</w:t>
      </w:r>
      <w:r w:rsidRPr="00693856">
        <w:rPr>
          <w:rFonts w:ascii="宋体" w:hAnsi="宋体" w:hint="eastAsia"/>
          <w:sz w:val="24"/>
        </w:rPr>
        <w:t>按照约定条件和实际投资收益情况向</w:t>
      </w:r>
      <w:proofErr w:type="gramStart"/>
      <w:r w:rsidRPr="00693856">
        <w:rPr>
          <w:rFonts w:ascii="宋体" w:hAnsi="宋体" w:hint="eastAsia"/>
          <w:sz w:val="24"/>
        </w:rPr>
        <w:t>您支付</w:t>
      </w:r>
      <w:proofErr w:type="gramEnd"/>
      <w:r w:rsidRPr="00693856">
        <w:rPr>
          <w:rFonts w:ascii="宋体" w:hAnsi="宋体" w:hint="eastAsia"/>
          <w:sz w:val="24"/>
        </w:rPr>
        <w:t>收益，不保证本金支付和收益水平</w:t>
      </w:r>
      <w:r w:rsidRPr="00693856">
        <w:rPr>
          <w:rFonts w:ascii="宋体" w:hAnsi="宋体"/>
          <w:sz w:val="24"/>
        </w:rPr>
        <w:t>。</w:t>
      </w:r>
    </w:p>
    <w:p w14:paraId="22CA8B7E" w14:textId="77777777" w:rsidR="003E0304" w:rsidRPr="00693856" w:rsidRDefault="00193C46">
      <w:pPr>
        <w:spacing w:line="312" w:lineRule="auto"/>
        <w:ind w:firstLine="555"/>
        <w:rPr>
          <w:rFonts w:ascii="宋体" w:hAnsi="宋体"/>
          <w:sz w:val="24"/>
        </w:rPr>
      </w:pPr>
      <w:r w:rsidRPr="00693856">
        <w:rPr>
          <w:rFonts w:ascii="宋体" w:hAnsi="宋体" w:hint="eastAsia"/>
          <w:b/>
          <w:sz w:val="24"/>
        </w:rPr>
        <w:t>请仔细阅读理财产品销售文件（包括但不限于《理财产品说明书》、《风险揭示书》、《销售</w:t>
      </w:r>
      <w:r w:rsidR="00604BEC" w:rsidRPr="00693856">
        <w:rPr>
          <w:rFonts w:ascii="宋体" w:hAnsi="宋体" w:hint="eastAsia"/>
          <w:b/>
          <w:sz w:val="24"/>
        </w:rPr>
        <w:t>（代理销售）</w:t>
      </w:r>
      <w:r w:rsidRPr="00693856">
        <w:rPr>
          <w:rFonts w:ascii="宋体" w:hAnsi="宋体" w:hint="eastAsia"/>
          <w:b/>
          <w:sz w:val="24"/>
        </w:rPr>
        <w:t>协议书》</w:t>
      </w:r>
      <w:r w:rsidR="00D31EC0" w:rsidRPr="00D31EC0">
        <w:rPr>
          <w:rFonts w:ascii="宋体" w:hAnsi="宋体" w:hint="eastAsia"/>
          <w:b/>
          <w:sz w:val="24"/>
        </w:rPr>
        <w:t>（通过代理销售机构销售的，文件具体名称以代理销售机构为准，下同）</w:t>
      </w:r>
      <w:r w:rsidRPr="00693856">
        <w:rPr>
          <w:rFonts w:ascii="宋体" w:hAnsi="宋体" w:hint="eastAsia"/>
          <w:b/>
          <w:sz w:val="24"/>
        </w:rPr>
        <w:t>、《投资协议书》、《投资者权益须知》），确保</w:t>
      </w:r>
      <w:r w:rsidRPr="00693856">
        <w:rPr>
          <w:rFonts w:ascii="宋体" w:hAnsi="宋体"/>
          <w:b/>
          <w:sz w:val="24"/>
        </w:rPr>
        <w:t>您已</w:t>
      </w:r>
      <w:r w:rsidRPr="00693856">
        <w:rPr>
          <w:rFonts w:ascii="宋体" w:hAnsi="宋体" w:hint="eastAsia"/>
          <w:b/>
          <w:sz w:val="24"/>
        </w:rPr>
        <w:t>了解自己的风险承受能力、</w:t>
      </w:r>
      <w:r w:rsidRPr="00693856">
        <w:rPr>
          <w:rFonts w:ascii="宋体" w:hAnsi="宋体"/>
          <w:b/>
          <w:sz w:val="24"/>
        </w:rPr>
        <w:t>理财</w:t>
      </w:r>
      <w:r w:rsidRPr="00693856">
        <w:rPr>
          <w:rFonts w:ascii="宋体" w:hAnsi="宋体" w:hint="eastAsia"/>
          <w:b/>
          <w:sz w:val="24"/>
        </w:rPr>
        <w:t>产品具体信息及风险后，谨慎投资。如影响</w:t>
      </w:r>
      <w:proofErr w:type="gramStart"/>
      <w:r w:rsidRPr="00693856">
        <w:rPr>
          <w:rFonts w:ascii="宋体" w:hAnsi="宋体" w:hint="eastAsia"/>
          <w:b/>
          <w:sz w:val="24"/>
        </w:rPr>
        <w:t>您风险</w:t>
      </w:r>
      <w:proofErr w:type="gramEnd"/>
      <w:r w:rsidRPr="00693856">
        <w:rPr>
          <w:rFonts w:ascii="宋体" w:hAnsi="宋体" w:hint="eastAsia"/>
          <w:b/>
          <w:sz w:val="24"/>
        </w:rPr>
        <w:t>承受能力的因素发生变化，请及时更新风险承受能力评估。</w:t>
      </w:r>
    </w:p>
    <w:p w14:paraId="4F561E24" w14:textId="77777777" w:rsidR="003E0304" w:rsidRPr="00693856" w:rsidRDefault="00193C46">
      <w:pPr>
        <w:spacing w:line="312" w:lineRule="auto"/>
        <w:ind w:leftChars="30" w:left="63" w:firstLineChars="200" w:firstLine="480"/>
        <w:rPr>
          <w:rFonts w:ascii="宋体" w:hAnsi="宋体" w:cs="Courier New"/>
          <w:b/>
          <w:bCs/>
          <w:sz w:val="24"/>
        </w:rPr>
      </w:pPr>
      <w:r w:rsidRPr="00693856">
        <w:rPr>
          <w:rFonts w:ascii="宋体" w:hAnsi="宋体" w:hint="eastAsia"/>
          <w:sz w:val="24"/>
        </w:rPr>
        <w:t>购买本</w:t>
      </w:r>
      <w:r w:rsidRPr="00693856">
        <w:rPr>
          <w:rFonts w:ascii="宋体" w:hAnsi="宋体"/>
          <w:sz w:val="24"/>
        </w:rPr>
        <w:t>理财产品</w:t>
      </w:r>
      <w:r w:rsidRPr="00693856">
        <w:rPr>
          <w:rFonts w:ascii="宋体" w:hAnsi="宋体" w:hint="eastAsia"/>
          <w:sz w:val="24"/>
        </w:rPr>
        <w:t>，您将</w:t>
      </w:r>
      <w:r w:rsidR="00CC2311">
        <w:rPr>
          <w:rFonts w:ascii="宋体" w:hAnsi="宋体" w:hint="eastAsia"/>
          <w:sz w:val="24"/>
        </w:rPr>
        <w:t>可能</w:t>
      </w:r>
      <w:r w:rsidRPr="00693856">
        <w:rPr>
          <w:rFonts w:ascii="宋体" w:hAnsi="宋体" w:hint="eastAsia"/>
          <w:sz w:val="24"/>
        </w:rPr>
        <w:t>面临包括但不限于</w:t>
      </w:r>
      <w:r w:rsidR="00CC2311">
        <w:rPr>
          <w:rFonts w:ascii="宋体" w:hAnsi="宋体" w:hint="eastAsia"/>
          <w:sz w:val="24"/>
        </w:rPr>
        <w:t>以下风险</w:t>
      </w:r>
      <w:r w:rsidRPr="00693856">
        <w:rPr>
          <w:rFonts w:ascii="宋体" w:hAnsi="宋体" w:hint="eastAsia"/>
          <w:sz w:val="24"/>
        </w:rPr>
        <w:t>：</w:t>
      </w:r>
    </w:p>
    <w:p w14:paraId="35CF1BDA" w14:textId="77777777" w:rsidR="003E0304" w:rsidRPr="00EB2D0B" w:rsidRDefault="00193C46" w:rsidP="00533982">
      <w:pPr>
        <w:spacing w:line="276" w:lineRule="auto"/>
        <w:ind w:leftChars="30" w:left="63" w:firstLineChars="200" w:firstLine="482"/>
        <w:rPr>
          <w:rFonts w:ascii="宋体" w:hAnsi="宋体"/>
          <w:b/>
          <w:sz w:val="24"/>
        </w:rPr>
      </w:pPr>
      <w:r w:rsidRPr="00992EE2">
        <w:rPr>
          <w:rFonts w:ascii="宋体" w:hAnsi="宋体"/>
          <w:b/>
          <w:sz w:val="24"/>
        </w:rPr>
        <w:t>1</w:t>
      </w:r>
      <w:r w:rsidRPr="00992EE2">
        <w:rPr>
          <w:rFonts w:ascii="宋体" w:hAnsi="宋体" w:hint="eastAsia"/>
          <w:b/>
          <w:sz w:val="24"/>
        </w:rPr>
        <w:t>、市场风险：</w:t>
      </w:r>
      <w:r w:rsidRPr="00EB2D0B">
        <w:rPr>
          <w:rFonts w:ascii="宋体" w:hAnsi="宋体" w:hint="eastAsia"/>
          <w:b/>
          <w:sz w:val="24"/>
        </w:rPr>
        <w:t>理财产品在运作过程中，由于市场变化造成产品所投资</w:t>
      </w:r>
      <w:proofErr w:type="gramStart"/>
      <w:r w:rsidRPr="00EB2D0B">
        <w:rPr>
          <w:rFonts w:ascii="宋体" w:hAnsi="宋体" w:hint="eastAsia"/>
          <w:b/>
          <w:sz w:val="24"/>
        </w:rPr>
        <w:t>产价格</w:t>
      </w:r>
      <w:proofErr w:type="gramEnd"/>
      <w:r w:rsidRPr="00EB2D0B">
        <w:rPr>
          <w:rFonts w:ascii="宋体" w:hAnsi="宋体" w:hint="eastAsia"/>
          <w:b/>
          <w:sz w:val="24"/>
        </w:rPr>
        <w:t>波动、从而影响理财产品收益的风险。市场风险包括但不限于投资债券面临的利率变化及债券价格波动带来的风险，投资股票面临的股票价格波动带来的风险，投资商品及金融衍生</w:t>
      </w:r>
      <w:proofErr w:type="gramStart"/>
      <w:r w:rsidRPr="00EB2D0B">
        <w:rPr>
          <w:rFonts w:ascii="宋体" w:hAnsi="宋体" w:hint="eastAsia"/>
          <w:b/>
          <w:sz w:val="24"/>
        </w:rPr>
        <w:t>品面临</w:t>
      </w:r>
      <w:proofErr w:type="gramEnd"/>
      <w:r w:rsidRPr="00EB2D0B">
        <w:rPr>
          <w:rFonts w:ascii="宋体" w:hAnsi="宋体" w:hint="eastAsia"/>
          <w:b/>
          <w:sz w:val="24"/>
        </w:rPr>
        <w:t>的商品及衍生品价格波动带来的风险等。</w:t>
      </w:r>
    </w:p>
    <w:p w14:paraId="656C4CB0" w14:textId="77777777" w:rsidR="003E0304" w:rsidRPr="00EB2D0B" w:rsidRDefault="00193C46" w:rsidP="00533982">
      <w:pPr>
        <w:spacing w:line="312" w:lineRule="auto"/>
        <w:ind w:leftChars="30" w:left="63" w:firstLineChars="200" w:firstLine="482"/>
        <w:rPr>
          <w:rFonts w:ascii="宋体" w:hAnsi="宋体"/>
          <w:b/>
          <w:sz w:val="24"/>
        </w:rPr>
      </w:pPr>
      <w:r w:rsidRPr="00992EE2">
        <w:rPr>
          <w:rFonts w:ascii="宋体" w:hAnsi="宋体"/>
          <w:b/>
          <w:sz w:val="24"/>
        </w:rPr>
        <w:t>2</w:t>
      </w:r>
      <w:r w:rsidRPr="00992EE2">
        <w:rPr>
          <w:rFonts w:ascii="宋体" w:hAnsi="宋体" w:hint="eastAsia"/>
          <w:b/>
          <w:sz w:val="24"/>
        </w:rPr>
        <w:t>、信用风险：</w:t>
      </w:r>
      <w:r w:rsidRPr="00EB2D0B">
        <w:rPr>
          <w:rFonts w:ascii="宋体" w:hAnsi="宋体" w:hint="eastAsia"/>
          <w:b/>
          <w:sz w:val="24"/>
        </w:rPr>
        <w:t>理财产品所投资产的相关债务人或关联责任人（包括但不限于担保人）等信用状况恶化、不能如期履约的风险。</w:t>
      </w:r>
    </w:p>
    <w:p w14:paraId="06C6FB9E" w14:textId="77777777" w:rsidR="003E0304" w:rsidRPr="00992EE2" w:rsidRDefault="00193C46">
      <w:pPr>
        <w:spacing w:line="312" w:lineRule="auto"/>
        <w:ind w:leftChars="30" w:left="63" w:firstLineChars="200" w:firstLine="482"/>
        <w:rPr>
          <w:rFonts w:ascii="宋体" w:hAnsi="宋体"/>
          <w:b/>
          <w:sz w:val="24"/>
        </w:rPr>
      </w:pPr>
      <w:r w:rsidRPr="00992EE2">
        <w:rPr>
          <w:rFonts w:ascii="宋体" w:hAnsi="宋体" w:cs="Courier New"/>
          <w:b/>
          <w:bCs/>
          <w:sz w:val="24"/>
        </w:rPr>
        <w:t>3</w:t>
      </w:r>
      <w:r w:rsidRPr="00992EE2">
        <w:rPr>
          <w:rFonts w:ascii="宋体" w:hAnsi="宋体" w:cs="Courier New" w:hint="eastAsia"/>
          <w:b/>
          <w:bCs/>
          <w:sz w:val="24"/>
        </w:rPr>
        <w:t>、</w:t>
      </w:r>
      <w:r w:rsidRPr="00992EE2">
        <w:rPr>
          <w:rFonts w:ascii="宋体" w:hAnsi="宋体" w:hint="eastAsia"/>
          <w:b/>
          <w:sz w:val="24"/>
        </w:rPr>
        <w:t>理财产品不成立风险：</w:t>
      </w:r>
      <w:r w:rsidRPr="00EB2D0B">
        <w:rPr>
          <w:rFonts w:ascii="宋体" w:hAnsi="宋体" w:hint="eastAsia"/>
          <w:b/>
          <w:sz w:val="24"/>
        </w:rPr>
        <w:t>如理财产品募集期届满，发生本理财产品难以成立的情况，宁银理财有权宣布本理财产品不成立。</w:t>
      </w:r>
    </w:p>
    <w:p w14:paraId="1AAFA3A8" w14:textId="77777777" w:rsidR="003E0304" w:rsidRPr="00EB2D0B" w:rsidRDefault="00193C46" w:rsidP="003D56A8">
      <w:pPr>
        <w:spacing w:line="312" w:lineRule="auto"/>
        <w:ind w:leftChars="30" w:left="63" w:firstLineChars="200" w:firstLine="482"/>
        <w:rPr>
          <w:rFonts w:ascii="宋体" w:hAnsi="宋体" w:cs="Courier New"/>
          <w:b/>
          <w:bCs/>
          <w:sz w:val="24"/>
        </w:rPr>
      </w:pPr>
      <w:r w:rsidRPr="00992EE2">
        <w:rPr>
          <w:rFonts w:ascii="宋体" w:hAnsi="宋体" w:cs="Courier New"/>
          <w:b/>
          <w:bCs/>
          <w:sz w:val="24"/>
        </w:rPr>
        <w:t>4</w:t>
      </w:r>
      <w:r w:rsidRPr="00992EE2">
        <w:rPr>
          <w:rFonts w:ascii="宋体" w:hAnsi="宋体" w:cs="Courier New" w:hint="eastAsia"/>
          <w:b/>
          <w:bCs/>
          <w:sz w:val="24"/>
        </w:rPr>
        <w:t>、流动性风险：</w:t>
      </w:r>
      <w:r w:rsidR="006379ED" w:rsidRPr="00EB2D0B">
        <w:rPr>
          <w:rFonts w:ascii="宋体" w:hAnsi="宋体" w:cs="Courier New" w:hint="eastAsia"/>
          <w:b/>
          <w:bCs/>
          <w:sz w:val="24"/>
        </w:rPr>
        <w:t>在特定市场环境下</w:t>
      </w:r>
      <w:r w:rsidR="00725ED3" w:rsidRPr="00EB2D0B">
        <w:rPr>
          <w:rFonts w:ascii="宋体" w:hAnsi="宋体" w:cs="Courier New" w:hint="eastAsia"/>
          <w:b/>
          <w:bCs/>
          <w:sz w:val="24"/>
        </w:rPr>
        <w:t>，理财产品所投资的上述部分市场或资产可能出现流动性较差的情况，</w:t>
      </w:r>
      <w:r w:rsidR="006379ED" w:rsidRPr="00EB2D0B">
        <w:rPr>
          <w:rFonts w:ascii="宋体" w:hAnsi="宋体" w:cs="Courier New" w:hint="eastAsia"/>
          <w:b/>
          <w:bCs/>
          <w:sz w:val="24"/>
        </w:rPr>
        <w:t>导致理财产品存在无法通过变现资产等途径以合理成本及时获得充足资金，用于满足投资者赎回需求、履行其他支付义务的风险。</w:t>
      </w:r>
      <w:r w:rsidRPr="00EB2D0B">
        <w:rPr>
          <w:rFonts w:ascii="宋体" w:hAnsi="宋体" w:cs="Courier New" w:hint="eastAsia"/>
          <w:b/>
          <w:bCs/>
          <w:sz w:val="24"/>
        </w:rPr>
        <w:t>对于有</w:t>
      </w:r>
      <w:r w:rsidRPr="00EB2D0B">
        <w:rPr>
          <w:rFonts w:ascii="宋体" w:hAnsi="宋体" w:cs="Courier New"/>
          <w:b/>
          <w:bCs/>
          <w:sz w:val="24"/>
        </w:rPr>
        <w:t>明确投资期限的理财产品，</w:t>
      </w:r>
      <w:r w:rsidRPr="00EB2D0B">
        <w:rPr>
          <w:rFonts w:ascii="宋体" w:hAnsi="宋体" w:cs="Courier New" w:hint="eastAsia"/>
          <w:b/>
          <w:bCs/>
          <w:sz w:val="24"/>
        </w:rPr>
        <w:t>在存续期内如果您产生流动性需求，可能面临理财产品投资期限与资金需求日不匹配的流动性风险。此外</w:t>
      </w:r>
      <w:r w:rsidRPr="00EB2D0B">
        <w:rPr>
          <w:rFonts w:ascii="宋体" w:hAnsi="宋体" w:cs="Courier New"/>
          <w:b/>
          <w:bCs/>
          <w:sz w:val="24"/>
        </w:rPr>
        <w:t>，</w:t>
      </w:r>
      <w:r w:rsidRPr="00EB2D0B">
        <w:rPr>
          <w:rFonts w:ascii="宋体" w:hAnsi="宋体" w:cs="Courier New" w:hint="eastAsia"/>
          <w:b/>
          <w:bCs/>
          <w:sz w:val="24"/>
        </w:rPr>
        <w:t>针对</w:t>
      </w:r>
      <w:r w:rsidRPr="00EB2D0B">
        <w:rPr>
          <w:rFonts w:ascii="宋体" w:hAnsi="宋体" w:cs="Courier New"/>
          <w:b/>
          <w:bCs/>
          <w:sz w:val="24"/>
        </w:rPr>
        <w:t>开放式产品，</w:t>
      </w:r>
      <w:r w:rsidRPr="00EB2D0B">
        <w:rPr>
          <w:rFonts w:ascii="宋体" w:hAnsi="宋体" w:cs="Courier New" w:hint="eastAsia"/>
          <w:b/>
          <w:bCs/>
          <w:sz w:val="24"/>
        </w:rPr>
        <w:t>投资者只能在开放期的交易时间内进行申购、赎回，开放期内若发生巨额赎回，投资者将面临不能及时赎回理财产品的流动性风险。</w:t>
      </w:r>
    </w:p>
    <w:p w14:paraId="5F2633E7" w14:textId="77777777" w:rsidR="00203F64" w:rsidRPr="00EB2D0B" w:rsidRDefault="002B5662" w:rsidP="00EB2D0B">
      <w:pPr>
        <w:spacing w:line="312" w:lineRule="auto"/>
        <w:ind w:leftChars="30" w:left="63" w:firstLineChars="200" w:firstLine="482"/>
        <w:rPr>
          <w:rFonts w:ascii="宋体" w:hAnsi="宋体" w:cs="Courier New"/>
          <w:b/>
          <w:bCs/>
          <w:sz w:val="24"/>
        </w:rPr>
      </w:pPr>
      <w:r w:rsidRPr="00EB2D0B">
        <w:rPr>
          <w:rFonts w:ascii="宋体" w:hAnsi="宋体" w:cs="Courier New" w:hint="eastAsia"/>
          <w:b/>
          <w:bCs/>
          <w:sz w:val="24"/>
        </w:rPr>
        <w:t>宁银理财可以依照法律法规及</w:t>
      </w:r>
      <w:r w:rsidR="00220EC7" w:rsidRPr="00EB2D0B">
        <w:rPr>
          <w:rFonts w:ascii="宋体" w:hAnsi="宋体" w:cs="Courier New" w:hint="eastAsia"/>
          <w:b/>
          <w:bCs/>
          <w:sz w:val="24"/>
        </w:rPr>
        <w:t>产品说明书</w:t>
      </w:r>
      <w:r w:rsidRPr="00EB2D0B">
        <w:rPr>
          <w:rFonts w:ascii="宋体" w:hAnsi="宋体" w:cs="Courier New" w:hint="eastAsia"/>
          <w:b/>
          <w:bCs/>
          <w:sz w:val="24"/>
        </w:rPr>
        <w:t>的约定，综合运用各项</w:t>
      </w:r>
      <w:r w:rsidR="00203F64" w:rsidRPr="00EB2D0B">
        <w:rPr>
          <w:rFonts w:ascii="宋体" w:hAnsi="宋体" w:cs="Courier New" w:hint="eastAsia"/>
          <w:b/>
          <w:bCs/>
          <w:sz w:val="24"/>
        </w:rPr>
        <w:t>理财产品</w:t>
      </w:r>
      <w:r w:rsidR="00203F64" w:rsidRPr="00EB2D0B">
        <w:rPr>
          <w:rFonts w:ascii="宋体" w:hAnsi="宋体" w:cs="Courier New" w:hint="eastAsia"/>
          <w:b/>
          <w:bCs/>
          <w:sz w:val="24"/>
        </w:rPr>
        <w:lastRenderedPageBreak/>
        <w:t>流动性风险应对措施：</w:t>
      </w:r>
    </w:p>
    <w:p w14:paraId="57A216E2" w14:textId="77777777" w:rsidR="00203F64" w:rsidRPr="00EB2D0B" w:rsidRDefault="00203F64" w:rsidP="00EB2D0B">
      <w:pPr>
        <w:spacing w:line="312" w:lineRule="auto"/>
        <w:ind w:leftChars="30" w:left="63" w:firstLineChars="200" w:firstLine="482"/>
        <w:rPr>
          <w:rFonts w:ascii="宋体" w:hAnsi="宋体" w:cs="Courier New"/>
          <w:b/>
          <w:bCs/>
          <w:sz w:val="24"/>
        </w:rPr>
      </w:pPr>
      <w:r w:rsidRPr="00EB2D0B">
        <w:rPr>
          <w:rFonts w:ascii="宋体" w:hAnsi="宋体" w:cs="Courier New" w:hint="eastAsia"/>
          <w:b/>
          <w:bCs/>
          <w:sz w:val="24"/>
        </w:rPr>
        <w:t>（一）认购风险应对措施，包括：设定单一投资者认购金额上限、设定理财产品单日净认购比例上限、拒绝大额认购、暂停认购，以及</w:t>
      </w:r>
      <w:r w:rsidR="00947395" w:rsidRPr="00EB2D0B">
        <w:rPr>
          <w:rFonts w:ascii="宋体" w:hAnsi="宋体" w:cs="Courier New" w:hint="eastAsia"/>
          <w:b/>
          <w:bCs/>
          <w:sz w:val="24"/>
        </w:rPr>
        <w:t>国家金融监督管理总局</w:t>
      </w:r>
      <w:r w:rsidRPr="00EB2D0B">
        <w:rPr>
          <w:rFonts w:ascii="宋体" w:hAnsi="宋体" w:cs="Courier New" w:hint="eastAsia"/>
          <w:b/>
          <w:bCs/>
          <w:sz w:val="24"/>
        </w:rPr>
        <w:t>规定的其他措施</w:t>
      </w:r>
      <w:r w:rsidR="00166B41" w:rsidRPr="00EB2D0B">
        <w:rPr>
          <w:rFonts w:ascii="宋体" w:hAnsi="宋体" w:cs="Courier New" w:hint="eastAsia"/>
          <w:b/>
          <w:bCs/>
          <w:sz w:val="24"/>
        </w:rPr>
        <w:t>；</w:t>
      </w:r>
    </w:p>
    <w:p w14:paraId="0054C082" w14:textId="77777777" w:rsidR="00166B41" w:rsidRPr="00EB2D0B" w:rsidRDefault="00203F64" w:rsidP="00EB2D0B">
      <w:pPr>
        <w:spacing w:line="312" w:lineRule="auto"/>
        <w:ind w:leftChars="30" w:left="63" w:firstLineChars="200" w:firstLine="482"/>
        <w:rPr>
          <w:rFonts w:ascii="宋体" w:hAnsi="宋体" w:cs="Courier New"/>
          <w:b/>
          <w:bCs/>
          <w:sz w:val="24"/>
        </w:rPr>
      </w:pPr>
      <w:r w:rsidRPr="00EB2D0B">
        <w:rPr>
          <w:rFonts w:ascii="宋体" w:hAnsi="宋体" w:cs="Courier New" w:hint="eastAsia"/>
          <w:b/>
          <w:bCs/>
          <w:sz w:val="24"/>
        </w:rPr>
        <w:t>（二）赎回风险应对措施，包括：设置赎回上限、延期办理巨额赎回申请、暂停接受赎回申请、延缓支付赎回款项、收取短期赎回费、暂停理财产品估值、摆动定价，以及</w:t>
      </w:r>
      <w:r w:rsidR="00947395" w:rsidRPr="00EB2D0B">
        <w:rPr>
          <w:rFonts w:ascii="宋体" w:hAnsi="宋体" w:cs="Courier New" w:hint="eastAsia"/>
          <w:b/>
          <w:bCs/>
          <w:sz w:val="24"/>
        </w:rPr>
        <w:t>国家金融监督管理总局</w:t>
      </w:r>
      <w:r w:rsidRPr="00EB2D0B">
        <w:rPr>
          <w:rFonts w:ascii="宋体" w:hAnsi="宋体" w:cs="Courier New" w:hint="eastAsia"/>
          <w:b/>
          <w:bCs/>
          <w:sz w:val="24"/>
        </w:rPr>
        <w:t>规定的其他措施。</w:t>
      </w:r>
    </w:p>
    <w:p w14:paraId="4E69FDFD" w14:textId="77777777" w:rsidR="00203F64" w:rsidRPr="00EB2D0B" w:rsidRDefault="00203F64" w:rsidP="00EB2D0B">
      <w:pPr>
        <w:spacing w:line="312" w:lineRule="auto"/>
        <w:ind w:leftChars="30" w:left="63" w:firstLineChars="200" w:firstLine="482"/>
        <w:rPr>
          <w:rFonts w:ascii="宋体" w:hAnsi="宋体" w:cs="Courier New"/>
          <w:b/>
          <w:bCs/>
          <w:sz w:val="24"/>
        </w:rPr>
      </w:pPr>
      <w:r w:rsidRPr="00EB2D0B">
        <w:rPr>
          <w:rFonts w:ascii="宋体" w:hAnsi="宋体" w:cs="Courier New"/>
          <w:b/>
          <w:bCs/>
          <w:sz w:val="24"/>
        </w:rPr>
        <w:t>上述</w:t>
      </w:r>
      <w:r w:rsidRPr="00EB2D0B">
        <w:rPr>
          <w:rFonts w:ascii="宋体" w:hAnsi="宋体" w:cs="Courier New" w:hint="eastAsia"/>
          <w:b/>
          <w:bCs/>
          <w:sz w:val="24"/>
        </w:rPr>
        <w:t>理财产品流动性风险应对措施</w:t>
      </w:r>
      <w:r w:rsidRPr="00EB2D0B">
        <w:rPr>
          <w:rFonts w:ascii="宋体" w:hAnsi="宋体" w:cs="Courier New"/>
          <w:b/>
          <w:bCs/>
          <w:sz w:val="24"/>
        </w:rPr>
        <w:t>可能</w:t>
      </w:r>
      <w:r w:rsidR="00631F6E" w:rsidRPr="00EB2D0B">
        <w:rPr>
          <w:rFonts w:ascii="宋体" w:hAnsi="宋体" w:cs="Courier New" w:hint="eastAsia"/>
          <w:b/>
          <w:bCs/>
          <w:sz w:val="24"/>
        </w:rPr>
        <w:t>导致无法满足投资者对产品的部分或全部</w:t>
      </w:r>
      <w:r w:rsidR="00051282" w:rsidRPr="00EB2D0B">
        <w:rPr>
          <w:rFonts w:ascii="宋体" w:hAnsi="宋体" w:cs="Courier New" w:hint="eastAsia"/>
          <w:b/>
          <w:bCs/>
          <w:sz w:val="24"/>
        </w:rPr>
        <w:t>认（申）购或</w:t>
      </w:r>
      <w:r w:rsidR="00631F6E" w:rsidRPr="00EB2D0B">
        <w:rPr>
          <w:rFonts w:ascii="宋体" w:hAnsi="宋体" w:cs="Courier New" w:hint="eastAsia"/>
          <w:b/>
          <w:bCs/>
          <w:sz w:val="24"/>
        </w:rPr>
        <w:t>赎回需求，进而</w:t>
      </w:r>
      <w:r w:rsidRPr="00EB2D0B">
        <w:rPr>
          <w:rFonts w:ascii="宋体" w:hAnsi="宋体" w:cs="Courier New"/>
          <w:b/>
          <w:bCs/>
          <w:sz w:val="24"/>
        </w:rPr>
        <w:t>影响投资者的资金流动性安排。</w:t>
      </w:r>
      <w:r w:rsidR="00855A27" w:rsidRPr="00EB2D0B">
        <w:rPr>
          <w:rFonts w:ascii="宋体" w:hAnsi="宋体" w:cs="Courier New" w:hint="eastAsia"/>
          <w:b/>
          <w:bCs/>
          <w:sz w:val="24"/>
        </w:rPr>
        <w:t>当产品管理人根据产品说明书中与投资者事先约定的相关措施的处理方法和程序接受投资者的认（申）</w:t>
      </w:r>
      <w:proofErr w:type="gramStart"/>
      <w:r w:rsidR="00855A27" w:rsidRPr="00EB2D0B">
        <w:rPr>
          <w:rFonts w:ascii="宋体" w:hAnsi="宋体" w:cs="Courier New" w:hint="eastAsia"/>
          <w:b/>
          <w:bCs/>
          <w:sz w:val="24"/>
        </w:rPr>
        <w:t>购申请</w:t>
      </w:r>
      <w:proofErr w:type="gramEnd"/>
      <w:r w:rsidR="00855A27" w:rsidRPr="00EB2D0B">
        <w:rPr>
          <w:rFonts w:ascii="宋体" w:hAnsi="宋体" w:cs="Courier New" w:hint="eastAsia"/>
          <w:b/>
          <w:bCs/>
          <w:sz w:val="24"/>
        </w:rPr>
        <w:t>时，可能会</w:t>
      </w:r>
      <w:r w:rsidR="0048798E" w:rsidRPr="00EB2D0B">
        <w:rPr>
          <w:rFonts w:ascii="宋体" w:hAnsi="宋体" w:cs="Courier New" w:hint="eastAsia"/>
          <w:b/>
          <w:bCs/>
          <w:sz w:val="24"/>
        </w:rPr>
        <w:t>造成</w:t>
      </w:r>
      <w:r w:rsidR="00421F02" w:rsidRPr="00EB2D0B">
        <w:rPr>
          <w:rFonts w:ascii="宋体" w:hAnsi="宋体" w:cs="Courier New" w:hint="eastAsia"/>
          <w:b/>
          <w:bCs/>
          <w:sz w:val="24"/>
        </w:rPr>
        <w:t>理财产品投资收益</w:t>
      </w:r>
      <w:r w:rsidR="00A54AC3" w:rsidRPr="00EB2D0B">
        <w:rPr>
          <w:rFonts w:ascii="宋体" w:hAnsi="宋体" w:cs="Courier New" w:hint="eastAsia"/>
          <w:b/>
          <w:bCs/>
          <w:sz w:val="24"/>
        </w:rPr>
        <w:t>摊薄、后续</w:t>
      </w:r>
      <w:r w:rsidR="009D754B" w:rsidRPr="00EB2D0B">
        <w:rPr>
          <w:rFonts w:ascii="宋体" w:hAnsi="宋体" w:cs="Courier New" w:hint="eastAsia"/>
          <w:b/>
          <w:bCs/>
          <w:sz w:val="24"/>
        </w:rPr>
        <w:t>发生巨额</w:t>
      </w:r>
      <w:r w:rsidR="00A54AC3" w:rsidRPr="00EB2D0B">
        <w:rPr>
          <w:rFonts w:ascii="宋体" w:hAnsi="宋体" w:cs="Courier New" w:hint="eastAsia"/>
          <w:b/>
          <w:bCs/>
          <w:sz w:val="24"/>
        </w:rPr>
        <w:t>赎回可能性增加</w:t>
      </w:r>
      <w:r w:rsidR="00421F02" w:rsidRPr="00EB2D0B">
        <w:rPr>
          <w:rFonts w:ascii="宋体" w:hAnsi="宋体" w:cs="Courier New" w:hint="eastAsia"/>
          <w:b/>
          <w:bCs/>
          <w:sz w:val="24"/>
        </w:rPr>
        <w:t>等潜在影响</w:t>
      </w:r>
      <w:r w:rsidR="006501B1" w:rsidRPr="00EB2D0B">
        <w:rPr>
          <w:rFonts w:ascii="宋体" w:hAnsi="宋体" w:cs="Courier New" w:hint="eastAsia"/>
          <w:b/>
          <w:bCs/>
          <w:sz w:val="24"/>
        </w:rPr>
        <w:t>。</w:t>
      </w:r>
    </w:p>
    <w:p w14:paraId="5341A6AE" w14:textId="1B14C7F3" w:rsidR="003E0304" w:rsidRPr="00992EE2" w:rsidRDefault="00193C46">
      <w:pPr>
        <w:spacing w:line="312" w:lineRule="auto"/>
        <w:ind w:leftChars="30" w:left="63" w:firstLineChars="200" w:firstLine="482"/>
        <w:rPr>
          <w:rFonts w:ascii="宋体" w:hAnsi="宋体"/>
          <w:b/>
          <w:sz w:val="24"/>
        </w:rPr>
      </w:pPr>
      <w:r w:rsidRPr="00992EE2">
        <w:rPr>
          <w:rFonts w:ascii="宋体" w:hAnsi="宋体" w:hint="eastAsia"/>
          <w:b/>
          <w:sz w:val="24"/>
        </w:rPr>
        <w:t>5、不达业绩比较基准的风险：</w:t>
      </w:r>
      <w:r w:rsidRPr="00EB2D0B">
        <w:rPr>
          <w:rFonts w:ascii="宋体" w:hAnsi="宋体" w:hint="eastAsia"/>
          <w:b/>
          <w:sz w:val="24"/>
        </w:rPr>
        <w:t>产品的业绩比较基准为综合考虑产品的投资组合及同类产品过往业绩等因素测算而得，不代表产品业绩的未来表现，不</w:t>
      </w:r>
      <w:proofErr w:type="gramStart"/>
      <w:r w:rsidRPr="00EB2D0B">
        <w:rPr>
          <w:rFonts w:ascii="宋体" w:hAnsi="宋体" w:hint="eastAsia"/>
          <w:b/>
          <w:sz w:val="24"/>
        </w:rPr>
        <w:t>作为宁银理财</w:t>
      </w:r>
      <w:proofErr w:type="gramEnd"/>
      <w:r w:rsidRPr="00EB2D0B">
        <w:rPr>
          <w:rFonts w:ascii="宋体" w:hAnsi="宋体" w:hint="eastAsia"/>
          <w:b/>
          <w:sz w:val="24"/>
        </w:rPr>
        <w:t>向</w:t>
      </w:r>
      <w:proofErr w:type="gramStart"/>
      <w:r w:rsidRPr="00EB2D0B">
        <w:rPr>
          <w:rFonts w:ascii="宋体" w:hAnsi="宋体" w:hint="eastAsia"/>
          <w:b/>
          <w:sz w:val="24"/>
        </w:rPr>
        <w:t>您支付</w:t>
      </w:r>
      <w:proofErr w:type="gramEnd"/>
      <w:r w:rsidRPr="00EB2D0B">
        <w:rPr>
          <w:rFonts w:ascii="宋体" w:hAnsi="宋体" w:hint="eastAsia"/>
          <w:b/>
          <w:sz w:val="24"/>
        </w:rPr>
        <w:t>产品本金或收益的承诺。</w:t>
      </w:r>
      <w:r w:rsidRPr="00992EE2">
        <w:rPr>
          <w:rFonts w:ascii="宋体" w:hAnsi="宋体" w:hint="eastAsia"/>
          <w:b/>
          <w:sz w:val="24"/>
        </w:rPr>
        <w:t>本产品为净值型产品，业绩表现将随市场情况波动，具有不确定性，产品业绩表现存在不达业绩基准的风险。</w:t>
      </w:r>
    </w:p>
    <w:p w14:paraId="720F55A6" w14:textId="1EA42B10" w:rsidR="003E0304" w:rsidRPr="00992EE2" w:rsidRDefault="00193C46" w:rsidP="007F23CC">
      <w:pPr>
        <w:spacing w:line="312" w:lineRule="auto"/>
        <w:ind w:leftChars="30" w:left="63" w:firstLineChars="200" w:firstLine="482"/>
        <w:rPr>
          <w:rFonts w:ascii="宋体" w:hAnsi="宋体"/>
          <w:b/>
          <w:sz w:val="24"/>
        </w:rPr>
      </w:pPr>
      <w:r w:rsidRPr="00992EE2">
        <w:rPr>
          <w:rFonts w:ascii="宋体" w:hAnsi="宋体"/>
          <w:b/>
          <w:sz w:val="24"/>
        </w:rPr>
        <w:t>6</w:t>
      </w:r>
      <w:r w:rsidRPr="00992EE2">
        <w:rPr>
          <w:rFonts w:ascii="宋体" w:hAnsi="宋体" w:hint="eastAsia"/>
          <w:b/>
          <w:sz w:val="24"/>
        </w:rPr>
        <w:t>、提前终止风险：</w:t>
      </w:r>
      <w:r w:rsidR="007F23CC" w:rsidRPr="00C41586">
        <w:rPr>
          <w:rFonts w:hint="eastAsia"/>
          <w:sz w:val="24"/>
        </w:rPr>
        <w:t>在理财产品存续期内，宁银理财有权在特定情况下提前终止理财产品，一旦产品被提前终止，您可能面临不能继续持有产品的风险。</w:t>
      </w:r>
    </w:p>
    <w:p w14:paraId="5155A5EF" w14:textId="77777777" w:rsidR="003E0304" w:rsidRPr="00EB2D0B" w:rsidRDefault="00193C46">
      <w:pPr>
        <w:spacing w:line="312" w:lineRule="auto"/>
        <w:ind w:leftChars="30" w:left="63" w:firstLineChars="200" w:firstLine="482"/>
        <w:rPr>
          <w:rFonts w:ascii="宋体" w:hAnsi="宋体"/>
          <w:b/>
          <w:sz w:val="24"/>
        </w:rPr>
      </w:pPr>
      <w:r w:rsidRPr="00992EE2">
        <w:rPr>
          <w:rFonts w:ascii="宋体" w:hAnsi="宋体"/>
          <w:b/>
          <w:sz w:val="24"/>
        </w:rPr>
        <w:t>7</w:t>
      </w:r>
      <w:r w:rsidRPr="00992EE2">
        <w:rPr>
          <w:rFonts w:ascii="宋体" w:hAnsi="宋体" w:hint="eastAsia"/>
          <w:b/>
          <w:sz w:val="24"/>
        </w:rPr>
        <w:t>、延期风险：</w:t>
      </w:r>
      <w:r w:rsidRPr="00EB2D0B">
        <w:rPr>
          <w:rFonts w:ascii="宋体" w:hAnsi="宋体" w:hint="eastAsia"/>
          <w:b/>
          <w:sz w:val="24"/>
        </w:rPr>
        <w:t>理财产品到期或您决定赎回本产品时，若出现所投资</w:t>
      </w:r>
      <w:proofErr w:type="gramStart"/>
      <w:r w:rsidRPr="00EB2D0B">
        <w:rPr>
          <w:rFonts w:ascii="宋体" w:hAnsi="宋体" w:hint="eastAsia"/>
          <w:b/>
          <w:sz w:val="24"/>
        </w:rPr>
        <w:t>产无法</w:t>
      </w:r>
      <w:proofErr w:type="gramEnd"/>
      <w:r w:rsidRPr="00EB2D0B">
        <w:rPr>
          <w:rFonts w:ascii="宋体" w:hAnsi="宋体" w:hint="eastAsia"/>
          <w:b/>
          <w:sz w:val="24"/>
        </w:rPr>
        <w:t>顺利变现、市场发生重大</w:t>
      </w:r>
      <w:proofErr w:type="gramStart"/>
      <w:r w:rsidRPr="00EB2D0B">
        <w:rPr>
          <w:rFonts w:ascii="宋体" w:hAnsi="宋体" w:hint="eastAsia"/>
          <w:b/>
          <w:sz w:val="24"/>
        </w:rPr>
        <w:t>变动或其他宁银理财</w:t>
      </w:r>
      <w:proofErr w:type="gramEnd"/>
      <w:r w:rsidRPr="00EB2D0B">
        <w:rPr>
          <w:rFonts w:ascii="宋体" w:hAnsi="宋体" w:hint="eastAsia"/>
          <w:b/>
          <w:sz w:val="24"/>
        </w:rPr>
        <w:t>认为需要延期支付的情形时，本产品将面临无法按时支付相关款项的风险。</w:t>
      </w:r>
    </w:p>
    <w:p w14:paraId="5DCB9990" w14:textId="77777777" w:rsidR="003E0304" w:rsidRPr="00992EE2" w:rsidRDefault="00193C46">
      <w:pPr>
        <w:spacing w:line="312" w:lineRule="auto"/>
        <w:ind w:leftChars="30" w:left="63" w:firstLineChars="200" w:firstLine="482"/>
        <w:rPr>
          <w:rFonts w:ascii="宋体" w:hAnsi="宋体"/>
          <w:b/>
          <w:sz w:val="24"/>
        </w:rPr>
      </w:pPr>
      <w:r w:rsidRPr="00992EE2">
        <w:rPr>
          <w:rFonts w:ascii="宋体" w:hAnsi="宋体"/>
          <w:b/>
          <w:sz w:val="24"/>
        </w:rPr>
        <w:t>8</w:t>
      </w:r>
      <w:r w:rsidRPr="00992EE2">
        <w:rPr>
          <w:rFonts w:ascii="宋体" w:hAnsi="宋体" w:hint="eastAsia"/>
          <w:b/>
          <w:sz w:val="24"/>
        </w:rPr>
        <w:t>、政策风险：</w:t>
      </w:r>
      <w:r w:rsidRPr="00EB2D0B">
        <w:rPr>
          <w:rFonts w:ascii="宋体" w:hAnsi="宋体" w:hint="eastAsia"/>
          <w:b/>
          <w:sz w:val="24"/>
        </w:rPr>
        <w:t>理财产品在运作过程中，由于国家宏观政策以及市场相关法律法规、监管规定发生变化，导致产品的发行、投资、兑付等流程受到影响，进而影响产品的投资运作和收益的风险。</w:t>
      </w:r>
    </w:p>
    <w:p w14:paraId="66CF1E0C" w14:textId="6FCB34C2" w:rsidR="003E0304" w:rsidRPr="00EB2D0B" w:rsidRDefault="00193C46" w:rsidP="003D56A8">
      <w:pPr>
        <w:spacing w:line="312" w:lineRule="auto"/>
        <w:ind w:leftChars="30" w:left="63" w:firstLineChars="200" w:firstLine="482"/>
        <w:rPr>
          <w:rFonts w:ascii="宋体" w:hAnsi="宋体"/>
          <w:b/>
          <w:sz w:val="24"/>
        </w:rPr>
      </w:pPr>
      <w:r w:rsidRPr="00992EE2">
        <w:rPr>
          <w:rFonts w:ascii="宋体" w:hAnsi="宋体"/>
          <w:b/>
          <w:sz w:val="24"/>
        </w:rPr>
        <w:t>9</w:t>
      </w:r>
      <w:r w:rsidRPr="00992EE2">
        <w:rPr>
          <w:rFonts w:ascii="宋体" w:hAnsi="宋体" w:hint="eastAsia"/>
          <w:b/>
          <w:sz w:val="24"/>
        </w:rPr>
        <w:t>、信息传递风险：</w:t>
      </w:r>
      <w:proofErr w:type="gramStart"/>
      <w:r w:rsidRPr="00EB2D0B">
        <w:rPr>
          <w:rFonts w:ascii="宋体" w:hAnsi="宋体" w:hint="eastAsia"/>
          <w:b/>
          <w:sz w:val="24"/>
        </w:rPr>
        <w:t>宁银理财</w:t>
      </w:r>
      <w:proofErr w:type="gramEnd"/>
      <w:r w:rsidRPr="00EB2D0B">
        <w:rPr>
          <w:rFonts w:ascii="宋体" w:hAnsi="宋体" w:hint="eastAsia"/>
          <w:b/>
          <w:sz w:val="24"/>
        </w:rPr>
        <w:t>将于理财产品募集期间、存续期间和终止时，通过本公司</w:t>
      </w:r>
      <w:r w:rsidR="00EE180D" w:rsidRPr="00EB2D0B">
        <w:rPr>
          <w:rFonts w:ascii="宋体" w:hAnsi="宋体" w:hint="eastAsia"/>
          <w:b/>
          <w:sz w:val="24"/>
        </w:rPr>
        <w:t>官网</w:t>
      </w:r>
      <w:r w:rsidRPr="00EB2D0B">
        <w:rPr>
          <w:rFonts w:ascii="宋体" w:hAnsi="宋体" w:hint="eastAsia"/>
          <w:b/>
          <w:sz w:val="24"/>
        </w:rPr>
        <w:t>（</w:t>
      </w:r>
      <w:r w:rsidR="00291A10" w:rsidRPr="00291A10">
        <w:rPr>
          <w:rFonts w:ascii="宋体" w:hAnsi="宋体"/>
          <w:b/>
          <w:sz w:val="24"/>
        </w:rPr>
        <w:t>www.wmbnb.com</w:t>
      </w:r>
      <w:r w:rsidRPr="00EB2D0B">
        <w:rPr>
          <w:rFonts w:ascii="宋体" w:hAnsi="宋体" w:hint="eastAsia"/>
          <w:b/>
          <w:sz w:val="24"/>
        </w:rPr>
        <w:t>）、相关理财代理销售机构官方渠道或其他</w:t>
      </w:r>
      <w:r w:rsidR="00EE180D" w:rsidRPr="00EB2D0B">
        <w:rPr>
          <w:rFonts w:ascii="宋体" w:hAnsi="宋体" w:hint="eastAsia"/>
          <w:b/>
          <w:sz w:val="24"/>
        </w:rPr>
        <w:t>适当的</w:t>
      </w:r>
      <w:r w:rsidRPr="00EB2D0B">
        <w:rPr>
          <w:rFonts w:ascii="宋体" w:hAnsi="宋体" w:hint="eastAsia"/>
          <w:b/>
          <w:sz w:val="24"/>
        </w:rPr>
        <w:t>方式进行信息披露（具体产品的信息披露方式、频率等</w:t>
      </w:r>
      <w:proofErr w:type="gramStart"/>
      <w:r w:rsidRPr="00EB2D0B">
        <w:rPr>
          <w:rFonts w:ascii="宋体" w:hAnsi="宋体" w:hint="eastAsia"/>
          <w:b/>
          <w:sz w:val="24"/>
        </w:rPr>
        <w:t>规则见</w:t>
      </w:r>
      <w:proofErr w:type="gramEnd"/>
      <w:r w:rsidRPr="00EB2D0B">
        <w:rPr>
          <w:rFonts w:ascii="宋体" w:hAnsi="宋体" w:hint="eastAsia"/>
          <w:b/>
          <w:sz w:val="24"/>
        </w:rPr>
        <w:t>《理财产品说明书》）。宁银理财或</w:t>
      </w:r>
      <w:r w:rsidRPr="00EB2D0B">
        <w:rPr>
          <w:rFonts w:ascii="宋体" w:hAnsi="宋体"/>
          <w:b/>
          <w:sz w:val="24"/>
        </w:rPr>
        <w:t>代理销售机构通过</w:t>
      </w:r>
      <w:r w:rsidRPr="00EB2D0B">
        <w:rPr>
          <w:rFonts w:ascii="宋体" w:hAnsi="宋体" w:hint="eastAsia"/>
          <w:b/>
          <w:sz w:val="24"/>
        </w:rPr>
        <w:t>理财产品销售</w:t>
      </w:r>
      <w:r w:rsidRPr="00EB2D0B">
        <w:rPr>
          <w:rFonts w:ascii="宋体" w:hAnsi="宋体"/>
          <w:b/>
          <w:sz w:val="24"/>
        </w:rPr>
        <w:t>文件约定方式披露信息后，</w:t>
      </w:r>
      <w:r w:rsidRPr="00EB2D0B">
        <w:rPr>
          <w:rFonts w:ascii="宋体" w:hAnsi="宋体" w:hint="eastAsia"/>
          <w:b/>
          <w:sz w:val="24"/>
        </w:rPr>
        <w:t>视为本公司已</w:t>
      </w:r>
      <w:r w:rsidRPr="00EB2D0B">
        <w:rPr>
          <w:rFonts w:ascii="宋体" w:hAnsi="宋体"/>
          <w:b/>
          <w:sz w:val="24"/>
        </w:rPr>
        <w:t>向</w:t>
      </w:r>
      <w:r w:rsidRPr="00EB2D0B">
        <w:rPr>
          <w:rFonts w:ascii="宋体" w:hAnsi="宋体" w:hint="eastAsia"/>
          <w:b/>
          <w:sz w:val="24"/>
        </w:rPr>
        <w:t>您</w:t>
      </w:r>
      <w:r w:rsidRPr="00EB2D0B">
        <w:rPr>
          <w:rFonts w:ascii="宋体" w:hAnsi="宋体"/>
          <w:b/>
          <w:sz w:val="24"/>
        </w:rPr>
        <w:t>完全履行信息披露义务</w:t>
      </w:r>
      <w:r w:rsidRPr="00EB2D0B">
        <w:rPr>
          <w:rFonts w:ascii="宋体" w:hAnsi="宋体" w:hint="eastAsia"/>
          <w:b/>
          <w:sz w:val="24"/>
        </w:rPr>
        <w:t>，您可依据理财产品销售文件的约定，及时登录本</w:t>
      </w:r>
      <w:r w:rsidRPr="00EB2D0B">
        <w:rPr>
          <w:rFonts w:ascii="宋体" w:hAnsi="宋体"/>
          <w:b/>
          <w:sz w:val="24"/>
        </w:rPr>
        <w:t>公司/代理销售机构</w:t>
      </w:r>
      <w:r w:rsidRPr="00EB2D0B">
        <w:rPr>
          <w:rFonts w:ascii="宋体" w:hAnsi="宋体" w:hint="eastAsia"/>
          <w:b/>
          <w:sz w:val="24"/>
        </w:rPr>
        <w:t>网站或</w:t>
      </w:r>
      <w:r w:rsidRPr="00EB2D0B">
        <w:rPr>
          <w:rFonts w:ascii="宋体" w:hAnsi="宋体"/>
          <w:b/>
          <w:sz w:val="24"/>
        </w:rPr>
        <w:t>致电</w:t>
      </w:r>
      <w:r w:rsidRPr="00EB2D0B">
        <w:rPr>
          <w:rFonts w:ascii="宋体" w:hAnsi="宋体" w:hint="eastAsia"/>
          <w:b/>
          <w:sz w:val="24"/>
        </w:rPr>
        <w:t>本</w:t>
      </w:r>
      <w:r w:rsidRPr="00EB2D0B">
        <w:rPr>
          <w:rFonts w:ascii="宋体" w:hAnsi="宋体"/>
          <w:b/>
          <w:sz w:val="24"/>
        </w:rPr>
        <w:t>公司/代理销售机构</w:t>
      </w:r>
      <w:r w:rsidRPr="00EB2D0B">
        <w:rPr>
          <w:rFonts w:ascii="宋体" w:hAnsi="宋体" w:hint="eastAsia"/>
          <w:b/>
          <w:sz w:val="24"/>
        </w:rPr>
        <w:t>客户服务</w:t>
      </w:r>
      <w:r w:rsidRPr="00EB2D0B">
        <w:rPr>
          <w:rFonts w:ascii="宋体" w:hAnsi="宋体"/>
          <w:b/>
          <w:sz w:val="24"/>
        </w:rPr>
        <w:t>热线（</w:t>
      </w:r>
      <w:r w:rsidR="00291A10" w:rsidRPr="00291A10">
        <w:rPr>
          <w:rFonts w:ascii="宋体" w:hAnsi="宋体" w:hint="eastAsia"/>
          <w:b/>
          <w:sz w:val="24"/>
        </w:rPr>
        <w:t>宁银理财：400-099-5574；代理销售机构详见《理财产品说明书》</w:t>
      </w:r>
      <w:r w:rsidRPr="00EB2D0B">
        <w:rPr>
          <w:rFonts w:ascii="宋体" w:hAnsi="宋体"/>
          <w:b/>
          <w:sz w:val="24"/>
        </w:rPr>
        <w:t>）</w:t>
      </w:r>
      <w:r w:rsidRPr="00EB2D0B">
        <w:rPr>
          <w:rFonts w:ascii="宋体" w:hAnsi="宋体" w:hint="eastAsia"/>
          <w:b/>
          <w:sz w:val="24"/>
        </w:rPr>
        <w:t>查询。如因您未及时查询，或因通讯、系统故障或其他不可抗力等因素的影响，致使您无法及时了解理财产品信息，所产生的责任和风险将由</w:t>
      </w:r>
      <w:r w:rsidRPr="00EB2D0B">
        <w:rPr>
          <w:rFonts w:ascii="宋体" w:hAnsi="宋体"/>
          <w:b/>
          <w:sz w:val="24"/>
        </w:rPr>
        <w:t>您</w:t>
      </w:r>
      <w:r w:rsidRPr="00EB2D0B">
        <w:rPr>
          <w:rFonts w:ascii="宋体" w:hAnsi="宋体" w:hint="eastAsia"/>
          <w:b/>
          <w:sz w:val="24"/>
        </w:rPr>
        <w:t>自行承担。</w:t>
      </w:r>
    </w:p>
    <w:p w14:paraId="32C0B26A" w14:textId="77777777" w:rsidR="003E0304" w:rsidRPr="00992EE2" w:rsidRDefault="00193C46" w:rsidP="00EB2D0B">
      <w:pPr>
        <w:spacing w:line="312" w:lineRule="auto"/>
        <w:ind w:leftChars="30" w:left="63" w:firstLineChars="200" w:firstLine="482"/>
        <w:rPr>
          <w:rFonts w:ascii="宋体" w:hAnsi="宋体"/>
          <w:b/>
          <w:sz w:val="24"/>
        </w:rPr>
      </w:pPr>
      <w:r w:rsidRPr="00EB2D0B">
        <w:rPr>
          <w:rFonts w:ascii="宋体" w:hAnsi="宋体" w:hint="eastAsia"/>
          <w:b/>
          <w:sz w:val="24"/>
        </w:rPr>
        <w:t>您预留在</w:t>
      </w:r>
      <w:r w:rsidRPr="00EB2D0B">
        <w:rPr>
          <w:rFonts w:ascii="宋体" w:hAnsi="宋体"/>
          <w:b/>
          <w:sz w:val="24"/>
        </w:rPr>
        <w:t>公司</w:t>
      </w:r>
      <w:r w:rsidRPr="00EB2D0B">
        <w:rPr>
          <w:rFonts w:ascii="宋体" w:hAnsi="宋体" w:hint="eastAsia"/>
          <w:b/>
          <w:sz w:val="24"/>
        </w:rPr>
        <w:t>或代理销售机构的有效联系方式若发生变更，应及时通知</w:t>
      </w:r>
      <w:r w:rsidRPr="00EB2D0B">
        <w:rPr>
          <w:rFonts w:ascii="宋体" w:hAnsi="宋体"/>
          <w:b/>
          <w:sz w:val="24"/>
        </w:rPr>
        <w:t>公</w:t>
      </w:r>
      <w:r w:rsidRPr="00EB2D0B">
        <w:rPr>
          <w:rFonts w:ascii="宋体" w:hAnsi="宋体"/>
          <w:b/>
          <w:sz w:val="24"/>
        </w:rPr>
        <w:lastRenderedPageBreak/>
        <w:t>司</w:t>
      </w:r>
      <w:r w:rsidRPr="00EB2D0B">
        <w:rPr>
          <w:rFonts w:ascii="宋体" w:hAnsi="宋体" w:hint="eastAsia"/>
          <w:b/>
          <w:sz w:val="24"/>
        </w:rPr>
        <w:t>或代理销售机构，如因您未及时告知，导致公司或代理销售机构无法及时联系您，由此产生的责任和风险将由</w:t>
      </w:r>
      <w:r w:rsidRPr="00EB2D0B">
        <w:rPr>
          <w:rFonts w:ascii="宋体" w:hAnsi="宋体"/>
          <w:b/>
          <w:sz w:val="24"/>
        </w:rPr>
        <w:t>您</w:t>
      </w:r>
      <w:r w:rsidRPr="00EB2D0B">
        <w:rPr>
          <w:rFonts w:ascii="宋体" w:hAnsi="宋体" w:hint="eastAsia"/>
          <w:b/>
          <w:sz w:val="24"/>
        </w:rPr>
        <w:t>自行承担。</w:t>
      </w:r>
    </w:p>
    <w:p w14:paraId="2589503F" w14:textId="77777777" w:rsidR="003E0304" w:rsidRPr="00EB2D0B" w:rsidRDefault="00193C46">
      <w:pPr>
        <w:spacing w:line="312" w:lineRule="auto"/>
        <w:ind w:leftChars="30" w:left="63" w:firstLineChars="200" w:firstLine="482"/>
        <w:rPr>
          <w:rFonts w:ascii="宋体" w:hAnsi="宋体" w:cs="Courier New"/>
          <w:b/>
          <w:bCs/>
          <w:sz w:val="24"/>
        </w:rPr>
      </w:pPr>
      <w:r w:rsidRPr="00992EE2">
        <w:rPr>
          <w:rFonts w:ascii="宋体" w:hAnsi="宋体" w:cs="Courier New"/>
          <w:b/>
          <w:bCs/>
          <w:sz w:val="24"/>
        </w:rPr>
        <w:t>10</w:t>
      </w:r>
      <w:r w:rsidRPr="00992EE2">
        <w:rPr>
          <w:rFonts w:ascii="宋体" w:hAnsi="宋体" w:cs="Courier New" w:hint="eastAsia"/>
          <w:b/>
          <w:bCs/>
          <w:sz w:val="24"/>
        </w:rPr>
        <w:t>、汇率风险：</w:t>
      </w:r>
      <w:r w:rsidRPr="00EB2D0B">
        <w:rPr>
          <w:rFonts w:ascii="宋体" w:hAnsi="宋体" w:cs="Courier New" w:hint="eastAsia"/>
          <w:b/>
          <w:bCs/>
          <w:sz w:val="24"/>
        </w:rPr>
        <w:t>当理财产品的投资涉及非本国货币时，存在汇率波动带来的风险。</w:t>
      </w:r>
    </w:p>
    <w:p w14:paraId="1FD83C28" w14:textId="14A7F9F6" w:rsidR="001F58C3" w:rsidRDefault="00193C46" w:rsidP="005C23D2">
      <w:pPr>
        <w:spacing w:line="312" w:lineRule="auto"/>
        <w:ind w:leftChars="30" w:left="63" w:firstLineChars="200" w:firstLine="482"/>
        <w:rPr>
          <w:rFonts w:ascii="宋体" w:hAnsi="宋体"/>
          <w:b/>
          <w:sz w:val="24"/>
        </w:rPr>
      </w:pPr>
      <w:r w:rsidRPr="00992EE2">
        <w:rPr>
          <w:rFonts w:ascii="宋体" w:hAnsi="宋体"/>
          <w:b/>
          <w:sz w:val="24"/>
        </w:rPr>
        <w:t>11</w:t>
      </w:r>
      <w:r w:rsidRPr="00992EE2">
        <w:rPr>
          <w:rFonts w:ascii="宋体" w:hAnsi="宋体" w:hint="eastAsia"/>
          <w:b/>
          <w:sz w:val="24"/>
        </w:rPr>
        <w:t>、不可抗力风险及意外事件风险：</w:t>
      </w:r>
      <w:r w:rsidRPr="00EB2D0B">
        <w:rPr>
          <w:rFonts w:ascii="宋体" w:hAnsi="宋体" w:hint="eastAsia"/>
          <w:b/>
          <w:sz w:val="24"/>
        </w:rPr>
        <w:t>战争、自然灾害、重大政治事件等不可抗力因素或非宁银理财原因的系统故障、投资市场停止交易等意外事件，可能严重影响理财产品的正常运作，影响理财</w:t>
      </w:r>
      <w:r w:rsidRPr="00EB2D0B">
        <w:rPr>
          <w:rFonts w:ascii="宋体" w:hAnsi="宋体"/>
          <w:b/>
          <w:sz w:val="24"/>
        </w:rPr>
        <w:t>产品投资业绩</w:t>
      </w:r>
      <w:r w:rsidRPr="00EB2D0B">
        <w:rPr>
          <w:rFonts w:ascii="宋体" w:hAnsi="宋体" w:hint="eastAsia"/>
          <w:b/>
          <w:sz w:val="24"/>
        </w:rPr>
        <w:t>。</w:t>
      </w:r>
    </w:p>
    <w:p w14:paraId="2E3A6609" w14:textId="77777777" w:rsidR="007F23CC" w:rsidRPr="00F41CB4" w:rsidRDefault="00585673" w:rsidP="007F23CC">
      <w:pPr>
        <w:spacing w:line="312" w:lineRule="auto"/>
        <w:ind w:leftChars="30" w:left="63" w:firstLineChars="200" w:firstLine="482"/>
        <w:rPr>
          <w:rFonts w:ascii="宋体" w:hAnsi="宋体"/>
          <w:b/>
          <w:sz w:val="24"/>
        </w:rPr>
      </w:pPr>
      <w:r>
        <w:rPr>
          <w:rFonts w:ascii="宋体" w:hAnsi="宋体"/>
          <w:b/>
          <w:bCs/>
          <w:sz w:val="24"/>
        </w:rPr>
        <w:t>12</w:t>
      </w:r>
      <w:r w:rsidR="0031558E" w:rsidRPr="00992EE2">
        <w:rPr>
          <w:rFonts w:ascii="宋体" w:hAnsi="宋体"/>
          <w:b/>
          <w:sz w:val="24"/>
        </w:rPr>
        <w:t>、</w:t>
      </w:r>
      <w:r w:rsidR="007F23CC" w:rsidRPr="00F41CB4">
        <w:rPr>
          <w:rFonts w:ascii="宋体" w:hAnsi="宋体" w:hint="eastAsia"/>
          <w:b/>
          <w:sz w:val="24"/>
        </w:rPr>
        <w:t>本产品计划投资于商品及</w:t>
      </w:r>
      <w:r w:rsidR="007F23CC">
        <w:rPr>
          <w:rFonts w:ascii="宋体" w:hAnsi="宋体" w:hint="eastAsia"/>
          <w:b/>
          <w:sz w:val="24"/>
        </w:rPr>
        <w:t>金融</w:t>
      </w:r>
      <w:r w:rsidR="007F23CC" w:rsidRPr="00F41CB4">
        <w:rPr>
          <w:rFonts w:ascii="宋体" w:hAnsi="宋体" w:hint="eastAsia"/>
          <w:b/>
          <w:sz w:val="24"/>
        </w:rPr>
        <w:t>衍生品类资产，投资于以上资产可能面临包括但不限于以下持仓风险：</w:t>
      </w:r>
    </w:p>
    <w:p w14:paraId="11692577" w14:textId="77777777" w:rsidR="007F23CC" w:rsidRPr="000D7FC3" w:rsidRDefault="007F23CC" w:rsidP="007F23CC">
      <w:pPr>
        <w:spacing w:line="312" w:lineRule="auto"/>
        <w:ind w:leftChars="30" w:left="63" w:firstLineChars="100" w:firstLine="241"/>
        <w:rPr>
          <w:rFonts w:ascii="宋体" w:hAnsi="宋体"/>
          <w:sz w:val="24"/>
        </w:rPr>
      </w:pPr>
      <w:r w:rsidRPr="000D7FC3">
        <w:rPr>
          <w:rFonts w:ascii="宋体" w:hAnsi="宋体" w:hint="eastAsia"/>
          <w:b/>
          <w:sz w:val="24"/>
        </w:rPr>
        <w:t>（一）</w:t>
      </w:r>
      <w:r w:rsidRPr="000D7FC3">
        <w:rPr>
          <w:rFonts w:ascii="宋体" w:hAnsi="宋体"/>
          <w:b/>
          <w:sz w:val="24"/>
        </w:rPr>
        <w:t>交易对手相关风险：</w:t>
      </w:r>
      <w:r w:rsidRPr="000D7FC3">
        <w:rPr>
          <w:rFonts w:ascii="宋体" w:hAnsi="宋体"/>
          <w:sz w:val="24"/>
        </w:rPr>
        <w:t>金融衍生品交易对手相关风险可能包括信用风险、操作风险、技术风险等。其中，信用风险指在金融衍生品交易和结算过程中，交易对手方可能发生违约情形、遭受不可抗力影响或因破产等其他非主观原因导致无法履行金融衍生品交易合同项下的支付、交付义务而给投资者造成损失的风险；操作风险指交易对手在业务操作过程中，可能因操作失误或违反操作规程导致交易失败或资金划拨失败等而给投资者带来的风险；技术风险指交易对手由于信息技术系统发生故障、存在缺陷等因素影响交易撮合、清算估值、会计核算、资金划转等业务的正常开展，</w:t>
      </w:r>
      <w:r w:rsidRPr="000D7FC3">
        <w:rPr>
          <w:rFonts w:ascii="宋体" w:hAnsi="宋体" w:hint="eastAsia"/>
          <w:sz w:val="24"/>
        </w:rPr>
        <w:t>导致投资者利益受到影响的风险。</w:t>
      </w:r>
    </w:p>
    <w:p w14:paraId="405FF800" w14:textId="67BCE45C" w:rsidR="00654AD9" w:rsidRDefault="007F23CC" w:rsidP="007F23CC">
      <w:pPr>
        <w:spacing w:line="312" w:lineRule="auto"/>
        <w:ind w:leftChars="30" w:left="63" w:firstLineChars="100" w:firstLine="241"/>
        <w:rPr>
          <w:rFonts w:ascii="宋体" w:hAnsi="宋体"/>
          <w:sz w:val="24"/>
        </w:rPr>
      </w:pPr>
      <w:r w:rsidRPr="000D7FC3">
        <w:rPr>
          <w:rFonts w:ascii="宋体" w:hAnsi="宋体" w:hint="eastAsia"/>
          <w:b/>
          <w:sz w:val="24"/>
        </w:rPr>
        <w:t>（二）</w:t>
      </w:r>
      <w:r w:rsidRPr="000D7FC3">
        <w:rPr>
          <w:rFonts w:ascii="宋体" w:hAnsi="宋体"/>
          <w:b/>
          <w:sz w:val="24"/>
        </w:rPr>
        <w:t>金融衍生品估值模型风险</w:t>
      </w:r>
      <w:r w:rsidRPr="000D7FC3">
        <w:rPr>
          <w:rFonts w:ascii="宋体" w:hAnsi="宋体"/>
          <w:sz w:val="24"/>
        </w:rPr>
        <w:t>：金融衍生品的估值结果受到估值模型、基于估值模型的计算方法及模型参数等多方面因素的共同影响，任</w:t>
      </w:r>
      <w:proofErr w:type="gramStart"/>
      <w:r w:rsidRPr="000D7FC3">
        <w:rPr>
          <w:rFonts w:ascii="宋体" w:hAnsi="宋体"/>
          <w:sz w:val="24"/>
        </w:rPr>
        <w:t>一</w:t>
      </w:r>
      <w:proofErr w:type="gramEnd"/>
      <w:r w:rsidRPr="000D7FC3">
        <w:rPr>
          <w:rFonts w:ascii="宋体" w:hAnsi="宋体"/>
          <w:sz w:val="24"/>
        </w:rPr>
        <w:t>因素的调整均会导致计算得到的估值结果发生变动，因此金融衍生品存续期间的估值结果仅可作为参考，具体金融衍生品提前终止、部分提前终止、追加交易等均以交易对手实际交易确认结果为准。</w:t>
      </w:r>
    </w:p>
    <w:p w14:paraId="77860E47" w14:textId="77777777" w:rsidR="00254EC4" w:rsidRDefault="00254EC4" w:rsidP="00254EC4">
      <w:pPr>
        <w:spacing w:line="312" w:lineRule="auto"/>
        <w:ind w:leftChars="30" w:left="63" w:firstLineChars="200" w:firstLine="482"/>
        <w:rPr>
          <w:rFonts w:ascii="宋体" w:hAnsi="宋体"/>
          <w:b/>
          <w:sz w:val="24"/>
        </w:rPr>
      </w:pPr>
      <w:r>
        <w:rPr>
          <w:rFonts w:ascii="宋体" w:hAnsi="宋体" w:hint="eastAsia"/>
          <w:b/>
          <w:sz w:val="24"/>
        </w:rPr>
        <w:t>1</w:t>
      </w:r>
      <w:r>
        <w:rPr>
          <w:rFonts w:ascii="宋体" w:hAnsi="宋体"/>
          <w:b/>
          <w:sz w:val="24"/>
        </w:rPr>
        <w:t>3</w:t>
      </w:r>
      <w:r>
        <w:rPr>
          <w:rFonts w:ascii="宋体" w:hAnsi="宋体" w:hint="eastAsia"/>
          <w:b/>
          <w:sz w:val="24"/>
        </w:rPr>
        <w:t>、本产品可能投资永续债，届时将可能面临包括但不限于以下风险：</w:t>
      </w:r>
    </w:p>
    <w:p w14:paraId="6CDEBFB0" w14:textId="77777777" w:rsidR="00254EC4" w:rsidRDefault="00254EC4" w:rsidP="00254EC4">
      <w:pPr>
        <w:spacing w:line="312" w:lineRule="auto"/>
        <w:ind w:leftChars="30" w:left="63" w:firstLineChars="200" w:firstLine="482"/>
        <w:rPr>
          <w:rFonts w:ascii="宋体" w:hAnsi="宋体"/>
          <w:b/>
          <w:sz w:val="24"/>
        </w:rPr>
      </w:pPr>
      <w:r>
        <w:rPr>
          <w:rFonts w:ascii="宋体" w:hAnsi="宋体" w:hint="eastAsia"/>
          <w:b/>
          <w:sz w:val="24"/>
        </w:rPr>
        <w:t>（1）信用风险：由于永续债发行人长期偿债能力和信用状况发生变化，可能导致债券违约或评级下调。</w:t>
      </w:r>
    </w:p>
    <w:p w14:paraId="386CB38E" w14:textId="77777777" w:rsidR="00254EC4" w:rsidRDefault="00254EC4" w:rsidP="00254EC4">
      <w:pPr>
        <w:spacing w:line="312" w:lineRule="auto"/>
        <w:ind w:leftChars="30" w:left="63" w:firstLineChars="200" w:firstLine="482"/>
        <w:rPr>
          <w:rFonts w:ascii="宋体" w:hAnsi="宋体"/>
          <w:b/>
          <w:sz w:val="24"/>
        </w:rPr>
      </w:pPr>
      <w:r>
        <w:rPr>
          <w:rFonts w:ascii="宋体" w:hAnsi="宋体" w:hint="eastAsia"/>
          <w:b/>
          <w:sz w:val="24"/>
        </w:rPr>
        <w:t>（2）利率风险：永续债期限较长或无固定到期日，对利率变动较为敏感，利率上升时价格下跌幅度通常较大。</w:t>
      </w:r>
    </w:p>
    <w:p w14:paraId="3D3128BA" w14:textId="77777777" w:rsidR="00254EC4" w:rsidRPr="00684FAC" w:rsidRDefault="00254EC4" w:rsidP="00254EC4">
      <w:pPr>
        <w:spacing w:line="312" w:lineRule="auto"/>
        <w:ind w:leftChars="30" w:left="63" w:firstLineChars="200" w:firstLine="482"/>
        <w:rPr>
          <w:rFonts w:ascii="宋体" w:hAnsi="宋体"/>
          <w:b/>
          <w:sz w:val="24"/>
        </w:rPr>
      </w:pPr>
      <w:r w:rsidRPr="00684FAC">
        <w:rPr>
          <w:rFonts w:ascii="宋体" w:hAnsi="宋体" w:hint="eastAsia"/>
          <w:b/>
          <w:sz w:val="24"/>
        </w:rPr>
        <w:t>（</w:t>
      </w:r>
      <w:r w:rsidRPr="00684FAC">
        <w:rPr>
          <w:rFonts w:ascii="宋体" w:hAnsi="宋体"/>
          <w:b/>
          <w:sz w:val="24"/>
        </w:rPr>
        <w:t>3）</w:t>
      </w:r>
      <w:r w:rsidRPr="00684FAC">
        <w:rPr>
          <w:rFonts w:ascii="宋体" w:hAnsi="宋体" w:hint="eastAsia"/>
          <w:b/>
          <w:sz w:val="24"/>
        </w:rPr>
        <w:t>流动性风险：永续债二级市场交易可能不活跃，尤其在市场快速变化或信用风险抬升时，可能难以迅速变现或需折价出售。</w:t>
      </w:r>
    </w:p>
    <w:p w14:paraId="549187AB" w14:textId="77777777" w:rsidR="00254EC4" w:rsidRPr="00254EC4" w:rsidRDefault="00254EC4" w:rsidP="007F23CC">
      <w:pPr>
        <w:spacing w:line="312" w:lineRule="auto"/>
        <w:ind w:leftChars="30" w:left="63" w:firstLineChars="100" w:firstLine="240"/>
        <w:rPr>
          <w:rFonts w:ascii="宋体" w:hAnsi="宋体"/>
          <w:sz w:val="24"/>
        </w:rPr>
      </w:pPr>
    </w:p>
    <w:p w14:paraId="433AC564" w14:textId="77777777" w:rsidR="003E0304" w:rsidRPr="00693856" w:rsidRDefault="00193C46" w:rsidP="00F22E58">
      <w:pPr>
        <w:spacing w:line="312" w:lineRule="auto"/>
        <w:ind w:firstLineChars="200" w:firstLine="482"/>
        <w:rPr>
          <w:rFonts w:ascii="宋体" w:hAnsi="宋体"/>
          <w:b/>
          <w:sz w:val="24"/>
        </w:rPr>
      </w:pPr>
      <w:r w:rsidRPr="00693856">
        <w:rPr>
          <w:rFonts w:ascii="宋体" w:hAnsi="宋体" w:hint="eastAsia"/>
          <w:b/>
          <w:sz w:val="24"/>
        </w:rPr>
        <w:t>上述风险发生时，您的本金及收益可能遭受损失，在最不利情况下，您将损失全部的本金及收益，由此产生的风险及损失将由</w:t>
      </w:r>
      <w:r w:rsidRPr="00693856">
        <w:rPr>
          <w:rFonts w:ascii="宋体" w:hAnsi="宋体"/>
          <w:b/>
          <w:sz w:val="24"/>
        </w:rPr>
        <w:t>您</w:t>
      </w:r>
      <w:r w:rsidRPr="00693856">
        <w:rPr>
          <w:rFonts w:ascii="宋体" w:hAnsi="宋体" w:hint="eastAsia"/>
          <w:b/>
          <w:sz w:val="24"/>
        </w:rPr>
        <w:t>自行承担。</w:t>
      </w:r>
    </w:p>
    <w:p w14:paraId="40B36C0A" w14:textId="77777777" w:rsidR="003E0304" w:rsidRPr="00693856" w:rsidRDefault="003E0304">
      <w:pPr>
        <w:spacing w:line="312" w:lineRule="auto"/>
        <w:ind w:leftChars="30" w:left="63" w:firstLineChars="200" w:firstLine="480"/>
        <w:rPr>
          <w:rFonts w:ascii="宋体" w:hAnsi="宋体"/>
          <w:sz w:val="24"/>
        </w:rPr>
      </w:pPr>
    </w:p>
    <w:p w14:paraId="3E4485E3" w14:textId="77777777" w:rsidR="003E0304" w:rsidRPr="00693856" w:rsidRDefault="00193C46">
      <w:pPr>
        <w:spacing w:line="312" w:lineRule="auto"/>
        <w:ind w:leftChars="30" w:left="63" w:firstLineChars="200" w:firstLine="480"/>
        <w:rPr>
          <w:rFonts w:ascii="宋体" w:hAnsi="宋体"/>
          <w:sz w:val="24"/>
        </w:rPr>
      </w:pPr>
      <w:r w:rsidRPr="00693856">
        <w:rPr>
          <w:rFonts w:ascii="宋体" w:hAnsi="宋体" w:hint="eastAsia"/>
          <w:sz w:val="24"/>
        </w:rPr>
        <w:t>根据现行法律法规对于理财</w:t>
      </w:r>
      <w:r w:rsidRPr="00693856">
        <w:rPr>
          <w:rFonts w:ascii="宋体" w:hAnsi="宋体"/>
          <w:sz w:val="24"/>
        </w:rPr>
        <w:t>产品的分类</w:t>
      </w:r>
      <w:r w:rsidRPr="00693856">
        <w:rPr>
          <w:rFonts w:ascii="宋体" w:hAnsi="宋体" w:hint="eastAsia"/>
          <w:sz w:val="24"/>
        </w:rPr>
        <w:t>，您还需要了解以下信息：</w:t>
      </w:r>
    </w:p>
    <w:p w14:paraId="65D12F87" w14:textId="77777777" w:rsidR="003E0304" w:rsidRPr="00693856" w:rsidRDefault="00193C46">
      <w:pPr>
        <w:spacing w:line="312" w:lineRule="auto"/>
        <w:ind w:leftChars="30" w:left="63" w:firstLineChars="200" w:firstLine="482"/>
        <w:rPr>
          <w:rFonts w:ascii="宋体" w:hAnsi="宋体"/>
          <w:sz w:val="24"/>
        </w:rPr>
      </w:pPr>
      <w:r w:rsidRPr="00693856">
        <w:rPr>
          <w:rFonts w:ascii="宋体" w:hAnsi="宋体"/>
          <w:b/>
          <w:sz w:val="24"/>
        </w:rPr>
        <w:lastRenderedPageBreak/>
        <w:t>1、</w:t>
      </w:r>
      <w:r w:rsidRPr="00693856">
        <w:rPr>
          <w:rFonts w:ascii="宋体" w:hAnsi="宋体" w:hint="eastAsia"/>
          <w:b/>
          <w:sz w:val="24"/>
        </w:rPr>
        <w:t>根据募集方式的不同，理财产品分为公募理财产品和私募理财产品。</w:t>
      </w:r>
      <w:r w:rsidRPr="00693856">
        <w:rPr>
          <w:rFonts w:ascii="宋体" w:hAnsi="宋体" w:hint="eastAsia"/>
          <w:sz w:val="24"/>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14:paraId="2519349F" w14:textId="77777777" w:rsidR="003E0304" w:rsidRPr="00693856" w:rsidRDefault="00193C46">
      <w:pPr>
        <w:spacing w:line="312" w:lineRule="auto"/>
        <w:ind w:leftChars="30" w:left="63" w:firstLineChars="200" w:firstLine="480"/>
        <w:rPr>
          <w:rFonts w:ascii="宋体" w:hAnsi="宋体"/>
          <w:sz w:val="24"/>
        </w:rPr>
      </w:pPr>
      <w:r w:rsidRPr="00693856">
        <w:rPr>
          <w:rFonts w:ascii="宋体" w:hAnsi="宋体" w:hint="eastAsia"/>
          <w:sz w:val="24"/>
        </w:rPr>
        <w:t>（一）具有</w:t>
      </w:r>
      <w:r w:rsidRPr="00693856">
        <w:rPr>
          <w:rFonts w:ascii="宋体" w:hAnsi="宋体"/>
          <w:sz w:val="24"/>
        </w:rPr>
        <w:t>2年以上投资经历，且满足家庭金融净资产不低于300万元人民币，或者家庭金融资产不低于500万元人民币，或者近3年本人年均收入不低于40万元人民币；</w:t>
      </w:r>
    </w:p>
    <w:p w14:paraId="530484CA" w14:textId="77777777" w:rsidR="003E0304" w:rsidRPr="00693856" w:rsidRDefault="00193C46">
      <w:pPr>
        <w:spacing w:line="312" w:lineRule="auto"/>
        <w:ind w:leftChars="30" w:left="63" w:firstLineChars="200" w:firstLine="480"/>
        <w:rPr>
          <w:rFonts w:ascii="宋体" w:hAnsi="宋体"/>
          <w:sz w:val="24"/>
        </w:rPr>
      </w:pPr>
      <w:r w:rsidRPr="00693856">
        <w:rPr>
          <w:rFonts w:ascii="宋体" w:hAnsi="宋体" w:hint="eastAsia"/>
          <w:sz w:val="24"/>
        </w:rPr>
        <w:t>（二）最近</w:t>
      </w:r>
      <w:r w:rsidRPr="00693856">
        <w:rPr>
          <w:rFonts w:ascii="宋体" w:hAnsi="宋体"/>
          <w:sz w:val="24"/>
        </w:rPr>
        <w:t>1年末净资产不低于1000万元人民币的法人或者依法成立的其他组织；</w:t>
      </w:r>
    </w:p>
    <w:p w14:paraId="6F6708BB" w14:textId="77777777" w:rsidR="003E0304" w:rsidRPr="00693856" w:rsidRDefault="00193C46">
      <w:pPr>
        <w:spacing w:line="312" w:lineRule="auto"/>
        <w:ind w:leftChars="30" w:left="63" w:firstLineChars="200" w:firstLine="480"/>
        <w:rPr>
          <w:rFonts w:ascii="宋体" w:hAnsi="宋体"/>
          <w:sz w:val="24"/>
        </w:rPr>
      </w:pPr>
      <w:r w:rsidRPr="00693856">
        <w:rPr>
          <w:rFonts w:ascii="宋体" w:hAnsi="宋体" w:hint="eastAsia"/>
          <w:sz w:val="24"/>
        </w:rPr>
        <w:t>（三）国务院银行业监督管理机构规定的其他情形。</w:t>
      </w:r>
    </w:p>
    <w:p w14:paraId="5EC6D57C" w14:textId="77777777" w:rsidR="003E0304" w:rsidRPr="00693856" w:rsidRDefault="00193C46">
      <w:pPr>
        <w:spacing w:line="312" w:lineRule="auto"/>
        <w:ind w:leftChars="30" w:left="63" w:firstLineChars="200" w:firstLine="482"/>
        <w:rPr>
          <w:rFonts w:ascii="宋体" w:hAnsi="宋体"/>
          <w:sz w:val="24"/>
        </w:rPr>
      </w:pPr>
      <w:r w:rsidRPr="00693856">
        <w:rPr>
          <w:rFonts w:ascii="宋体" w:hAnsi="宋体"/>
          <w:b/>
          <w:sz w:val="24"/>
        </w:rPr>
        <w:t>2、</w:t>
      </w:r>
      <w:r w:rsidRPr="00693856">
        <w:rPr>
          <w:rFonts w:ascii="宋体" w:hAnsi="宋体" w:hint="eastAsia"/>
          <w:b/>
          <w:sz w:val="24"/>
        </w:rPr>
        <w:t>根据投资性质的不同，理财产品分为固定收益类理财产品、权益类理财产品、商品及金融衍生品类理财产品和混合类理财产品。</w:t>
      </w:r>
      <w:r w:rsidRPr="00693856">
        <w:rPr>
          <w:rFonts w:ascii="宋体" w:hAnsi="宋体" w:hint="eastAsia"/>
          <w:sz w:val="24"/>
        </w:rPr>
        <w:t>固定收益类理财产品投资于存款、债券等债权类资产的比例不低于</w:t>
      </w:r>
      <w:r w:rsidRPr="00693856">
        <w:rPr>
          <w:rFonts w:ascii="宋体" w:hAnsi="宋体"/>
          <w:sz w:val="24"/>
        </w:rPr>
        <w:t>80%；权益类理财产品投资于权益类资产的比例不低于80%；商品及金融衍生品类理财产品投资于商品及金融衍生品的比例不低于80%；混合类理财产品投资于债权类资产、权益类资产、商品及金融衍生品类资产且任</w:t>
      </w:r>
      <w:proofErr w:type="gramStart"/>
      <w:r w:rsidRPr="00693856">
        <w:rPr>
          <w:rFonts w:ascii="宋体" w:hAnsi="宋体" w:hint="eastAsia"/>
          <w:sz w:val="24"/>
        </w:rPr>
        <w:t>一</w:t>
      </w:r>
      <w:proofErr w:type="gramEnd"/>
      <w:r w:rsidRPr="00693856">
        <w:rPr>
          <w:rFonts w:ascii="宋体" w:hAnsi="宋体" w:hint="eastAsia"/>
          <w:sz w:val="24"/>
        </w:rPr>
        <w:t>资产的投资比例未达到前三类理财产品标准。</w:t>
      </w:r>
    </w:p>
    <w:p w14:paraId="0CF8D117" w14:textId="77777777" w:rsidR="003E0304" w:rsidRPr="00693856" w:rsidRDefault="00193C46">
      <w:pPr>
        <w:spacing w:line="312" w:lineRule="auto"/>
        <w:ind w:leftChars="30" w:left="63" w:firstLineChars="200" w:firstLine="482"/>
        <w:rPr>
          <w:rFonts w:ascii="宋体" w:hAnsi="宋体"/>
          <w:sz w:val="24"/>
        </w:rPr>
      </w:pPr>
      <w:r w:rsidRPr="00693856">
        <w:rPr>
          <w:rFonts w:ascii="宋体" w:hAnsi="宋体"/>
          <w:b/>
          <w:sz w:val="24"/>
        </w:rPr>
        <w:t>3、</w:t>
      </w:r>
      <w:r w:rsidRPr="00693856">
        <w:rPr>
          <w:rFonts w:ascii="宋体" w:hAnsi="宋体" w:hint="eastAsia"/>
          <w:b/>
          <w:sz w:val="24"/>
        </w:rPr>
        <w:t>根据运作方式的不同，将理财产品分为封闭式理财产品和开放式理财产品。</w:t>
      </w:r>
      <w:r w:rsidRPr="00693856">
        <w:rPr>
          <w:rFonts w:ascii="宋体" w:hAnsi="宋体" w:hint="eastAsia"/>
          <w:sz w:val="24"/>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14:paraId="407A0711" w14:textId="77777777" w:rsidR="003E0304" w:rsidRPr="00693856" w:rsidRDefault="003E0304">
      <w:pPr>
        <w:spacing w:line="312" w:lineRule="auto"/>
        <w:ind w:leftChars="30" w:left="63" w:firstLineChars="200" w:firstLine="480"/>
        <w:rPr>
          <w:rFonts w:ascii="宋体" w:hAnsi="宋体"/>
          <w:sz w:val="24"/>
        </w:rPr>
      </w:pPr>
    </w:p>
    <w:p w14:paraId="246DFB5B" w14:textId="77777777" w:rsidR="003E0304" w:rsidRPr="00693856" w:rsidRDefault="00193C46">
      <w:pPr>
        <w:spacing w:line="312" w:lineRule="auto"/>
        <w:ind w:leftChars="30" w:left="63" w:firstLineChars="200" w:firstLine="480"/>
        <w:rPr>
          <w:rFonts w:ascii="宋体" w:hAnsi="宋体"/>
          <w:sz w:val="24"/>
        </w:rPr>
      </w:pPr>
      <w:r w:rsidRPr="00693856">
        <w:rPr>
          <w:rFonts w:ascii="宋体" w:hAnsi="宋体" w:hint="eastAsia"/>
          <w:sz w:val="24"/>
        </w:rPr>
        <w:t>对于在本公司直销渠道购买的产品，产品评级以本公司的评级结果为准。对于在代理销售机构购买的产品，代理销售机构应当独立、审慎地对本理财产品进行销售评级，代理销售机构对产品的评级与本公司产品评级结果不一致的，代理销售机构应当采用对应较高风险等级的评级结果并予以披露，理财产品评级应当以代理销售机构最终披露的评级结果为准。</w:t>
      </w:r>
    </w:p>
    <w:p w14:paraId="2A50A648" w14:textId="2372834A" w:rsidR="003E0304" w:rsidRPr="00693856" w:rsidRDefault="00193C46" w:rsidP="00EB2D0B">
      <w:pPr>
        <w:spacing w:line="312" w:lineRule="auto"/>
        <w:ind w:leftChars="30" w:left="63" w:firstLineChars="200" w:firstLine="482"/>
        <w:rPr>
          <w:rFonts w:ascii="宋体" w:hAnsi="宋体"/>
          <w:sz w:val="24"/>
        </w:rPr>
      </w:pPr>
      <w:r w:rsidRPr="00EB2D0B">
        <w:rPr>
          <w:rFonts w:ascii="宋体" w:hAnsi="宋体" w:hint="eastAsia"/>
          <w:b/>
          <w:bCs/>
          <w:sz w:val="24"/>
        </w:rPr>
        <w:t>本产品为</w:t>
      </w:r>
      <w:r w:rsidR="007F23CC" w:rsidRPr="007F23CC">
        <w:rPr>
          <w:rFonts w:ascii="宋体" w:hAnsi="宋体" w:hint="eastAsia"/>
          <w:b/>
          <w:bCs/>
          <w:sz w:val="24"/>
        </w:rPr>
        <w:t>公</w:t>
      </w:r>
      <w:proofErr w:type="gramStart"/>
      <w:r w:rsidR="007F23CC" w:rsidRPr="007F23CC">
        <w:rPr>
          <w:rFonts w:ascii="宋体" w:hAnsi="宋体" w:hint="eastAsia"/>
          <w:b/>
          <w:bCs/>
          <w:sz w:val="24"/>
        </w:rPr>
        <w:t>募</w:t>
      </w:r>
      <w:proofErr w:type="gramEnd"/>
      <w:r w:rsidR="007F23CC" w:rsidRPr="007F23CC">
        <w:rPr>
          <w:rFonts w:ascii="宋体" w:hAnsi="宋体" w:hint="eastAsia"/>
          <w:b/>
          <w:bCs/>
          <w:sz w:val="24"/>
        </w:rPr>
        <w:t>固定收益类开放式理财</w:t>
      </w:r>
      <w:r w:rsidRPr="00EB2D0B">
        <w:rPr>
          <w:rFonts w:ascii="宋体" w:hAnsi="宋体"/>
          <w:b/>
          <w:bCs/>
          <w:sz w:val="24"/>
        </w:rPr>
        <w:t>，</w:t>
      </w:r>
      <w:r w:rsidR="007F23CC" w:rsidRPr="007F23CC">
        <w:rPr>
          <w:rFonts w:ascii="宋体" w:hAnsi="宋体" w:hint="eastAsia"/>
          <w:b/>
          <w:bCs/>
          <w:sz w:val="24"/>
        </w:rPr>
        <w:t>收益类型为非保本浮动收益,投资期限为无固定期限,本公司对本产品的产品风险评级为PR2,适合被本公司评为稳健型，平衡型，成长型，进取型的投资者购买</w:t>
      </w:r>
      <w:r w:rsidRPr="00EB2D0B">
        <w:rPr>
          <w:rFonts w:ascii="宋体" w:hAnsi="宋体" w:hint="eastAsia"/>
          <w:b/>
          <w:bCs/>
          <w:sz w:val="24"/>
        </w:rPr>
        <w:t>。</w:t>
      </w:r>
      <w:r w:rsidR="00043BBE" w:rsidRPr="00693856">
        <w:rPr>
          <w:rFonts w:ascii="宋体" w:hAnsi="宋体" w:hint="eastAsia"/>
          <w:sz w:val="24"/>
        </w:rPr>
        <w:t>该产品</w:t>
      </w:r>
      <w:r w:rsidRPr="00693856">
        <w:rPr>
          <w:rFonts w:ascii="宋体" w:hAnsi="宋体" w:hint="eastAsia"/>
          <w:sz w:val="24"/>
        </w:rPr>
        <w:t>通过代理销售机构购买的，</w:t>
      </w:r>
      <w:r w:rsidRPr="00693856">
        <w:rPr>
          <w:rFonts w:ascii="宋体" w:hAnsi="宋体"/>
          <w:sz w:val="24"/>
        </w:rPr>
        <w:t>产品风险评级</w:t>
      </w:r>
      <w:r w:rsidRPr="00693856">
        <w:rPr>
          <w:rFonts w:ascii="宋体" w:hAnsi="宋体" w:hint="eastAsia"/>
          <w:sz w:val="24"/>
        </w:rPr>
        <w:t>以代理销售机构最终披露的评级结果为准，投资者的风险承受能力等级以代理销售机构的评估结果为准。</w:t>
      </w:r>
    </w:p>
    <w:p w14:paraId="7307D1EC" w14:textId="77777777" w:rsidR="003E0304" w:rsidRPr="00693856" w:rsidRDefault="00193C46">
      <w:pPr>
        <w:spacing w:line="312" w:lineRule="auto"/>
        <w:ind w:leftChars="30" w:left="63" w:firstLineChars="200" w:firstLine="482"/>
        <w:rPr>
          <w:rFonts w:ascii="宋体" w:hAnsi="宋体"/>
          <w:b/>
          <w:sz w:val="24"/>
        </w:rPr>
      </w:pPr>
      <w:r w:rsidRPr="00693856">
        <w:rPr>
          <w:rFonts w:ascii="宋体" w:hAnsi="宋体" w:hint="eastAsia"/>
          <w:b/>
          <w:sz w:val="24"/>
        </w:rPr>
        <w:lastRenderedPageBreak/>
        <w:t>投资者的本金和收益可能会因市场变动而蒙受重大损失，投资者应充分认识投资风险，谨慎投资。最不利情况下，</w:t>
      </w:r>
      <w:r w:rsidRPr="00693856">
        <w:rPr>
          <w:rFonts w:ascii="宋体" w:hAnsi="宋体"/>
          <w:b/>
          <w:sz w:val="24"/>
        </w:rPr>
        <w:t>您将损失全部本金及收益。</w:t>
      </w:r>
    </w:p>
    <w:p w14:paraId="0E0D4CAA" w14:textId="77777777" w:rsidR="003E0304" w:rsidRPr="00693856" w:rsidRDefault="00193C46">
      <w:pPr>
        <w:spacing w:line="312" w:lineRule="auto"/>
        <w:ind w:leftChars="30" w:left="63" w:firstLineChars="200" w:firstLine="480"/>
        <w:rPr>
          <w:rFonts w:ascii="宋体" w:hAnsi="宋体"/>
          <w:sz w:val="24"/>
        </w:rPr>
      </w:pPr>
      <w:r w:rsidRPr="00693856">
        <w:rPr>
          <w:rFonts w:ascii="宋体" w:hAnsi="宋体" w:hint="eastAsia"/>
          <w:sz w:val="24"/>
        </w:rPr>
        <w:t>示例：如投资者购买本理财产品，本金为</w:t>
      </w:r>
      <w:r w:rsidRPr="00693856">
        <w:rPr>
          <w:rFonts w:ascii="宋体" w:hAnsi="宋体"/>
          <w:sz w:val="24"/>
        </w:rPr>
        <w:t>10,000.00元，在理财产品资产组合项下资产全部亏损的最不利情况下，理财产品10,000.00元本金将全部损失。</w:t>
      </w:r>
    </w:p>
    <w:p w14:paraId="2F42C809" w14:textId="77777777" w:rsidR="003E0304" w:rsidRPr="00693856" w:rsidRDefault="00193C46">
      <w:pPr>
        <w:spacing w:line="312" w:lineRule="auto"/>
        <w:ind w:leftChars="30" w:left="63" w:firstLineChars="200" w:firstLine="482"/>
        <w:rPr>
          <w:rFonts w:ascii="宋体" w:hAnsi="宋体"/>
          <w:b/>
          <w:sz w:val="24"/>
        </w:rPr>
      </w:pPr>
      <w:r w:rsidRPr="00693856">
        <w:rPr>
          <w:rFonts w:ascii="宋体" w:hAnsi="宋体" w:hint="eastAsia"/>
          <w:b/>
          <w:sz w:val="24"/>
        </w:rPr>
        <w:t>特别提示：</w:t>
      </w:r>
    </w:p>
    <w:p w14:paraId="3000D68A" w14:textId="77777777" w:rsidR="003E0304" w:rsidRPr="00693856" w:rsidRDefault="00193C46">
      <w:pPr>
        <w:spacing w:line="312" w:lineRule="auto"/>
        <w:ind w:leftChars="30" w:left="63" w:firstLineChars="200" w:firstLine="482"/>
        <w:rPr>
          <w:rFonts w:ascii="宋体" w:hAnsi="宋体"/>
          <w:b/>
          <w:sz w:val="24"/>
        </w:rPr>
      </w:pPr>
      <w:r w:rsidRPr="00693856">
        <w:rPr>
          <w:rFonts w:ascii="宋体" w:hAnsi="宋体" w:hint="eastAsia"/>
          <w:b/>
          <w:sz w:val="24"/>
        </w:rPr>
        <w:t>该产品通过代理销售机构销售的，理财产品评级应当以代理销售机构最终披露的评级结果为准，投资者的风险承受能力等级以代理销售机构的评估结果为准。</w:t>
      </w:r>
    </w:p>
    <w:p w14:paraId="2B333ABC" w14:textId="77777777" w:rsidR="003E0304" w:rsidRPr="00693856" w:rsidRDefault="003E0304">
      <w:pPr>
        <w:spacing w:line="312" w:lineRule="auto"/>
        <w:ind w:leftChars="30" w:left="63" w:firstLineChars="200" w:firstLine="482"/>
        <w:rPr>
          <w:rFonts w:ascii="宋体" w:hAnsi="宋体"/>
          <w:b/>
          <w:sz w:val="24"/>
        </w:rPr>
      </w:pPr>
    </w:p>
    <w:p w14:paraId="67610687" w14:textId="77777777" w:rsidR="003E0304" w:rsidRPr="00693856" w:rsidRDefault="003E0304">
      <w:pPr>
        <w:spacing w:line="312" w:lineRule="auto"/>
        <w:ind w:leftChars="30" w:left="63" w:firstLineChars="200" w:firstLine="480"/>
        <w:rPr>
          <w:rFonts w:ascii="宋体" w:hAnsi="宋体"/>
          <w:sz w:val="24"/>
        </w:rPr>
      </w:pPr>
    </w:p>
    <w:p w14:paraId="104446C8" w14:textId="77777777" w:rsidR="003E0304" w:rsidRPr="00693856" w:rsidRDefault="00193C46">
      <w:pPr>
        <w:spacing w:line="312" w:lineRule="auto"/>
        <w:ind w:leftChars="30" w:left="63" w:firstLineChars="200" w:firstLine="482"/>
        <w:rPr>
          <w:rFonts w:ascii="宋体" w:hAnsi="宋体"/>
          <w:b/>
          <w:sz w:val="24"/>
        </w:rPr>
      </w:pPr>
      <w:r w:rsidRPr="00693856">
        <w:rPr>
          <w:rFonts w:ascii="宋体" w:hAnsi="宋体" w:hint="eastAsia"/>
          <w:b/>
          <w:sz w:val="24"/>
        </w:rPr>
        <w:t>以下内容由投资者填写（如通过</w:t>
      </w:r>
      <w:r w:rsidR="001F58C3" w:rsidRPr="00693856">
        <w:rPr>
          <w:rFonts w:ascii="宋体" w:hAnsi="宋体" w:hint="eastAsia"/>
          <w:b/>
          <w:sz w:val="24"/>
        </w:rPr>
        <w:t>线</w:t>
      </w:r>
      <w:proofErr w:type="gramStart"/>
      <w:r w:rsidR="001F58C3" w:rsidRPr="00693856">
        <w:rPr>
          <w:rFonts w:ascii="宋体" w:hAnsi="宋体" w:hint="eastAsia"/>
          <w:b/>
          <w:sz w:val="24"/>
        </w:rPr>
        <w:t>上渠道</w:t>
      </w:r>
      <w:proofErr w:type="gramEnd"/>
      <w:r w:rsidRPr="00693856">
        <w:rPr>
          <w:rFonts w:ascii="宋体" w:hAnsi="宋体" w:hint="eastAsia"/>
          <w:b/>
          <w:sz w:val="24"/>
        </w:rPr>
        <w:t>购买，</w:t>
      </w:r>
      <w:r w:rsidRPr="00693856">
        <w:rPr>
          <w:rFonts w:ascii="宋体" w:hAnsi="宋体"/>
          <w:b/>
          <w:sz w:val="24"/>
        </w:rPr>
        <w:t>认</w:t>
      </w:r>
      <w:r w:rsidR="001F58C3" w:rsidRPr="00693856">
        <w:rPr>
          <w:rFonts w:ascii="宋体" w:hAnsi="宋体" w:hint="eastAsia"/>
          <w:b/>
          <w:sz w:val="24"/>
        </w:rPr>
        <w:t>（</w:t>
      </w:r>
      <w:r w:rsidR="001F58C3" w:rsidRPr="00693856">
        <w:rPr>
          <w:rFonts w:ascii="宋体" w:hAnsi="宋体"/>
          <w:b/>
          <w:sz w:val="24"/>
        </w:rPr>
        <w:t>申</w:t>
      </w:r>
      <w:r w:rsidR="001F58C3" w:rsidRPr="00693856">
        <w:rPr>
          <w:rFonts w:ascii="宋体" w:hAnsi="宋体" w:hint="eastAsia"/>
          <w:b/>
          <w:sz w:val="24"/>
        </w:rPr>
        <w:t>）</w:t>
      </w:r>
      <w:r w:rsidRPr="00693856">
        <w:rPr>
          <w:rFonts w:ascii="宋体" w:hAnsi="宋体"/>
          <w:b/>
          <w:sz w:val="24"/>
        </w:rPr>
        <w:t>购</w:t>
      </w:r>
      <w:r w:rsidRPr="00693856">
        <w:rPr>
          <w:rFonts w:ascii="宋体" w:hAnsi="宋体" w:hint="eastAsia"/>
          <w:b/>
          <w:sz w:val="24"/>
        </w:rPr>
        <w:t>确认</w:t>
      </w:r>
      <w:r w:rsidRPr="00693856">
        <w:rPr>
          <w:rFonts w:ascii="宋体" w:hAnsi="宋体"/>
          <w:b/>
          <w:sz w:val="24"/>
        </w:rPr>
        <w:t>即视为</w:t>
      </w:r>
      <w:r w:rsidRPr="00693856">
        <w:rPr>
          <w:rFonts w:ascii="宋体" w:hAnsi="宋体" w:hint="eastAsia"/>
          <w:b/>
          <w:sz w:val="24"/>
        </w:rPr>
        <w:t>您同意自身</w:t>
      </w:r>
      <w:r w:rsidRPr="00693856">
        <w:rPr>
          <w:rFonts w:ascii="宋体" w:hAnsi="宋体"/>
          <w:b/>
          <w:sz w:val="24"/>
        </w:rPr>
        <w:t>风险</w:t>
      </w:r>
      <w:r w:rsidRPr="00693856">
        <w:rPr>
          <w:rFonts w:ascii="宋体" w:hAnsi="宋体" w:hint="eastAsia"/>
          <w:b/>
          <w:sz w:val="24"/>
        </w:rPr>
        <w:t>承受</w:t>
      </w:r>
      <w:r w:rsidRPr="00693856">
        <w:rPr>
          <w:rFonts w:ascii="宋体" w:hAnsi="宋体"/>
          <w:b/>
          <w:sz w:val="24"/>
        </w:rPr>
        <w:t>能力评级并确认</w:t>
      </w:r>
      <w:r w:rsidRPr="00693856">
        <w:rPr>
          <w:rFonts w:ascii="宋体" w:hAnsi="宋体" w:hint="eastAsia"/>
          <w:b/>
          <w:sz w:val="24"/>
        </w:rPr>
        <w:t>风险</w:t>
      </w:r>
      <w:r w:rsidRPr="00693856">
        <w:rPr>
          <w:rFonts w:ascii="宋体" w:hAnsi="宋体"/>
          <w:b/>
          <w:sz w:val="24"/>
        </w:rPr>
        <w:t>揭示内容，愿意承担投资风险</w:t>
      </w:r>
      <w:r w:rsidRPr="00693856">
        <w:rPr>
          <w:rFonts w:ascii="宋体" w:hAnsi="宋体" w:hint="eastAsia"/>
          <w:b/>
          <w:sz w:val="24"/>
        </w:rPr>
        <w:t>，该等确认与书面</w:t>
      </w:r>
      <w:r w:rsidRPr="00693856">
        <w:rPr>
          <w:rFonts w:ascii="宋体" w:hAnsi="宋体"/>
          <w:b/>
          <w:sz w:val="24"/>
        </w:rPr>
        <w:t>签署具有同等</w:t>
      </w:r>
      <w:r w:rsidRPr="00693856">
        <w:rPr>
          <w:rFonts w:ascii="宋体" w:hAnsi="宋体" w:hint="eastAsia"/>
          <w:b/>
          <w:sz w:val="24"/>
        </w:rPr>
        <w:t>效力，无需</w:t>
      </w:r>
      <w:r w:rsidRPr="00693856">
        <w:rPr>
          <w:rFonts w:ascii="宋体" w:hAnsi="宋体"/>
          <w:b/>
          <w:sz w:val="24"/>
        </w:rPr>
        <w:t>另行签署纸质文件</w:t>
      </w:r>
      <w:r w:rsidRPr="00693856">
        <w:rPr>
          <w:rFonts w:ascii="宋体" w:hAnsi="宋体" w:hint="eastAsia"/>
          <w:b/>
          <w:sz w:val="24"/>
        </w:rPr>
        <w:t>）：</w:t>
      </w:r>
    </w:p>
    <w:p w14:paraId="265C230D" w14:textId="7F9A38A9" w:rsidR="003E0304" w:rsidRPr="00693856" w:rsidRDefault="00193C46">
      <w:pPr>
        <w:spacing w:line="312" w:lineRule="auto"/>
        <w:ind w:leftChars="30" w:left="63" w:firstLineChars="200" w:firstLine="480"/>
        <w:rPr>
          <w:rFonts w:ascii="宋体" w:hAnsi="宋体"/>
          <w:sz w:val="24"/>
        </w:rPr>
      </w:pPr>
      <w:r w:rsidRPr="00693856">
        <w:rPr>
          <w:rFonts w:ascii="宋体" w:hAnsi="宋体"/>
          <w:sz w:val="24"/>
        </w:rPr>
        <w:t>1、本人风险承受能力评级结果为（机构投资者无需填写）</w:t>
      </w:r>
      <w:r w:rsidRPr="00693856">
        <w:rPr>
          <w:rFonts w:ascii="宋体" w:hAnsi="宋体" w:hint="eastAsia"/>
          <w:sz w:val="24"/>
        </w:rPr>
        <w:t>：</w:t>
      </w:r>
    </w:p>
    <w:p w14:paraId="37B96CA2" w14:textId="661047E6" w:rsidR="003E0304" w:rsidRPr="00693856" w:rsidRDefault="00193C46">
      <w:pPr>
        <w:spacing w:line="312" w:lineRule="auto"/>
        <w:ind w:leftChars="30" w:left="63" w:firstLineChars="200" w:firstLine="480"/>
        <w:rPr>
          <w:rFonts w:ascii="宋体" w:hAnsi="宋体"/>
          <w:sz w:val="24"/>
        </w:rPr>
      </w:pPr>
      <w:r w:rsidRPr="00693856">
        <w:rPr>
          <w:rFonts w:ascii="宋体" w:hAnsi="宋体" w:hint="eastAsia"/>
          <w:sz w:val="24"/>
        </w:rPr>
        <w:t>（</w:t>
      </w:r>
      <w:r w:rsidRPr="00693856">
        <w:rPr>
          <w:rFonts w:ascii="宋体" w:hAnsi="宋体"/>
          <w:sz w:val="24"/>
        </w:rPr>
        <w:t>1）________（</w:t>
      </w:r>
      <w:proofErr w:type="gramStart"/>
      <w:r w:rsidRPr="00693856">
        <w:rPr>
          <w:rFonts w:ascii="宋体" w:hAnsi="宋体"/>
          <w:sz w:val="24"/>
        </w:rPr>
        <w:t>通过宁银理财</w:t>
      </w:r>
      <w:proofErr w:type="gramEnd"/>
      <w:r w:rsidRPr="00693856">
        <w:rPr>
          <w:rFonts w:ascii="宋体" w:hAnsi="宋体"/>
          <w:sz w:val="24"/>
        </w:rPr>
        <w:t>直销</w:t>
      </w:r>
      <w:r w:rsidRPr="00693856">
        <w:rPr>
          <w:rFonts w:ascii="宋体" w:hAnsi="宋体" w:hint="eastAsia"/>
          <w:sz w:val="24"/>
        </w:rPr>
        <w:t>渠道购买</w:t>
      </w:r>
      <w:r w:rsidRPr="00693856">
        <w:rPr>
          <w:rFonts w:ascii="宋体" w:hAnsi="宋体"/>
          <w:sz w:val="24"/>
        </w:rPr>
        <w:t>的</w:t>
      </w:r>
      <w:proofErr w:type="gramStart"/>
      <w:r w:rsidRPr="00693856">
        <w:rPr>
          <w:rFonts w:ascii="宋体" w:hAnsi="宋体" w:hint="eastAsia"/>
          <w:sz w:val="24"/>
        </w:rPr>
        <w:t>非</w:t>
      </w:r>
      <w:r w:rsidRPr="00693856">
        <w:rPr>
          <w:rFonts w:ascii="宋体" w:hAnsi="宋体"/>
          <w:sz w:val="24"/>
        </w:rPr>
        <w:t>机构</w:t>
      </w:r>
      <w:proofErr w:type="gramEnd"/>
      <w:r w:rsidRPr="00693856">
        <w:rPr>
          <w:rFonts w:ascii="宋体" w:hAnsi="宋体"/>
          <w:sz w:val="24"/>
        </w:rPr>
        <w:t>投资者填写）</w:t>
      </w:r>
      <w:r w:rsidRPr="00693856">
        <w:rPr>
          <w:rFonts w:ascii="宋体" w:hAnsi="宋体" w:hint="eastAsia"/>
          <w:sz w:val="24"/>
        </w:rPr>
        <w:t>，</w:t>
      </w:r>
      <w:r w:rsidRPr="00693856">
        <w:rPr>
          <w:rFonts w:ascii="宋体" w:hAnsi="宋体"/>
          <w:sz w:val="24"/>
        </w:rPr>
        <w:t>可购买与本人</w:t>
      </w:r>
      <w:r w:rsidRPr="00693856">
        <w:rPr>
          <w:rFonts w:ascii="宋体" w:hAnsi="宋体" w:hint="eastAsia"/>
          <w:sz w:val="24"/>
        </w:rPr>
        <w:t>风险级别</w:t>
      </w:r>
      <w:r w:rsidRPr="00693856">
        <w:rPr>
          <w:rFonts w:ascii="宋体" w:hAnsi="宋体"/>
          <w:sz w:val="24"/>
        </w:rPr>
        <w:t>相匹配的</w:t>
      </w:r>
      <w:r w:rsidRPr="00693856">
        <w:rPr>
          <w:rFonts w:ascii="宋体" w:hAnsi="宋体" w:hint="eastAsia"/>
          <w:sz w:val="24"/>
        </w:rPr>
        <w:t>理财</w:t>
      </w:r>
      <w:r w:rsidRPr="00693856">
        <w:rPr>
          <w:rFonts w:ascii="宋体" w:hAnsi="宋体"/>
          <w:sz w:val="24"/>
        </w:rPr>
        <w:t>产品</w:t>
      </w:r>
      <w:r w:rsidRPr="00693856">
        <w:rPr>
          <w:rFonts w:ascii="宋体" w:hAnsi="宋体" w:hint="eastAsia"/>
          <w:sz w:val="24"/>
        </w:rPr>
        <w:t>，</w:t>
      </w:r>
      <w:r w:rsidRPr="00693856">
        <w:rPr>
          <w:rFonts w:ascii="宋体" w:hAnsi="宋体"/>
          <w:sz w:val="24"/>
        </w:rPr>
        <w:t>具体</w:t>
      </w:r>
      <w:r w:rsidRPr="00693856">
        <w:rPr>
          <w:rFonts w:ascii="宋体" w:hAnsi="宋体" w:hint="eastAsia"/>
          <w:sz w:val="24"/>
        </w:rPr>
        <w:t>匹配</w:t>
      </w:r>
      <w:r w:rsidRPr="00693856">
        <w:rPr>
          <w:rFonts w:ascii="宋体" w:hAnsi="宋体"/>
          <w:sz w:val="24"/>
        </w:rPr>
        <w:t>情况见</w:t>
      </w:r>
      <w:r w:rsidRPr="00693856">
        <w:rPr>
          <w:rFonts w:ascii="宋体" w:hAnsi="宋体" w:hint="eastAsia"/>
          <w:sz w:val="24"/>
        </w:rPr>
        <w:t>《投资者权益须知</w:t>
      </w:r>
      <w:r w:rsidRPr="00693856">
        <w:rPr>
          <w:rFonts w:ascii="宋体" w:hAnsi="宋体"/>
          <w:sz w:val="24"/>
        </w:rPr>
        <w:t>》</w:t>
      </w:r>
      <w:r w:rsidRPr="00693856">
        <w:rPr>
          <w:rFonts w:ascii="宋体" w:hAnsi="宋体" w:hint="eastAsia"/>
          <w:sz w:val="24"/>
        </w:rPr>
        <w:t>。</w:t>
      </w:r>
    </w:p>
    <w:p w14:paraId="5F89648E" w14:textId="3BD38D35" w:rsidR="003E0304" w:rsidRPr="00693856" w:rsidRDefault="00193C46">
      <w:pPr>
        <w:spacing w:line="312" w:lineRule="auto"/>
        <w:ind w:leftChars="30" w:left="63" w:firstLineChars="200" w:firstLine="480"/>
        <w:rPr>
          <w:rFonts w:ascii="宋体" w:hAnsi="宋体"/>
          <w:sz w:val="24"/>
        </w:rPr>
      </w:pPr>
      <w:r w:rsidRPr="00693856">
        <w:rPr>
          <w:rFonts w:ascii="宋体" w:hAnsi="宋体" w:hint="eastAsia"/>
          <w:sz w:val="24"/>
        </w:rPr>
        <w:t>（</w:t>
      </w:r>
      <w:r w:rsidRPr="00693856">
        <w:rPr>
          <w:rFonts w:ascii="宋体" w:hAnsi="宋体"/>
          <w:sz w:val="24"/>
        </w:rPr>
        <w:t>2）________（通过代理销售机构</w:t>
      </w:r>
      <w:r w:rsidRPr="00693856">
        <w:rPr>
          <w:rFonts w:ascii="宋体" w:hAnsi="宋体" w:hint="eastAsia"/>
          <w:sz w:val="24"/>
        </w:rPr>
        <w:t>购买</w:t>
      </w:r>
      <w:r w:rsidRPr="00693856">
        <w:rPr>
          <w:rFonts w:ascii="宋体" w:hAnsi="宋体"/>
          <w:sz w:val="24"/>
        </w:rPr>
        <w:t>的</w:t>
      </w:r>
      <w:proofErr w:type="gramStart"/>
      <w:r w:rsidRPr="00693856">
        <w:rPr>
          <w:rFonts w:ascii="宋体" w:hAnsi="宋体" w:hint="eastAsia"/>
          <w:sz w:val="24"/>
        </w:rPr>
        <w:t>非</w:t>
      </w:r>
      <w:r w:rsidRPr="00693856">
        <w:rPr>
          <w:rFonts w:ascii="宋体" w:hAnsi="宋体"/>
          <w:sz w:val="24"/>
        </w:rPr>
        <w:t>机构</w:t>
      </w:r>
      <w:proofErr w:type="gramEnd"/>
      <w:r w:rsidRPr="00693856">
        <w:rPr>
          <w:rFonts w:ascii="宋体" w:hAnsi="宋体"/>
          <w:sz w:val="24"/>
        </w:rPr>
        <w:t>投资者填写）</w:t>
      </w:r>
      <w:r w:rsidRPr="00693856">
        <w:rPr>
          <w:rFonts w:ascii="宋体" w:hAnsi="宋体" w:hint="eastAsia"/>
          <w:sz w:val="24"/>
        </w:rPr>
        <w:t>，</w:t>
      </w:r>
      <w:r w:rsidRPr="00693856">
        <w:rPr>
          <w:rFonts w:ascii="宋体" w:hAnsi="宋体"/>
          <w:sz w:val="24"/>
        </w:rPr>
        <w:t>可购买</w:t>
      </w:r>
      <w:r w:rsidRPr="00693856">
        <w:rPr>
          <w:rFonts w:ascii="宋体" w:hAnsi="宋体" w:hint="eastAsia"/>
          <w:sz w:val="24"/>
        </w:rPr>
        <w:t>与</w:t>
      </w:r>
      <w:r w:rsidRPr="00693856">
        <w:rPr>
          <w:rFonts w:ascii="宋体" w:hAnsi="宋体"/>
          <w:sz w:val="24"/>
        </w:rPr>
        <w:t>本人风险</w:t>
      </w:r>
      <w:r w:rsidRPr="00693856">
        <w:rPr>
          <w:rFonts w:ascii="宋体" w:hAnsi="宋体" w:hint="eastAsia"/>
          <w:sz w:val="24"/>
        </w:rPr>
        <w:t>级别</w:t>
      </w:r>
      <w:r w:rsidRPr="00693856">
        <w:rPr>
          <w:rFonts w:ascii="宋体" w:hAnsi="宋体"/>
          <w:sz w:val="24"/>
        </w:rPr>
        <w:t>相匹配的理财产品，具体</w:t>
      </w:r>
      <w:r w:rsidRPr="00693856">
        <w:rPr>
          <w:rFonts w:ascii="宋体" w:hAnsi="宋体" w:hint="eastAsia"/>
          <w:sz w:val="24"/>
        </w:rPr>
        <w:t>匹配</w:t>
      </w:r>
      <w:r w:rsidRPr="00693856">
        <w:rPr>
          <w:rFonts w:ascii="宋体" w:hAnsi="宋体"/>
          <w:sz w:val="24"/>
        </w:rPr>
        <w:t>情况从</w:t>
      </w:r>
      <w:r w:rsidRPr="00693856">
        <w:rPr>
          <w:rFonts w:ascii="宋体" w:hAnsi="宋体" w:hint="eastAsia"/>
          <w:sz w:val="24"/>
        </w:rPr>
        <w:t>代理销售机构对理财产品风险水平及投资者风险承受能力评估</w:t>
      </w:r>
      <w:r w:rsidRPr="00693856">
        <w:rPr>
          <w:rFonts w:ascii="宋体" w:hAnsi="宋体"/>
          <w:sz w:val="24"/>
        </w:rPr>
        <w:t>。</w:t>
      </w:r>
    </w:p>
    <w:p w14:paraId="34E39665" w14:textId="77777777" w:rsidR="003E0304" w:rsidRPr="00693856" w:rsidRDefault="00193C46">
      <w:pPr>
        <w:spacing w:line="312" w:lineRule="auto"/>
        <w:ind w:leftChars="30" w:left="63" w:firstLineChars="200" w:firstLine="480"/>
        <w:rPr>
          <w:rFonts w:ascii="宋体" w:hAnsi="宋体"/>
          <w:sz w:val="24"/>
        </w:rPr>
      </w:pPr>
      <w:r w:rsidRPr="00693856">
        <w:rPr>
          <w:rFonts w:ascii="宋体" w:hAnsi="宋体"/>
          <w:sz w:val="24"/>
        </w:rPr>
        <w:t>2、本人/本机构已经阅读风险揭示书，愿意承担投资风险（在下方横线处抄写本句内容）。</w:t>
      </w:r>
    </w:p>
    <w:p w14:paraId="1A0D6F5E" w14:textId="77777777" w:rsidR="003E0304" w:rsidRPr="00693856" w:rsidRDefault="00193C46">
      <w:pPr>
        <w:spacing w:line="312" w:lineRule="auto"/>
        <w:ind w:leftChars="30" w:left="63" w:firstLineChars="200" w:firstLine="480"/>
        <w:rPr>
          <w:rFonts w:ascii="宋体" w:hAnsi="宋体"/>
          <w:sz w:val="24"/>
        </w:rPr>
      </w:pPr>
      <w:r w:rsidRPr="00693856">
        <w:rPr>
          <w:rFonts w:ascii="宋体" w:hAnsi="宋体"/>
          <w:sz w:val="24"/>
        </w:rPr>
        <w:t>______</w:t>
      </w:r>
      <w:r w:rsidRPr="00693856">
        <w:rPr>
          <w:rFonts w:ascii="宋体" w:hAnsi="宋体"/>
          <w:sz w:val="24"/>
          <w:u w:val="single"/>
        </w:rPr>
        <w:t xml:space="preserve">______           </w:t>
      </w:r>
      <w:r w:rsidRPr="00693856">
        <w:rPr>
          <w:rFonts w:ascii="宋体" w:hAnsi="宋体"/>
          <w:sz w:val="24"/>
        </w:rPr>
        <w:t>________________________________________</w:t>
      </w:r>
    </w:p>
    <w:p w14:paraId="1076385A" w14:textId="77777777" w:rsidR="003E0304" w:rsidRPr="00693856" w:rsidRDefault="003E0304">
      <w:pPr>
        <w:spacing w:line="312" w:lineRule="auto"/>
        <w:ind w:leftChars="30" w:left="63"/>
        <w:rPr>
          <w:rFonts w:ascii="宋体" w:hAnsi="宋体" w:cs="宋体"/>
          <w:b/>
          <w:bCs/>
          <w:kern w:val="0"/>
          <w:sz w:val="24"/>
        </w:rPr>
      </w:pPr>
    </w:p>
    <w:p w14:paraId="51B96511" w14:textId="1E5411D7" w:rsidR="004958A9" w:rsidRPr="004958A9" w:rsidRDefault="004958A9">
      <w:pPr>
        <w:spacing w:line="312" w:lineRule="auto"/>
        <w:ind w:leftChars="30" w:left="63"/>
        <w:jc w:val="left"/>
        <w:rPr>
          <w:rFonts w:ascii="宋体" w:hAnsi="宋体" w:cs="宋体"/>
          <w:b/>
          <w:bCs/>
          <w:kern w:val="0"/>
          <w:sz w:val="24"/>
        </w:rPr>
      </w:pPr>
      <w:r>
        <w:rPr>
          <w:rFonts w:ascii="宋体" w:hAnsi="宋体" w:cs="宋体" w:hint="eastAsia"/>
          <w:b/>
          <w:bCs/>
          <w:kern w:val="0"/>
          <w:sz w:val="24"/>
        </w:rPr>
        <w:t>（自然人签署适用）</w:t>
      </w:r>
    </w:p>
    <w:p w14:paraId="225C87F3" w14:textId="5B29128C" w:rsidR="003E0304" w:rsidRPr="00693856" w:rsidRDefault="00193C46">
      <w:pPr>
        <w:spacing w:line="312" w:lineRule="auto"/>
        <w:ind w:leftChars="30" w:left="63"/>
        <w:jc w:val="left"/>
        <w:rPr>
          <w:rFonts w:ascii="宋体" w:hAnsi="宋体" w:cs="宋体"/>
          <w:b/>
          <w:bCs/>
          <w:kern w:val="0"/>
          <w:sz w:val="24"/>
        </w:rPr>
      </w:pPr>
      <w:r w:rsidRPr="00693856">
        <w:rPr>
          <w:rFonts w:ascii="宋体" w:hAnsi="宋体" w:cs="宋体" w:hint="eastAsia"/>
          <w:b/>
          <w:bCs/>
          <w:kern w:val="0"/>
          <w:sz w:val="24"/>
        </w:rPr>
        <w:t>投资者签字</w:t>
      </w:r>
      <w:r w:rsidRPr="00693856">
        <w:rPr>
          <w:rFonts w:ascii="宋体" w:hAnsi="宋体" w:cs="宋体"/>
          <w:b/>
          <w:bCs/>
          <w:kern w:val="0"/>
          <w:sz w:val="24"/>
        </w:rPr>
        <w:t xml:space="preserve">   ____________</w:t>
      </w:r>
    </w:p>
    <w:p w14:paraId="52D8320B" w14:textId="77777777" w:rsidR="003E0304" w:rsidRPr="00693856" w:rsidRDefault="003E0304">
      <w:pPr>
        <w:spacing w:line="312" w:lineRule="auto"/>
        <w:ind w:leftChars="30" w:left="63"/>
        <w:jc w:val="left"/>
        <w:rPr>
          <w:rFonts w:ascii="宋体" w:hAnsi="宋体" w:cs="宋体"/>
          <w:b/>
          <w:bCs/>
          <w:kern w:val="0"/>
          <w:sz w:val="24"/>
        </w:rPr>
      </w:pPr>
    </w:p>
    <w:p w14:paraId="4B04B5C0" w14:textId="612C2987" w:rsidR="003E0304" w:rsidRPr="00693856" w:rsidRDefault="00193C46">
      <w:pPr>
        <w:spacing w:line="312" w:lineRule="auto"/>
        <w:ind w:leftChars="30" w:left="63"/>
        <w:jc w:val="left"/>
        <w:rPr>
          <w:rFonts w:ascii="宋体" w:hAnsi="宋体" w:cs="宋体"/>
          <w:b/>
          <w:bCs/>
          <w:kern w:val="0"/>
          <w:sz w:val="24"/>
        </w:rPr>
      </w:pPr>
      <w:r w:rsidRPr="00693856">
        <w:rPr>
          <w:rFonts w:ascii="宋体" w:hAnsi="宋体" w:cs="宋体" w:hint="eastAsia"/>
          <w:b/>
          <w:bCs/>
          <w:kern w:val="0"/>
          <w:sz w:val="24"/>
        </w:rPr>
        <w:t>（</w:t>
      </w:r>
      <w:r w:rsidRPr="00693856">
        <w:rPr>
          <w:rFonts w:ascii="宋体" w:hAnsi="宋体" w:cs="宋体"/>
          <w:b/>
          <w:bCs/>
          <w:kern w:val="0"/>
          <w:sz w:val="24"/>
        </w:rPr>
        <w:t>机构投资者</w:t>
      </w:r>
      <w:r w:rsidR="004958A9">
        <w:rPr>
          <w:rFonts w:ascii="宋体" w:hAnsi="宋体" w:cs="宋体" w:hint="eastAsia"/>
          <w:b/>
          <w:bCs/>
          <w:kern w:val="0"/>
          <w:sz w:val="24"/>
        </w:rPr>
        <w:t>签署适用</w:t>
      </w:r>
      <w:r w:rsidRPr="00693856">
        <w:rPr>
          <w:rFonts w:ascii="宋体" w:hAnsi="宋体" w:cs="宋体"/>
          <w:b/>
          <w:bCs/>
          <w:kern w:val="0"/>
          <w:sz w:val="24"/>
        </w:rPr>
        <w:t>）</w:t>
      </w:r>
    </w:p>
    <w:p w14:paraId="224C6A89" w14:textId="77777777" w:rsidR="004958A9" w:rsidRPr="004958A9" w:rsidRDefault="004958A9" w:rsidP="004958A9">
      <w:pPr>
        <w:spacing w:line="312" w:lineRule="auto"/>
        <w:ind w:leftChars="30" w:left="63"/>
        <w:jc w:val="left"/>
        <w:rPr>
          <w:rFonts w:ascii="宋体" w:hAnsi="宋体" w:cs="宋体"/>
          <w:b/>
          <w:bCs/>
          <w:kern w:val="0"/>
          <w:sz w:val="24"/>
        </w:rPr>
      </w:pPr>
      <w:r w:rsidRPr="004958A9">
        <w:rPr>
          <w:rFonts w:ascii="宋体" w:hAnsi="宋体" w:cs="宋体" w:hint="eastAsia"/>
          <w:b/>
          <w:bCs/>
          <w:kern w:val="0"/>
          <w:sz w:val="24"/>
        </w:rPr>
        <w:t>公章（或经公章授权的其他有效印鉴）：</w:t>
      </w:r>
    </w:p>
    <w:p w14:paraId="0EBD53DB" w14:textId="689FD440" w:rsidR="003E0304" w:rsidRDefault="004958A9" w:rsidP="004958A9">
      <w:pPr>
        <w:spacing w:line="312" w:lineRule="auto"/>
        <w:ind w:leftChars="30" w:left="63"/>
        <w:jc w:val="left"/>
        <w:rPr>
          <w:rFonts w:ascii="宋体" w:hAnsi="宋体" w:cs="宋体"/>
          <w:b/>
          <w:bCs/>
          <w:kern w:val="0"/>
          <w:sz w:val="24"/>
        </w:rPr>
      </w:pPr>
      <w:r w:rsidRPr="004958A9">
        <w:rPr>
          <w:rFonts w:ascii="宋体" w:hAnsi="宋体" w:cs="宋体" w:hint="eastAsia"/>
          <w:b/>
          <w:bCs/>
          <w:kern w:val="0"/>
          <w:sz w:val="24"/>
        </w:rPr>
        <w:t>法定代表人（负责人）或授权代理人签字/签章：</w:t>
      </w:r>
    </w:p>
    <w:p w14:paraId="5D92BDC8" w14:textId="6EBFFBA9" w:rsidR="004958A9" w:rsidRDefault="004958A9">
      <w:pPr>
        <w:spacing w:line="312" w:lineRule="auto"/>
        <w:ind w:leftChars="30" w:left="63"/>
        <w:jc w:val="left"/>
        <w:rPr>
          <w:rFonts w:ascii="宋体" w:hAnsi="宋体" w:cs="宋体"/>
          <w:b/>
          <w:bCs/>
          <w:kern w:val="0"/>
          <w:sz w:val="24"/>
        </w:rPr>
      </w:pPr>
    </w:p>
    <w:p w14:paraId="5626782E" w14:textId="77777777" w:rsidR="004958A9" w:rsidRPr="00693856" w:rsidRDefault="004958A9">
      <w:pPr>
        <w:spacing w:line="312" w:lineRule="auto"/>
        <w:ind w:leftChars="30" w:left="63"/>
        <w:jc w:val="left"/>
        <w:rPr>
          <w:rFonts w:ascii="宋体" w:hAnsi="宋体" w:cs="宋体"/>
          <w:b/>
          <w:bCs/>
          <w:kern w:val="0"/>
          <w:sz w:val="24"/>
        </w:rPr>
      </w:pPr>
    </w:p>
    <w:p w14:paraId="1046A884" w14:textId="77777777" w:rsidR="003E0304" w:rsidRDefault="00193C46">
      <w:pPr>
        <w:spacing w:line="312" w:lineRule="auto"/>
        <w:ind w:leftChars="30" w:left="63"/>
        <w:jc w:val="left"/>
        <w:rPr>
          <w:rFonts w:ascii="宋体" w:hAnsi="宋体"/>
          <w:sz w:val="24"/>
        </w:rPr>
      </w:pPr>
      <w:r w:rsidRPr="00693856">
        <w:rPr>
          <w:rFonts w:ascii="宋体" w:hAnsi="宋体" w:cs="宋体" w:hint="eastAsia"/>
          <w:b/>
          <w:bCs/>
          <w:kern w:val="0"/>
          <w:sz w:val="24"/>
        </w:rPr>
        <w:t>日期</w:t>
      </w:r>
      <w:r w:rsidRPr="00693856">
        <w:rPr>
          <w:rFonts w:ascii="宋体" w:hAnsi="宋体" w:cs="宋体"/>
          <w:b/>
          <w:bCs/>
          <w:kern w:val="0"/>
          <w:sz w:val="24"/>
        </w:rPr>
        <w:t xml:space="preserve">         ____________</w:t>
      </w:r>
      <w:bookmarkStart w:id="0" w:name="_GoBack"/>
      <w:bookmarkEnd w:id="0"/>
    </w:p>
    <w:sectPr w:rsidR="003E0304" w:rsidSect="00A46607">
      <w:footerReference w:type="default" r:id="rId8"/>
      <w:pgSz w:w="11906" w:h="16838"/>
      <w:pgMar w:top="1440" w:right="1800" w:bottom="1440" w:left="1800"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F58D317" w16cex:dateUtc="2024-09-08T12: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4FF2F2D" w16cid:durableId="0F58D31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B45240" w14:textId="77777777" w:rsidR="00480123" w:rsidRDefault="00480123" w:rsidP="00BD258F">
      <w:r>
        <w:separator/>
      </w:r>
    </w:p>
  </w:endnote>
  <w:endnote w:type="continuationSeparator" w:id="0">
    <w:p w14:paraId="770E2D39" w14:textId="77777777" w:rsidR="00480123" w:rsidRDefault="00480123" w:rsidP="00BD258F">
      <w:r>
        <w:continuationSeparator/>
      </w:r>
    </w:p>
  </w:endnote>
  <w:endnote w:type="continuationNotice" w:id="1">
    <w:p w14:paraId="24FC5FE2" w14:textId="77777777" w:rsidR="00480123" w:rsidRDefault="004801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7052479"/>
      <w:docPartObj>
        <w:docPartGallery w:val="Page Numbers (Bottom of Page)"/>
        <w:docPartUnique/>
      </w:docPartObj>
    </w:sdtPr>
    <w:sdtEndPr>
      <w:rPr>
        <w:rFonts w:ascii="Times New Roman" w:hAnsi="Times New Roman" w:cs="Times New Roman"/>
      </w:rPr>
    </w:sdtEndPr>
    <w:sdtContent>
      <w:p w14:paraId="0E6A4A66" w14:textId="00BE2A5A" w:rsidR="0064281F" w:rsidRPr="00FD76A9" w:rsidRDefault="0064281F">
        <w:pPr>
          <w:pStyle w:val="a7"/>
          <w:jc w:val="center"/>
          <w:rPr>
            <w:rFonts w:ascii="Times New Roman" w:hAnsi="Times New Roman" w:cs="Times New Roman"/>
          </w:rPr>
        </w:pPr>
        <w:r w:rsidRPr="00FD76A9">
          <w:rPr>
            <w:rFonts w:ascii="Times New Roman" w:hAnsi="Times New Roman" w:cs="Times New Roman"/>
          </w:rPr>
          <w:fldChar w:fldCharType="begin"/>
        </w:r>
        <w:r w:rsidRPr="00FD76A9">
          <w:rPr>
            <w:rFonts w:ascii="Times New Roman" w:hAnsi="Times New Roman" w:cs="Times New Roman"/>
          </w:rPr>
          <w:instrText>PAGE   \* MERGEFORMAT</w:instrText>
        </w:r>
        <w:r w:rsidRPr="00FD76A9">
          <w:rPr>
            <w:rFonts w:ascii="Times New Roman" w:hAnsi="Times New Roman" w:cs="Times New Roman"/>
          </w:rPr>
          <w:fldChar w:fldCharType="separate"/>
        </w:r>
        <w:r w:rsidR="00DD35CA" w:rsidRPr="00DD35CA">
          <w:rPr>
            <w:rFonts w:ascii="Times New Roman" w:hAnsi="Times New Roman" w:cs="Times New Roman"/>
            <w:noProof/>
            <w:lang w:val="zh-CN"/>
          </w:rPr>
          <w:t>5</w:t>
        </w:r>
        <w:r w:rsidRPr="00FD76A9">
          <w:rPr>
            <w:rFonts w:ascii="Times New Roman" w:hAnsi="Times New Roman" w:cs="Times New Roman"/>
          </w:rPr>
          <w:fldChar w:fldCharType="end"/>
        </w:r>
      </w:p>
    </w:sdtContent>
  </w:sdt>
  <w:p w14:paraId="1EB4D431" w14:textId="77777777" w:rsidR="0064281F" w:rsidRDefault="0064281F">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82F7EC" w14:textId="77777777" w:rsidR="00480123" w:rsidRDefault="00480123" w:rsidP="00BD258F">
      <w:r>
        <w:separator/>
      </w:r>
    </w:p>
  </w:footnote>
  <w:footnote w:type="continuationSeparator" w:id="0">
    <w:p w14:paraId="42BD8601" w14:textId="77777777" w:rsidR="00480123" w:rsidRDefault="00480123" w:rsidP="00BD258F">
      <w:r>
        <w:continuationSeparator/>
      </w:r>
    </w:p>
  </w:footnote>
  <w:footnote w:type="continuationNotice" w:id="1">
    <w:p w14:paraId="27C0C721" w14:textId="77777777" w:rsidR="00480123" w:rsidRDefault="0048012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D8D"/>
    <w:rsid w:val="00002CF9"/>
    <w:rsid w:val="00006EC8"/>
    <w:rsid w:val="00007568"/>
    <w:rsid w:val="00010E80"/>
    <w:rsid w:val="00014480"/>
    <w:rsid w:val="000163EC"/>
    <w:rsid w:val="000166A8"/>
    <w:rsid w:val="0003367E"/>
    <w:rsid w:val="0004281A"/>
    <w:rsid w:val="00043BBE"/>
    <w:rsid w:val="0005113B"/>
    <w:rsid w:val="00051282"/>
    <w:rsid w:val="00055638"/>
    <w:rsid w:val="00061B5B"/>
    <w:rsid w:val="00066697"/>
    <w:rsid w:val="0007376C"/>
    <w:rsid w:val="00075868"/>
    <w:rsid w:val="000853B2"/>
    <w:rsid w:val="0009067C"/>
    <w:rsid w:val="000913B1"/>
    <w:rsid w:val="000928CD"/>
    <w:rsid w:val="00095E77"/>
    <w:rsid w:val="000A1587"/>
    <w:rsid w:val="000A2260"/>
    <w:rsid w:val="000A36AB"/>
    <w:rsid w:val="000A4536"/>
    <w:rsid w:val="000A4777"/>
    <w:rsid w:val="000A5578"/>
    <w:rsid w:val="000A63A9"/>
    <w:rsid w:val="000B0D68"/>
    <w:rsid w:val="000B3750"/>
    <w:rsid w:val="000B55FE"/>
    <w:rsid w:val="000B7293"/>
    <w:rsid w:val="000C39EF"/>
    <w:rsid w:val="000C402D"/>
    <w:rsid w:val="000C438D"/>
    <w:rsid w:val="000C4408"/>
    <w:rsid w:val="000C692B"/>
    <w:rsid w:val="000C7521"/>
    <w:rsid w:val="000D34BC"/>
    <w:rsid w:val="000D3624"/>
    <w:rsid w:val="000E15C4"/>
    <w:rsid w:val="000E67EE"/>
    <w:rsid w:val="00101645"/>
    <w:rsid w:val="00110A7D"/>
    <w:rsid w:val="00115928"/>
    <w:rsid w:val="00120A68"/>
    <w:rsid w:val="00133A66"/>
    <w:rsid w:val="00136912"/>
    <w:rsid w:val="00141233"/>
    <w:rsid w:val="00141343"/>
    <w:rsid w:val="00144273"/>
    <w:rsid w:val="00150D8D"/>
    <w:rsid w:val="00153A5A"/>
    <w:rsid w:val="00160E5B"/>
    <w:rsid w:val="0016257D"/>
    <w:rsid w:val="00164766"/>
    <w:rsid w:val="00164887"/>
    <w:rsid w:val="00164B1F"/>
    <w:rsid w:val="00166771"/>
    <w:rsid w:val="00166B41"/>
    <w:rsid w:val="00171E06"/>
    <w:rsid w:val="001728C6"/>
    <w:rsid w:val="0018064E"/>
    <w:rsid w:val="001827CE"/>
    <w:rsid w:val="00183F17"/>
    <w:rsid w:val="0018463B"/>
    <w:rsid w:val="00186D16"/>
    <w:rsid w:val="001933FD"/>
    <w:rsid w:val="00193C46"/>
    <w:rsid w:val="0019535D"/>
    <w:rsid w:val="00197665"/>
    <w:rsid w:val="001A335E"/>
    <w:rsid w:val="001A705A"/>
    <w:rsid w:val="001B01A5"/>
    <w:rsid w:val="001B0812"/>
    <w:rsid w:val="001B1D34"/>
    <w:rsid w:val="001B4109"/>
    <w:rsid w:val="001C7298"/>
    <w:rsid w:val="001C765C"/>
    <w:rsid w:val="001D3F1D"/>
    <w:rsid w:val="001F1C8C"/>
    <w:rsid w:val="001F34E6"/>
    <w:rsid w:val="001F58C3"/>
    <w:rsid w:val="0020053E"/>
    <w:rsid w:val="00203F64"/>
    <w:rsid w:val="002200A0"/>
    <w:rsid w:val="00220813"/>
    <w:rsid w:val="00220EC7"/>
    <w:rsid w:val="00223BC9"/>
    <w:rsid w:val="00225A9D"/>
    <w:rsid w:val="002310F9"/>
    <w:rsid w:val="00235B0D"/>
    <w:rsid w:val="002436F1"/>
    <w:rsid w:val="00251D7E"/>
    <w:rsid w:val="00252BF2"/>
    <w:rsid w:val="0025368E"/>
    <w:rsid w:val="002542C6"/>
    <w:rsid w:val="00254EC4"/>
    <w:rsid w:val="0025623F"/>
    <w:rsid w:val="0025683D"/>
    <w:rsid w:val="00256C1A"/>
    <w:rsid w:val="0026387B"/>
    <w:rsid w:val="00284995"/>
    <w:rsid w:val="002908BA"/>
    <w:rsid w:val="00291A10"/>
    <w:rsid w:val="00292152"/>
    <w:rsid w:val="00293E51"/>
    <w:rsid w:val="00294BFF"/>
    <w:rsid w:val="00297B51"/>
    <w:rsid w:val="002A271A"/>
    <w:rsid w:val="002A3629"/>
    <w:rsid w:val="002A3CB5"/>
    <w:rsid w:val="002A5CC9"/>
    <w:rsid w:val="002A61DE"/>
    <w:rsid w:val="002B5662"/>
    <w:rsid w:val="002C087E"/>
    <w:rsid w:val="002C261D"/>
    <w:rsid w:val="002C2A80"/>
    <w:rsid w:val="002C4165"/>
    <w:rsid w:val="002D1AA8"/>
    <w:rsid w:val="002D4342"/>
    <w:rsid w:val="002E5C99"/>
    <w:rsid w:val="002F1C39"/>
    <w:rsid w:val="002F27F1"/>
    <w:rsid w:val="002F7B81"/>
    <w:rsid w:val="00300EBA"/>
    <w:rsid w:val="00302BCE"/>
    <w:rsid w:val="0030415A"/>
    <w:rsid w:val="00314A29"/>
    <w:rsid w:val="0031558E"/>
    <w:rsid w:val="00320F12"/>
    <w:rsid w:val="00322C09"/>
    <w:rsid w:val="003246E8"/>
    <w:rsid w:val="00325AB1"/>
    <w:rsid w:val="00330971"/>
    <w:rsid w:val="00331DA0"/>
    <w:rsid w:val="0033243D"/>
    <w:rsid w:val="0033337B"/>
    <w:rsid w:val="00335166"/>
    <w:rsid w:val="00340C1F"/>
    <w:rsid w:val="003465DC"/>
    <w:rsid w:val="00352F46"/>
    <w:rsid w:val="00354D1C"/>
    <w:rsid w:val="00356D8F"/>
    <w:rsid w:val="003656AA"/>
    <w:rsid w:val="00371963"/>
    <w:rsid w:val="00374FD9"/>
    <w:rsid w:val="003760BC"/>
    <w:rsid w:val="00383163"/>
    <w:rsid w:val="0038410B"/>
    <w:rsid w:val="003B0713"/>
    <w:rsid w:val="003B4AE9"/>
    <w:rsid w:val="003C014C"/>
    <w:rsid w:val="003C7A04"/>
    <w:rsid w:val="003D1580"/>
    <w:rsid w:val="003D1BCA"/>
    <w:rsid w:val="003D2101"/>
    <w:rsid w:val="003D56A8"/>
    <w:rsid w:val="003D750F"/>
    <w:rsid w:val="003D764D"/>
    <w:rsid w:val="003D7718"/>
    <w:rsid w:val="003E0304"/>
    <w:rsid w:val="003E7D8D"/>
    <w:rsid w:val="003F2E99"/>
    <w:rsid w:val="003F5216"/>
    <w:rsid w:val="003F621E"/>
    <w:rsid w:val="003F7AAB"/>
    <w:rsid w:val="0040271F"/>
    <w:rsid w:val="00405C6E"/>
    <w:rsid w:val="004078DC"/>
    <w:rsid w:val="004168C8"/>
    <w:rsid w:val="00421F02"/>
    <w:rsid w:val="00423F47"/>
    <w:rsid w:val="00432CF6"/>
    <w:rsid w:val="00440EC3"/>
    <w:rsid w:val="00441D65"/>
    <w:rsid w:val="00442252"/>
    <w:rsid w:val="004520B4"/>
    <w:rsid w:val="0046018B"/>
    <w:rsid w:val="00460273"/>
    <w:rsid w:val="00460CFC"/>
    <w:rsid w:val="00480123"/>
    <w:rsid w:val="0048161C"/>
    <w:rsid w:val="0048798E"/>
    <w:rsid w:val="00487E86"/>
    <w:rsid w:val="00491641"/>
    <w:rsid w:val="004958A9"/>
    <w:rsid w:val="00495A54"/>
    <w:rsid w:val="004A3BEF"/>
    <w:rsid w:val="004B6E2E"/>
    <w:rsid w:val="004C26C9"/>
    <w:rsid w:val="004C6C65"/>
    <w:rsid w:val="004D1382"/>
    <w:rsid w:val="004D1F2F"/>
    <w:rsid w:val="004D34BA"/>
    <w:rsid w:val="004D3FD8"/>
    <w:rsid w:val="004D555A"/>
    <w:rsid w:val="004E225E"/>
    <w:rsid w:val="004F59D5"/>
    <w:rsid w:val="00500E71"/>
    <w:rsid w:val="00504AE4"/>
    <w:rsid w:val="005141A1"/>
    <w:rsid w:val="00524971"/>
    <w:rsid w:val="005274BE"/>
    <w:rsid w:val="00533571"/>
    <w:rsid w:val="00533982"/>
    <w:rsid w:val="0054041F"/>
    <w:rsid w:val="005413A3"/>
    <w:rsid w:val="005442BA"/>
    <w:rsid w:val="00551C48"/>
    <w:rsid w:val="0055327A"/>
    <w:rsid w:val="0055523C"/>
    <w:rsid w:val="00557353"/>
    <w:rsid w:val="00561C31"/>
    <w:rsid w:val="005627E0"/>
    <w:rsid w:val="005664E8"/>
    <w:rsid w:val="005674DF"/>
    <w:rsid w:val="00573B94"/>
    <w:rsid w:val="005812A0"/>
    <w:rsid w:val="005843CA"/>
    <w:rsid w:val="00585673"/>
    <w:rsid w:val="0059172E"/>
    <w:rsid w:val="0059554B"/>
    <w:rsid w:val="00597476"/>
    <w:rsid w:val="00597540"/>
    <w:rsid w:val="005A76BF"/>
    <w:rsid w:val="005B2142"/>
    <w:rsid w:val="005B486A"/>
    <w:rsid w:val="005B531C"/>
    <w:rsid w:val="005B7690"/>
    <w:rsid w:val="005C23D2"/>
    <w:rsid w:val="005C6662"/>
    <w:rsid w:val="005D5956"/>
    <w:rsid w:val="005D5A0C"/>
    <w:rsid w:val="005E2355"/>
    <w:rsid w:val="005E4E84"/>
    <w:rsid w:val="005E7B14"/>
    <w:rsid w:val="005F082D"/>
    <w:rsid w:val="005F0942"/>
    <w:rsid w:val="005F22A6"/>
    <w:rsid w:val="00600957"/>
    <w:rsid w:val="00604BEC"/>
    <w:rsid w:val="00607CFA"/>
    <w:rsid w:val="00611842"/>
    <w:rsid w:val="00623234"/>
    <w:rsid w:val="00627878"/>
    <w:rsid w:val="0063120B"/>
    <w:rsid w:val="00631F6E"/>
    <w:rsid w:val="00634BEA"/>
    <w:rsid w:val="00635057"/>
    <w:rsid w:val="00635491"/>
    <w:rsid w:val="0063767A"/>
    <w:rsid w:val="006379ED"/>
    <w:rsid w:val="006400C4"/>
    <w:rsid w:val="0064281F"/>
    <w:rsid w:val="006433EE"/>
    <w:rsid w:val="006434AF"/>
    <w:rsid w:val="006438E8"/>
    <w:rsid w:val="006450A3"/>
    <w:rsid w:val="006475D7"/>
    <w:rsid w:val="006501B1"/>
    <w:rsid w:val="0065493D"/>
    <w:rsid w:val="00654AD9"/>
    <w:rsid w:val="0066082A"/>
    <w:rsid w:val="0066706A"/>
    <w:rsid w:val="006811EE"/>
    <w:rsid w:val="00684052"/>
    <w:rsid w:val="00693856"/>
    <w:rsid w:val="006940A7"/>
    <w:rsid w:val="0069418D"/>
    <w:rsid w:val="0069627A"/>
    <w:rsid w:val="0069648E"/>
    <w:rsid w:val="006969CB"/>
    <w:rsid w:val="006A1A52"/>
    <w:rsid w:val="006B581C"/>
    <w:rsid w:val="006C40A3"/>
    <w:rsid w:val="006D0A4B"/>
    <w:rsid w:val="006D1680"/>
    <w:rsid w:val="006D3C81"/>
    <w:rsid w:val="006D7F29"/>
    <w:rsid w:val="006E13A9"/>
    <w:rsid w:val="006E2508"/>
    <w:rsid w:val="006E38A7"/>
    <w:rsid w:val="006F00EC"/>
    <w:rsid w:val="006F172A"/>
    <w:rsid w:val="006F2094"/>
    <w:rsid w:val="006F3738"/>
    <w:rsid w:val="006F52E3"/>
    <w:rsid w:val="007027AC"/>
    <w:rsid w:val="00704DBD"/>
    <w:rsid w:val="00707075"/>
    <w:rsid w:val="007103BD"/>
    <w:rsid w:val="00714DC9"/>
    <w:rsid w:val="00720636"/>
    <w:rsid w:val="007212E5"/>
    <w:rsid w:val="00725ED3"/>
    <w:rsid w:val="007319E5"/>
    <w:rsid w:val="00735980"/>
    <w:rsid w:val="007364A9"/>
    <w:rsid w:val="00736745"/>
    <w:rsid w:val="007542E8"/>
    <w:rsid w:val="00756505"/>
    <w:rsid w:val="00763B57"/>
    <w:rsid w:val="007701F6"/>
    <w:rsid w:val="00771201"/>
    <w:rsid w:val="00773A07"/>
    <w:rsid w:val="00773D8A"/>
    <w:rsid w:val="00775379"/>
    <w:rsid w:val="007762D1"/>
    <w:rsid w:val="007801F1"/>
    <w:rsid w:val="00781270"/>
    <w:rsid w:val="00792CEF"/>
    <w:rsid w:val="00793F80"/>
    <w:rsid w:val="00794006"/>
    <w:rsid w:val="00794A81"/>
    <w:rsid w:val="00796046"/>
    <w:rsid w:val="007B31F6"/>
    <w:rsid w:val="007B37FD"/>
    <w:rsid w:val="007C1ACC"/>
    <w:rsid w:val="007C5693"/>
    <w:rsid w:val="007D4FEB"/>
    <w:rsid w:val="007D5914"/>
    <w:rsid w:val="007D74F2"/>
    <w:rsid w:val="007E1049"/>
    <w:rsid w:val="007E2C7F"/>
    <w:rsid w:val="007F07BB"/>
    <w:rsid w:val="007F23CC"/>
    <w:rsid w:val="007F6A95"/>
    <w:rsid w:val="008068C2"/>
    <w:rsid w:val="00811A79"/>
    <w:rsid w:val="00813B28"/>
    <w:rsid w:val="00817360"/>
    <w:rsid w:val="0082668C"/>
    <w:rsid w:val="008322B7"/>
    <w:rsid w:val="00832391"/>
    <w:rsid w:val="00834A57"/>
    <w:rsid w:val="00836FF4"/>
    <w:rsid w:val="00840038"/>
    <w:rsid w:val="0084526A"/>
    <w:rsid w:val="008501BE"/>
    <w:rsid w:val="0085060F"/>
    <w:rsid w:val="00855A27"/>
    <w:rsid w:val="00865851"/>
    <w:rsid w:val="00867E1E"/>
    <w:rsid w:val="00876110"/>
    <w:rsid w:val="0088100B"/>
    <w:rsid w:val="00882959"/>
    <w:rsid w:val="008837CE"/>
    <w:rsid w:val="0089071C"/>
    <w:rsid w:val="00896C75"/>
    <w:rsid w:val="008A20F1"/>
    <w:rsid w:val="008A42E9"/>
    <w:rsid w:val="008B3396"/>
    <w:rsid w:val="008B4E15"/>
    <w:rsid w:val="008C0D25"/>
    <w:rsid w:val="008C66A0"/>
    <w:rsid w:val="008D2D53"/>
    <w:rsid w:val="008D45DE"/>
    <w:rsid w:val="008E5C77"/>
    <w:rsid w:val="008E6C2E"/>
    <w:rsid w:val="008F0466"/>
    <w:rsid w:val="008F1C0A"/>
    <w:rsid w:val="008F5EE3"/>
    <w:rsid w:val="008F7B7D"/>
    <w:rsid w:val="00900790"/>
    <w:rsid w:val="00904BE2"/>
    <w:rsid w:val="009118DD"/>
    <w:rsid w:val="009157D1"/>
    <w:rsid w:val="009219CC"/>
    <w:rsid w:val="00927034"/>
    <w:rsid w:val="00934E2E"/>
    <w:rsid w:val="00936DF9"/>
    <w:rsid w:val="00940F5B"/>
    <w:rsid w:val="00944CDB"/>
    <w:rsid w:val="00947395"/>
    <w:rsid w:val="009503E7"/>
    <w:rsid w:val="00953C22"/>
    <w:rsid w:val="00954FB9"/>
    <w:rsid w:val="00962BA4"/>
    <w:rsid w:val="00963E01"/>
    <w:rsid w:val="0096545C"/>
    <w:rsid w:val="00965C63"/>
    <w:rsid w:val="00966546"/>
    <w:rsid w:val="00970E05"/>
    <w:rsid w:val="00972E21"/>
    <w:rsid w:val="00977D7A"/>
    <w:rsid w:val="0098143C"/>
    <w:rsid w:val="00981EF3"/>
    <w:rsid w:val="009820D0"/>
    <w:rsid w:val="00984D9B"/>
    <w:rsid w:val="00984F96"/>
    <w:rsid w:val="00986EFE"/>
    <w:rsid w:val="009915AE"/>
    <w:rsid w:val="00992768"/>
    <w:rsid w:val="00992EE2"/>
    <w:rsid w:val="00995F30"/>
    <w:rsid w:val="009A2D54"/>
    <w:rsid w:val="009C0B9E"/>
    <w:rsid w:val="009C1B8B"/>
    <w:rsid w:val="009C2411"/>
    <w:rsid w:val="009C2F0A"/>
    <w:rsid w:val="009D2942"/>
    <w:rsid w:val="009D6AED"/>
    <w:rsid w:val="009D754B"/>
    <w:rsid w:val="009E274A"/>
    <w:rsid w:val="009E5DBE"/>
    <w:rsid w:val="009E5F8F"/>
    <w:rsid w:val="009F3A3C"/>
    <w:rsid w:val="009F4051"/>
    <w:rsid w:val="009F53B3"/>
    <w:rsid w:val="00A02E23"/>
    <w:rsid w:val="00A0503E"/>
    <w:rsid w:val="00A17192"/>
    <w:rsid w:val="00A226A0"/>
    <w:rsid w:val="00A23CA3"/>
    <w:rsid w:val="00A26646"/>
    <w:rsid w:val="00A32FA8"/>
    <w:rsid w:val="00A344FE"/>
    <w:rsid w:val="00A374B8"/>
    <w:rsid w:val="00A4178B"/>
    <w:rsid w:val="00A41DFC"/>
    <w:rsid w:val="00A441B2"/>
    <w:rsid w:val="00A46607"/>
    <w:rsid w:val="00A509A9"/>
    <w:rsid w:val="00A54970"/>
    <w:rsid w:val="00A54AC3"/>
    <w:rsid w:val="00A56E14"/>
    <w:rsid w:val="00A57511"/>
    <w:rsid w:val="00A61DA6"/>
    <w:rsid w:val="00A65C83"/>
    <w:rsid w:val="00A67464"/>
    <w:rsid w:val="00A70ABD"/>
    <w:rsid w:val="00A737FD"/>
    <w:rsid w:val="00A84241"/>
    <w:rsid w:val="00A84B80"/>
    <w:rsid w:val="00A85B41"/>
    <w:rsid w:val="00A90D7D"/>
    <w:rsid w:val="00A93DB6"/>
    <w:rsid w:val="00A941D4"/>
    <w:rsid w:val="00A96D76"/>
    <w:rsid w:val="00A9774D"/>
    <w:rsid w:val="00AC0071"/>
    <w:rsid w:val="00AC3412"/>
    <w:rsid w:val="00AC5161"/>
    <w:rsid w:val="00AC630A"/>
    <w:rsid w:val="00AC7631"/>
    <w:rsid w:val="00AE1234"/>
    <w:rsid w:val="00AE3074"/>
    <w:rsid w:val="00AF07A4"/>
    <w:rsid w:val="00AF4C92"/>
    <w:rsid w:val="00AF6847"/>
    <w:rsid w:val="00B024F8"/>
    <w:rsid w:val="00B367AB"/>
    <w:rsid w:val="00B43274"/>
    <w:rsid w:val="00B46A04"/>
    <w:rsid w:val="00B505E2"/>
    <w:rsid w:val="00B6139C"/>
    <w:rsid w:val="00B618FF"/>
    <w:rsid w:val="00B61DC8"/>
    <w:rsid w:val="00B61F88"/>
    <w:rsid w:val="00B620FD"/>
    <w:rsid w:val="00B67FEE"/>
    <w:rsid w:val="00B7037F"/>
    <w:rsid w:val="00B71692"/>
    <w:rsid w:val="00B72D3A"/>
    <w:rsid w:val="00B77543"/>
    <w:rsid w:val="00B836B6"/>
    <w:rsid w:val="00B85872"/>
    <w:rsid w:val="00B86AEF"/>
    <w:rsid w:val="00B928E4"/>
    <w:rsid w:val="00B93E9D"/>
    <w:rsid w:val="00B95B40"/>
    <w:rsid w:val="00BA041E"/>
    <w:rsid w:val="00BA0AD5"/>
    <w:rsid w:val="00BA14A2"/>
    <w:rsid w:val="00BC6CBC"/>
    <w:rsid w:val="00BD1F35"/>
    <w:rsid w:val="00BD258F"/>
    <w:rsid w:val="00BE4589"/>
    <w:rsid w:val="00BE477B"/>
    <w:rsid w:val="00BE4E10"/>
    <w:rsid w:val="00C04B03"/>
    <w:rsid w:val="00C06BCC"/>
    <w:rsid w:val="00C147D2"/>
    <w:rsid w:val="00C20EA5"/>
    <w:rsid w:val="00C22875"/>
    <w:rsid w:val="00C30FBF"/>
    <w:rsid w:val="00C328B4"/>
    <w:rsid w:val="00C4167F"/>
    <w:rsid w:val="00C4193A"/>
    <w:rsid w:val="00C41CED"/>
    <w:rsid w:val="00C4661C"/>
    <w:rsid w:val="00C50749"/>
    <w:rsid w:val="00C61B55"/>
    <w:rsid w:val="00C66975"/>
    <w:rsid w:val="00C74D64"/>
    <w:rsid w:val="00C75803"/>
    <w:rsid w:val="00C812E7"/>
    <w:rsid w:val="00C82650"/>
    <w:rsid w:val="00C84F49"/>
    <w:rsid w:val="00C85258"/>
    <w:rsid w:val="00C877FC"/>
    <w:rsid w:val="00CA0EC9"/>
    <w:rsid w:val="00CA53F1"/>
    <w:rsid w:val="00CB020D"/>
    <w:rsid w:val="00CB161A"/>
    <w:rsid w:val="00CB53C6"/>
    <w:rsid w:val="00CC2311"/>
    <w:rsid w:val="00CD133E"/>
    <w:rsid w:val="00CD343B"/>
    <w:rsid w:val="00CD498F"/>
    <w:rsid w:val="00CE757F"/>
    <w:rsid w:val="00CF1B32"/>
    <w:rsid w:val="00CF46E6"/>
    <w:rsid w:val="00CF685D"/>
    <w:rsid w:val="00D03BA3"/>
    <w:rsid w:val="00D214DC"/>
    <w:rsid w:val="00D21802"/>
    <w:rsid w:val="00D245C0"/>
    <w:rsid w:val="00D250CA"/>
    <w:rsid w:val="00D26DAE"/>
    <w:rsid w:val="00D27BAD"/>
    <w:rsid w:val="00D30966"/>
    <w:rsid w:val="00D31EC0"/>
    <w:rsid w:val="00D40EBE"/>
    <w:rsid w:val="00D4443D"/>
    <w:rsid w:val="00D473E6"/>
    <w:rsid w:val="00D51306"/>
    <w:rsid w:val="00D574B5"/>
    <w:rsid w:val="00D738FB"/>
    <w:rsid w:val="00D80B57"/>
    <w:rsid w:val="00D84157"/>
    <w:rsid w:val="00D92867"/>
    <w:rsid w:val="00DA3A4D"/>
    <w:rsid w:val="00DA604C"/>
    <w:rsid w:val="00DA60B5"/>
    <w:rsid w:val="00DA61C0"/>
    <w:rsid w:val="00DB1B46"/>
    <w:rsid w:val="00DB21F8"/>
    <w:rsid w:val="00DB5B3D"/>
    <w:rsid w:val="00DB6B77"/>
    <w:rsid w:val="00DB6FB4"/>
    <w:rsid w:val="00DD0ACF"/>
    <w:rsid w:val="00DD35CA"/>
    <w:rsid w:val="00DE29A9"/>
    <w:rsid w:val="00DE3560"/>
    <w:rsid w:val="00DF27B3"/>
    <w:rsid w:val="00DF29D4"/>
    <w:rsid w:val="00DF5AB8"/>
    <w:rsid w:val="00DF5D6F"/>
    <w:rsid w:val="00E1177C"/>
    <w:rsid w:val="00E22073"/>
    <w:rsid w:val="00E230D1"/>
    <w:rsid w:val="00E31EC4"/>
    <w:rsid w:val="00E33A91"/>
    <w:rsid w:val="00E36591"/>
    <w:rsid w:val="00E3686F"/>
    <w:rsid w:val="00E40D15"/>
    <w:rsid w:val="00E452EC"/>
    <w:rsid w:val="00E52EAE"/>
    <w:rsid w:val="00E55394"/>
    <w:rsid w:val="00E56AF7"/>
    <w:rsid w:val="00E659EF"/>
    <w:rsid w:val="00E667AC"/>
    <w:rsid w:val="00E67E22"/>
    <w:rsid w:val="00E81E2F"/>
    <w:rsid w:val="00E86B94"/>
    <w:rsid w:val="00E93B56"/>
    <w:rsid w:val="00EA029A"/>
    <w:rsid w:val="00EA0431"/>
    <w:rsid w:val="00EA189C"/>
    <w:rsid w:val="00EA7FDE"/>
    <w:rsid w:val="00EB2D0B"/>
    <w:rsid w:val="00EB5852"/>
    <w:rsid w:val="00EB609A"/>
    <w:rsid w:val="00ED0C45"/>
    <w:rsid w:val="00ED620E"/>
    <w:rsid w:val="00EE180D"/>
    <w:rsid w:val="00EE1BF7"/>
    <w:rsid w:val="00EE1FCD"/>
    <w:rsid w:val="00EF5831"/>
    <w:rsid w:val="00EF71B8"/>
    <w:rsid w:val="00EF7541"/>
    <w:rsid w:val="00F0621D"/>
    <w:rsid w:val="00F1376E"/>
    <w:rsid w:val="00F16B85"/>
    <w:rsid w:val="00F20F52"/>
    <w:rsid w:val="00F22E58"/>
    <w:rsid w:val="00F26766"/>
    <w:rsid w:val="00F36788"/>
    <w:rsid w:val="00F37022"/>
    <w:rsid w:val="00F4081C"/>
    <w:rsid w:val="00F40860"/>
    <w:rsid w:val="00F44783"/>
    <w:rsid w:val="00F51368"/>
    <w:rsid w:val="00F570CA"/>
    <w:rsid w:val="00F64289"/>
    <w:rsid w:val="00F72E5D"/>
    <w:rsid w:val="00F7633F"/>
    <w:rsid w:val="00F77222"/>
    <w:rsid w:val="00F775D7"/>
    <w:rsid w:val="00F77FD0"/>
    <w:rsid w:val="00F813EB"/>
    <w:rsid w:val="00F81C0C"/>
    <w:rsid w:val="00F8381B"/>
    <w:rsid w:val="00F864F8"/>
    <w:rsid w:val="00F86DE1"/>
    <w:rsid w:val="00FA1000"/>
    <w:rsid w:val="00FA2416"/>
    <w:rsid w:val="00FB439A"/>
    <w:rsid w:val="00FB6EEF"/>
    <w:rsid w:val="00FB705E"/>
    <w:rsid w:val="00FC0DE3"/>
    <w:rsid w:val="00FC1EF3"/>
    <w:rsid w:val="00FD408C"/>
    <w:rsid w:val="00FD5F3A"/>
    <w:rsid w:val="00FD76A9"/>
    <w:rsid w:val="00FE3100"/>
    <w:rsid w:val="00FE3511"/>
    <w:rsid w:val="00FE5E9A"/>
    <w:rsid w:val="00FE62CE"/>
    <w:rsid w:val="00FE756A"/>
    <w:rsid w:val="00FF30B6"/>
    <w:rsid w:val="00FF3C10"/>
    <w:rsid w:val="318E7A9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C3AE36"/>
  <w15:docId w15:val="{8EFE38A2-982C-4030-8497-BA24C73DE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b">
    <w:name w:val="annotation subject"/>
    <w:basedOn w:val="a3"/>
    <w:next w:val="a3"/>
    <w:link w:val="ac"/>
    <w:uiPriority w:val="99"/>
    <w:semiHidden/>
    <w:unhideWhenUsed/>
    <w:qFormat/>
    <w:rPr>
      <w:b/>
      <w:bCs/>
    </w:rPr>
  </w:style>
  <w:style w:type="character" w:styleId="ad">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character" w:customStyle="1" w:styleId="a4">
    <w:name w:val="批注文字 字符"/>
    <w:basedOn w:val="a0"/>
    <w:link w:val="a3"/>
    <w:uiPriority w:val="99"/>
    <w:qFormat/>
    <w:rPr>
      <w:rFonts w:ascii="Times New Roman" w:eastAsia="宋体" w:hAnsi="Times New Roman" w:cs="Times New Roman"/>
      <w:szCs w:val="24"/>
    </w:rPr>
  </w:style>
  <w:style w:type="character" w:customStyle="1" w:styleId="ac">
    <w:name w:val="批注主题 字符"/>
    <w:basedOn w:val="a4"/>
    <w:link w:val="ab"/>
    <w:uiPriority w:val="99"/>
    <w:semiHidden/>
    <w:qFormat/>
    <w:rPr>
      <w:rFonts w:ascii="Times New Roman" w:eastAsia="宋体" w:hAnsi="Times New Roman" w:cs="Times New Roman"/>
      <w:b/>
      <w:bCs/>
      <w:szCs w:val="24"/>
    </w:rPr>
  </w:style>
  <w:style w:type="paragraph" w:styleId="ae">
    <w:name w:val="List Paragraph"/>
    <w:basedOn w:val="a"/>
    <w:uiPriority w:val="34"/>
    <w:qFormat/>
    <w:pPr>
      <w:ind w:firstLineChars="200" w:firstLine="420"/>
    </w:pPr>
  </w:style>
  <w:style w:type="paragraph" w:customStyle="1" w:styleId="p0">
    <w:name w:val="p0"/>
    <w:basedOn w:val="a"/>
    <w:rsid w:val="00203F64"/>
    <w:pPr>
      <w:widowControl/>
    </w:pPr>
    <w:rPr>
      <w:kern w:val="0"/>
      <w:szCs w:val="21"/>
    </w:rPr>
  </w:style>
  <w:style w:type="paragraph" w:styleId="af">
    <w:name w:val="Revision"/>
    <w:hidden/>
    <w:uiPriority w:val="99"/>
    <w:semiHidden/>
    <w:rsid w:val="00141233"/>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4291">
      <w:bodyDiv w:val="1"/>
      <w:marLeft w:val="0"/>
      <w:marRight w:val="0"/>
      <w:marTop w:val="0"/>
      <w:marBottom w:val="0"/>
      <w:divBdr>
        <w:top w:val="none" w:sz="0" w:space="0" w:color="auto"/>
        <w:left w:val="none" w:sz="0" w:space="0" w:color="auto"/>
        <w:bottom w:val="none" w:sz="0" w:space="0" w:color="auto"/>
        <w:right w:val="none" w:sz="0" w:space="0" w:color="auto"/>
      </w:divBdr>
      <w:divsChild>
        <w:div w:id="1302996393">
          <w:marLeft w:val="0"/>
          <w:marRight w:val="0"/>
          <w:marTop w:val="0"/>
          <w:marBottom w:val="0"/>
          <w:divBdr>
            <w:top w:val="none" w:sz="0" w:space="0" w:color="auto"/>
            <w:left w:val="none" w:sz="0" w:space="0" w:color="auto"/>
            <w:bottom w:val="none" w:sz="0" w:space="0" w:color="auto"/>
            <w:right w:val="none" w:sz="0" w:space="0" w:color="auto"/>
          </w:divBdr>
        </w:div>
        <w:div w:id="1163273907">
          <w:marLeft w:val="0"/>
          <w:marRight w:val="0"/>
          <w:marTop w:val="0"/>
          <w:marBottom w:val="0"/>
          <w:divBdr>
            <w:top w:val="none" w:sz="0" w:space="0" w:color="auto"/>
            <w:left w:val="none" w:sz="0" w:space="0" w:color="auto"/>
            <w:bottom w:val="none" w:sz="0" w:space="0" w:color="auto"/>
            <w:right w:val="none" w:sz="0" w:space="0" w:color="auto"/>
          </w:divBdr>
        </w:div>
        <w:div w:id="678120420">
          <w:marLeft w:val="0"/>
          <w:marRight w:val="0"/>
          <w:marTop w:val="0"/>
          <w:marBottom w:val="0"/>
          <w:divBdr>
            <w:top w:val="none" w:sz="0" w:space="0" w:color="auto"/>
            <w:left w:val="none" w:sz="0" w:space="0" w:color="auto"/>
            <w:bottom w:val="none" w:sz="0" w:space="0" w:color="auto"/>
            <w:right w:val="none" w:sz="0" w:space="0" w:color="auto"/>
          </w:divBdr>
        </w:div>
        <w:div w:id="232399434">
          <w:marLeft w:val="0"/>
          <w:marRight w:val="0"/>
          <w:marTop w:val="0"/>
          <w:marBottom w:val="0"/>
          <w:divBdr>
            <w:top w:val="none" w:sz="0" w:space="0" w:color="auto"/>
            <w:left w:val="none" w:sz="0" w:space="0" w:color="auto"/>
            <w:bottom w:val="none" w:sz="0" w:space="0" w:color="auto"/>
            <w:right w:val="none" w:sz="0" w:space="0" w:color="auto"/>
          </w:divBdr>
        </w:div>
        <w:div w:id="1897230554">
          <w:marLeft w:val="0"/>
          <w:marRight w:val="0"/>
          <w:marTop w:val="0"/>
          <w:marBottom w:val="0"/>
          <w:divBdr>
            <w:top w:val="none" w:sz="0" w:space="0" w:color="auto"/>
            <w:left w:val="none" w:sz="0" w:space="0" w:color="auto"/>
            <w:bottom w:val="none" w:sz="0" w:space="0" w:color="auto"/>
            <w:right w:val="none" w:sz="0" w:space="0" w:color="auto"/>
          </w:divBdr>
        </w:div>
      </w:divsChild>
    </w:div>
    <w:div w:id="1499543802">
      <w:bodyDiv w:val="1"/>
      <w:marLeft w:val="0"/>
      <w:marRight w:val="0"/>
      <w:marTop w:val="0"/>
      <w:marBottom w:val="0"/>
      <w:divBdr>
        <w:top w:val="none" w:sz="0" w:space="0" w:color="auto"/>
        <w:left w:val="none" w:sz="0" w:space="0" w:color="auto"/>
        <w:bottom w:val="none" w:sz="0" w:space="0" w:color="auto"/>
        <w:right w:val="none" w:sz="0" w:space="0" w:color="auto"/>
      </w:divBdr>
      <w:divsChild>
        <w:div w:id="1005208897">
          <w:marLeft w:val="0"/>
          <w:marRight w:val="0"/>
          <w:marTop w:val="0"/>
          <w:marBottom w:val="0"/>
          <w:divBdr>
            <w:top w:val="none" w:sz="0" w:space="0" w:color="auto"/>
            <w:left w:val="none" w:sz="0" w:space="0" w:color="auto"/>
            <w:bottom w:val="none" w:sz="0" w:space="0" w:color="auto"/>
            <w:right w:val="none" w:sz="0" w:space="0" w:color="auto"/>
          </w:divBdr>
        </w:div>
        <w:div w:id="1611741888">
          <w:marLeft w:val="0"/>
          <w:marRight w:val="0"/>
          <w:marTop w:val="0"/>
          <w:marBottom w:val="0"/>
          <w:divBdr>
            <w:top w:val="none" w:sz="0" w:space="0" w:color="auto"/>
            <w:left w:val="none" w:sz="0" w:space="0" w:color="auto"/>
            <w:bottom w:val="none" w:sz="0" w:space="0" w:color="auto"/>
            <w:right w:val="none" w:sz="0" w:space="0" w:color="auto"/>
          </w:divBdr>
        </w:div>
        <w:div w:id="2048410959">
          <w:marLeft w:val="0"/>
          <w:marRight w:val="0"/>
          <w:marTop w:val="0"/>
          <w:marBottom w:val="0"/>
          <w:divBdr>
            <w:top w:val="none" w:sz="0" w:space="0" w:color="auto"/>
            <w:left w:val="none" w:sz="0" w:space="0" w:color="auto"/>
            <w:bottom w:val="none" w:sz="0" w:space="0" w:color="auto"/>
            <w:right w:val="none" w:sz="0" w:space="0" w:color="auto"/>
          </w:divBdr>
        </w:div>
        <w:div w:id="172259014">
          <w:marLeft w:val="0"/>
          <w:marRight w:val="0"/>
          <w:marTop w:val="0"/>
          <w:marBottom w:val="0"/>
          <w:divBdr>
            <w:top w:val="none" w:sz="0" w:space="0" w:color="auto"/>
            <w:left w:val="none" w:sz="0" w:space="0" w:color="auto"/>
            <w:bottom w:val="none" w:sz="0" w:space="0" w:color="auto"/>
            <w:right w:val="none" w:sz="0" w:space="0" w:color="auto"/>
          </w:divBdr>
        </w:div>
        <w:div w:id="1194460619">
          <w:marLeft w:val="0"/>
          <w:marRight w:val="0"/>
          <w:marTop w:val="0"/>
          <w:marBottom w:val="0"/>
          <w:divBdr>
            <w:top w:val="none" w:sz="0" w:space="0" w:color="auto"/>
            <w:left w:val="none" w:sz="0" w:space="0" w:color="auto"/>
            <w:bottom w:val="none" w:sz="0" w:space="0" w:color="auto"/>
            <w:right w:val="none" w:sz="0" w:space="0" w:color="auto"/>
          </w:divBdr>
        </w:div>
        <w:div w:id="1060785738">
          <w:marLeft w:val="0"/>
          <w:marRight w:val="0"/>
          <w:marTop w:val="0"/>
          <w:marBottom w:val="0"/>
          <w:divBdr>
            <w:top w:val="none" w:sz="0" w:space="0" w:color="auto"/>
            <w:left w:val="none" w:sz="0" w:space="0" w:color="auto"/>
            <w:bottom w:val="none" w:sz="0" w:space="0" w:color="auto"/>
            <w:right w:val="none" w:sz="0" w:space="0" w:color="auto"/>
          </w:divBdr>
        </w:div>
      </w:divsChild>
    </w:div>
    <w:div w:id="1641157220">
      <w:bodyDiv w:val="1"/>
      <w:marLeft w:val="0"/>
      <w:marRight w:val="0"/>
      <w:marTop w:val="0"/>
      <w:marBottom w:val="0"/>
      <w:divBdr>
        <w:top w:val="none" w:sz="0" w:space="0" w:color="auto"/>
        <w:left w:val="none" w:sz="0" w:space="0" w:color="auto"/>
        <w:bottom w:val="none" w:sz="0" w:space="0" w:color="auto"/>
        <w:right w:val="none" w:sz="0" w:space="0" w:color="auto"/>
      </w:divBdr>
      <w:divsChild>
        <w:div w:id="1709645153">
          <w:marLeft w:val="0"/>
          <w:marRight w:val="0"/>
          <w:marTop w:val="0"/>
          <w:marBottom w:val="0"/>
          <w:divBdr>
            <w:top w:val="none" w:sz="0" w:space="0" w:color="auto"/>
            <w:left w:val="none" w:sz="0" w:space="0" w:color="auto"/>
            <w:bottom w:val="none" w:sz="0" w:space="0" w:color="auto"/>
            <w:right w:val="none" w:sz="0" w:space="0" w:color="auto"/>
          </w:divBdr>
        </w:div>
        <w:div w:id="271787645">
          <w:marLeft w:val="0"/>
          <w:marRight w:val="0"/>
          <w:marTop w:val="0"/>
          <w:marBottom w:val="0"/>
          <w:divBdr>
            <w:top w:val="none" w:sz="0" w:space="0" w:color="auto"/>
            <w:left w:val="none" w:sz="0" w:space="0" w:color="auto"/>
            <w:bottom w:val="none" w:sz="0" w:space="0" w:color="auto"/>
            <w:right w:val="none" w:sz="0" w:space="0" w:color="auto"/>
          </w:divBdr>
        </w:div>
        <w:div w:id="736705120">
          <w:marLeft w:val="0"/>
          <w:marRight w:val="0"/>
          <w:marTop w:val="0"/>
          <w:marBottom w:val="0"/>
          <w:divBdr>
            <w:top w:val="none" w:sz="0" w:space="0" w:color="auto"/>
            <w:left w:val="none" w:sz="0" w:space="0" w:color="auto"/>
            <w:bottom w:val="none" w:sz="0" w:space="0" w:color="auto"/>
            <w:right w:val="none" w:sz="0" w:space="0" w:color="auto"/>
          </w:divBdr>
        </w:div>
        <w:div w:id="292559649">
          <w:marLeft w:val="0"/>
          <w:marRight w:val="0"/>
          <w:marTop w:val="0"/>
          <w:marBottom w:val="0"/>
          <w:divBdr>
            <w:top w:val="none" w:sz="0" w:space="0" w:color="auto"/>
            <w:left w:val="none" w:sz="0" w:space="0" w:color="auto"/>
            <w:bottom w:val="none" w:sz="0" w:space="0" w:color="auto"/>
            <w:right w:val="none" w:sz="0" w:space="0" w:color="auto"/>
          </w:divBdr>
        </w:div>
        <w:div w:id="1421952602">
          <w:marLeft w:val="0"/>
          <w:marRight w:val="0"/>
          <w:marTop w:val="0"/>
          <w:marBottom w:val="0"/>
          <w:divBdr>
            <w:top w:val="none" w:sz="0" w:space="0" w:color="auto"/>
            <w:left w:val="none" w:sz="0" w:space="0" w:color="auto"/>
            <w:bottom w:val="none" w:sz="0" w:space="0" w:color="auto"/>
            <w:right w:val="none" w:sz="0" w:space="0" w:color="auto"/>
          </w:divBdr>
        </w:div>
        <w:div w:id="2934838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097934-9C6C-4651-AB53-102B83EC1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692</Words>
  <Characters>3951</Characters>
  <Application>Microsoft Office Word</Application>
  <DocSecurity>0</DocSecurity>
  <Lines>32</Lines>
  <Paragraphs>9</Paragraphs>
  <ScaleCrop>false</ScaleCrop>
  <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刘淑雨</cp:lastModifiedBy>
  <cp:revision>5</cp:revision>
  <cp:lastPrinted>2022-06-15T01:47:00Z</cp:lastPrinted>
  <dcterms:created xsi:type="dcterms:W3CDTF">2025-03-21T03:17:00Z</dcterms:created>
  <dcterms:modified xsi:type="dcterms:W3CDTF">2025-09-26T03:04:00Z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310F552102174AA296593CE34ECC4F53</vt:lpwstr>
  </property>
</Properties>
</file>