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hint="eastAsia" w:ascii="宋体" w:hAnsi="宋体" w:cs="宋体"/>
          <w:b/>
          <w:bCs/>
          <w:color w:val="000000"/>
          <w:sz w:val="44"/>
          <w:szCs w:val="44"/>
          <w:highlight w:val="none"/>
        </w:rPr>
      </w:pPr>
      <w:r>
        <w:rPr>
          <w:rFonts w:hint="eastAsia" w:ascii="宋体" w:hAnsi="宋体" w:cs="宋体"/>
          <w:b/>
          <w:bCs/>
          <w:color w:val="000000"/>
          <w:sz w:val="44"/>
          <w:szCs w:val="44"/>
          <w:highlight w:val="none"/>
        </w:rPr>
        <w:t>杭银理财投资者权益须知</w:t>
      </w:r>
    </w:p>
    <w:p>
      <w:pPr>
        <w:jc w:val="center"/>
        <w:rPr>
          <w:rFonts w:hint="eastAsia" w:ascii="宋体" w:hAnsi="宋体" w:cs="宋体"/>
          <w:b/>
          <w:bCs/>
          <w:color w:val="000000"/>
          <w:sz w:val="44"/>
          <w:szCs w:val="44"/>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center"/>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理财非存款、产品有风险、投资须谨慎</w:t>
      </w:r>
    </w:p>
    <w:p>
      <w:pPr>
        <w:spacing w:line="360" w:lineRule="auto"/>
        <w:rPr>
          <w:rFonts w:hint="eastAsia" w:ascii="宋体" w:hAnsi="宋体" w:cs="宋体"/>
          <w:kern w:val="0"/>
          <w:sz w:val="24"/>
          <w:highlight w:val="none"/>
        </w:rPr>
      </w:pPr>
      <w:r>
        <w:rPr>
          <w:rFonts w:hint="eastAsia" w:ascii="宋体" w:hAnsi="宋体" w:cs="宋体"/>
          <w:kern w:val="0"/>
          <w:sz w:val="24"/>
          <w:highlight w:val="none"/>
        </w:rPr>
        <w:t>尊敬的投资者：</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感谢您对杭银理财有限责任公司(以下简称“杭银理财”)作为管理人发行的理财计划的支持与信任。为了保护您的合法权益，请在投资理财计划前仔细阅读以下内容。如对理财计划合同或购买流程等有不明之处，请及时向销售机构相关人员进行咨询；在购买理财计划后，请关注理财计划的信息披露情况，及时获取相关信息；如对理财计划有任何意见或建议，请关注理财计划管理人相关联络方式并予以反馈，或通过销售机构转达。</w:t>
      </w:r>
    </w:p>
    <w:p>
      <w:pPr>
        <w:numPr>
          <w:ilvl w:val="0"/>
          <w:numId w:val="1"/>
        </w:num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理财计划办理流程</w:t>
      </w:r>
    </w:p>
    <w:p>
      <w:pPr>
        <w:numPr>
          <w:ilvl w:val="0"/>
          <w:numId w:val="2"/>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首次在销售机构购买理财的投资者须开立或持有销售机构账户，提供真实身份信息并确认正确的联系方式；该账户用于本理财计划的资金划转及兑付，您应确保持有本理财计划期间指定账户不做销户。</w:t>
      </w:r>
    </w:p>
    <w:p>
      <w:pPr>
        <w:numPr>
          <w:ilvl w:val="0"/>
          <w:numId w:val="2"/>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首次在销售机构购买杭银理财理财计划的个人投资者须接受并完成销售机构对您的风险承受能力评估，并确认风险承受能力等级不低于本理财计划风险评级。</w:t>
      </w:r>
    </w:p>
    <w:p>
      <w:pPr>
        <w:numPr>
          <w:ilvl w:val="0"/>
          <w:numId w:val="2"/>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投资者应仔细阅读本理财计划完整合同（包括但不限于</w:t>
      </w:r>
      <w:r>
        <w:rPr>
          <w:rFonts w:hint="eastAsia" w:ascii="宋体" w:hAnsi="宋体" w:cs="宋体"/>
          <w:kern w:val="0"/>
          <w:sz w:val="24"/>
          <w:highlight w:val="none"/>
          <w:lang w:eastAsia="zh-CN"/>
        </w:rPr>
        <w:t>理财计划</w:t>
      </w:r>
      <w:r>
        <w:rPr>
          <w:rFonts w:hint="eastAsia" w:ascii="宋体" w:hAnsi="宋体" w:cs="宋体"/>
          <w:kern w:val="0"/>
          <w:sz w:val="24"/>
          <w:highlight w:val="none"/>
        </w:rPr>
        <w:t>风险揭示书、理财计划产品说明书、投资者权益须知</w:t>
      </w:r>
      <w:r>
        <w:rPr>
          <w:rFonts w:hint="eastAsia" w:ascii="宋体" w:hAnsi="宋体" w:cs="宋体"/>
          <w:kern w:val="0"/>
          <w:sz w:val="24"/>
          <w:highlight w:val="none"/>
          <w:lang w:eastAsia="zh-CN"/>
        </w:rPr>
        <w:t>、</w:t>
      </w:r>
      <w:r>
        <w:rPr>
          <w:rFonts w:hint="eastAsia" w:ascii="宋体" w:hAnsi="宋体" w:cs="宋体"/>
          <w:kern w:val="0"/>
          <w:sz w:val="24"/>
          <w:highlight w:val="none"/>
        </w:rPr>
        <w:t>理财计划投资协议书</w:t>
      </w:r>
      <w:r>
        <w:rPr>
          <w:rFonts w:hint="eastAsia" w:ascii="宋体" w:hAnsi="宋体" w:cs="宋体"/>
          <w:kern w:val="0"/>
          <w:sz w:val="24"/>
          <w:highlight w:val="none"/>
          <w:lang w:eastAsia="zh-CN"/>
        </w:rPr>
        <w:t>和理财计划销售协议书</w:t>
      </w:r>
      <w:r>
        <w:rPr>
          <w:rFonts w:hint="eastAsia" w:ascii="宋体" w:hAnsi="宋体" w:cs="宋体"/>
          <w:kern w:val="0"/>
          <w:sz w:val="24"/>
          <w:highlight w:val="none"/>
        </w:rPr>
        <w:t>）等相关协议文件，确认对理财计划条款及风险理解并无疑问和异议后，自主作出认（申）购和赎回决定，独立抄录风险确认语句并签署相关销售文件，办理理财计划交易手续，自主承担投资风险。</w:t>
      </w:r>
    </w:p>
    <w:p>
      <w:pPr>
        <w:numPr>
          <w:ilvl w:val="0"/>
          <w:numId w:val="2"/>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lang w:eastAsia="zh-CN"/>
        </w:rPr>
        <w:t>投资者如需要认定为合格投资者，除阅读理财计划风险揭示书（三、其他信息提示）中的合格投资者要求并独立抄录确认外，还需配合销售机构提供投资者信息、金融资产证明或纳税凭证等相关证明材料。</w:t>
      </w:r>
    </w:p>
    <w:p>
      <w:pPr>
        <w:numPr>
          <w:ilvl w:val="0"/>
          <w:numId w:val="2"/>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如在银行营业场所购买杭银理财理财计划，销售机构需对每笔理财计划销售过程同步录音录像。</w:t>
      </w:r>
    </w:p>
    <w:p>
      <w:pPr>
        <w:numPr>
          <w:ilvl w:val="0"/>
          <w:numId w:val="2"/>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投资者确定交易金额，完成交易申请，并在确认份额后进行查询。</w:t>
      </w:r>
    </w:p>
    <w:p>
      <w:pPr>
        <w:numPr>
          <w:ilvl w:val="0"/>
          <w:numId w:val="3"/>
        </w:num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杭银理财产品风险评级</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产品类型按照风险由低到高依次划分为低风险（R1）、中低风险（R2）、中风险（R3）、中高风险（R4）和高风险（R5）五个级别，杭银理财根据产品投资组合、实际的风险控制情况、投资运作情况等确定产品归属的风险等级，并在产品说明书中对产品风险等级及其适合销售的投资者范围进行披露，属于杭银理财内部评级，仅供投资者参考，不具有任何法律约束力。各级产品的风险特性如下：</w:t>
      </w:r>
    </w:p>
    <w:tbl>
      <w:tblPr>
        <w:tblStyle w:val="11"/>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4287"/>
        <w:gridCol w:w="2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b/>
                <w:kern w:val="0"/>
                <w:sz w:val="24"/>
                <w:highlight w:val="none"/>
              </w:rPr>
            </w:pPr>
            <w:r>
              <w:rPr>
                <w:rFonts w:hint="eastAsia" w:ascii="宋体" w:hAnsi="宋体" w:cs="宋体"/>
                <w:b/>
                <w:kern w:val="0"/>
                <w:sz w:val="24"/>
                <w:highlight w:val="none"/>
              </w:rPr>
              <w:t>产品风险等级</w:t>
            </w:r>
          </w:p>
        </w:tc>
        <w:tc>
          <w:tcPr>
            <w:tcW w:w="42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b/>
                <w:kern w:val="0"/>
                <w:sz w:val="24"/>
                <w:highlight w:val="none"/>
              </w:rPr>
            </w:pPr>
            <w:r>
              <w:rPr>
                <w:rFonts w:hint="eastAsia" w:ascii="宋体" w:hAnsi="宋体" w:cs="宋体"/>
                <w:b/>
                <w:kern w:val="0"/>
                <w:sz w:val="24"/>
                <w:highlight w:val="none"/>
              </w:rPr>
              <w:t>风险等级说明</w:t>
            </w:r>
          </w:p>
        </w:tc>
        <w:tc>
          <w:tcPr>
            <w:tcW w:w="249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b/>
                <w:kern w:val="0"/>
                <w:sz w:val="24"/>
                <w:highlight w:val="none"/>
              </w:rPr>
            </w:pPr>
            <w:r>
              <w:rPr>
                <w:rFonts w:hint="eastAsia" w:ascii="宋体" w:hAnsi="宋体" w:cs="宋体"/>
                <w:b/>
                <w:kern w:val="0"/>
                <w:sz w:val="24"/>
                <w:highlight w:val="none"/>
              </w:rPr>
              <w:t>适合销售的投资者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kern w:val="0"/>
                <w:sz w:val="24"/>
                <w:highlight w:val="none"/>
              </w:rPr>
            </w:pPr>
            <w:r>
              <w:rPr>
                <w:rFonts w:hint="eastAsia" w:ascii="宋体" w:hAnsi="宋体" w:cs="宋体"/>
                <w:kern w:val="0"/>
                <w:sz w:val="24"/>
                <w:highlight w:val="none"/>
              </w:rPr>
              <w:t>R1</w:t>
            </w:r>
          </w:p>
        </w:tc>
        <w:tc>
          <w:tcPr>
            <w:tcW w:w="428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kern w:val="0"/>
                <w:sz w:val="24"/>
                <w:highlight w:val="none"/>
              </w:rPr>
            </w:pPr>
            <w:r>
              <w:rPr>
                <w:rFonts w:hint="eastAsia" w:ascii="宋体" w:hAnsi="宋体"/>
                <w:kern w:val="0"/>
                <w:sz w:val="24"/>
                <w:highlight w:val="none"/>
              </w:rPr>
              <w:t>产品总体风险程度低，收益波动小，产品本金安全性高，收益不能实现的可能性很小</w:t>
            </w:r>
          </w:p>
        </w:tc>
        <w:tc>
          <w:tcPr>
            <w:tcW w:w="2490"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kern w:val="0"/>
                <w:sz w:val="24"/>
                <w:highlight w:val="none"/>
              </w:rPr>
            </w:pPr>
            <w:r>
              <w:rPr>
                <w:rFonts w:hint="eastAsia" w:ascii="宋体" w:hAnsi="宋体" w:cs="宋体"/>
                <w:kern w:val="0"/>
                <w:sz w:val="24"/>
                <w:highlight w:val="none"/>
              </w:rPr>
              <w:t>机构投资者及保守型、稳健型、平衡型、成长型、进取型的个人投资者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kern w:val="0"/>
                <w:sz w:val="24"/>
                <w:highlight w:val="none"/>
              </w:rPr>
            </w:pPr>
            <w:r>
              <w:rPr>
                <w:rFonts w:hint="eastAsia" w:ascii="宋体" w:hAnsi="宋体" w:cs="宋体"/>
                <w:kern w:val="0"/>
                <w:sz w:val="24"/>
                <w:highlight w:val="none"/>
              </w:rPr>
              <w:t>R2</w:t>
            </w:r>
          </w:p>
        </w:tc>
        <w:tc>
          <w:tcPr>
            <w:tcW w:w="428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kern w:val="0"/>
                <w:sz w:val="24"/>
                <w:highlight w:val="none"/>
              </w:rPr>
            </w:pPr>
            <w:r>
              <w:rPr>
                <w:rFonts w:hint="eastAsia" w:ascii="宋体" w:hAnsi="宋体"/>
                <w:kern w:val="0"/>
                <w:sz w:val="24"/>
                <w:highlight w:val="none"/>
              </w:rPr>
              <w:t>产品总体风险程度较低，收益波动较小，虽然存在一些可能对产品本金和收益安全产生不利影响的因素，但产品本金出现损失的可能性较小</w:t>
            </w:r>
          </w:p>
        </w:tc>
        <w:tc>
          <w:tcPr>
            <w:tcW w:w="2490"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kern w:val="0"/>
                <w:sz w:val="24"/>
                <w:highlight w:val="none"/>
              </w:rPr>
            </w:pPr>
            <w:r>
              <w:rPr>
                <w:rFonts w:hint="eastAsia" w:ascii="宋体" w:hAnsi="宋体" w:cs="宋体"/>
                <w:kern w:val="0"/>
                <w:sz w:val="24"/>
                <w:highlight w:val="none"/>
              </w:rPr>
              <w:t>机构投资者及稳健型、平衡型、成长型、进取型的个人投资者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kern w:val="0"/>
                <w:sz w:val="24"/>
                <w:highlight w:val="none"/>
              </w:rPr>
            </w:pPr>
            <w:r>
              <w:rPr>
                <w:rFonts w:hint="eastAsia" w:ascii="宋体" w:hAnsi="宋体" w:cs="宋体"/>
                <w:kern w:val="0"/>
                <w:sz w:val="24"/>
                <w:highlight w:val="none"/>
              </w:rPr>
              <w:t>R3</w:t>
            </w:r>
          </w:p>
        </w:tc>
        <w:tc>
          <w:tcPr>
            <w:tcW w:w="428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kern w:val="0"/>
                <w:sz w:val="24"/>
                <w:highlight w:val="none"/>
              </w:rPr>
            </w:pPr>
            <w:r>
              <w:rPr>
                <w:rFonts w:hint="eastAsia" w:ascii="宋体" w:hAnsi="宋体"/>
                <w:kern w:val="0"/>
                <w:sz w:val="24"/>
                <w:highlight w:val="none"/>
              </w:rPr>
              <w:t>产品总体风险程度适中，收益存在一定的波动，产品本金出现损失的可能性不容忽视</w:t>
            </w:r>
          </w:p>
        </w:tc>
        <w:tc>
          <w:tcPr>
            <w:tcW w:w="2490"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kern w:val="0"/>
                <w:sz w:val="24"/>
                <w:highlight w:val="none"/>
              </w:rPr>
            </w:pPr>
            <w:r>
              <w:rPr>
                <w:rFonts w:hint="eastAsia" w:ascii="宋体" w:hAnsi="宋体" w:cs="宋体"/>
                <w:kern w:val="0"/>
                <w:sz w:val="24"/>
                <w:highlight w:val="none"/>
              </w:rPr>
              <w:t>机构投资者及平衡型、成长型、进取型的个人投资者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4" w:hRule="atLeast"/>
          <w:jc w:val="center"/>
        </w:trPr>
        <w:tc>
          <w:tcPr>
            <w:tcW w:w="174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kern w:val="0"/>
                <w:sz w:val="24"/>
                <w:highlight w:val="none"/>
              </w:rPr>
            </w:pPr>
            <w:r>
              <w:rPr>
                <w:rFonts w:hint="eastAsia" w:ascii="宋体" w:hAnsi="宋体" w:cs="宋体"/>
                <w:kern w:val="0"/>
                <w:sz w:val="24"/>
                <w:highlight w:val="none"/>
              </w:rPr>
              <w:t>R4</w:t>
            </w:r>
          </w:p>
        </w:tc>
        <w:tc>
          <w:tcPr>
            <w:tcW w:w="428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kern w:val="0"/>
                <w:sz w:val="24"/>
                <w:highlight w:val="none"/>
              </w:rPr>
            </w:pPr>
            <w:r>
              <w:rPr>
                <w:rFonts w:hint="eastAsia" w:ascii="宋体" w:hAnsi="宋体"/>
                <w:kern w:val="0"/>
                <w:sz w:val="24"/>
                <w:highlight w:val="none"/>
              </w:rPr>
              <w:t>产品总体风险程度较高，收益波动较明显，产品本金出现损失的可能性高</w:t>
            </w:r>
          </w:p>
        </w:tc>
        <w:tc>
          <w:tcPr>
            <w:tcW w:w="2490"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kern w:val="0"/>
                <w:sz w:val="24"/>
                <w:highlight w:val="none"/>
              </w:rPr>
            </w:pPr>
            <w:r>
              <w:rPr>
                <w:rFonts w:hint="eastAsia" w:ascii="宋体" w:hAnsi="宋体" w:cs="宋体"/>
                <w:kern w:val="0"/>
                <w:sz w:val="24"/>
                <w:highlight w:val="none"/>
              </w:rPr>
              <w:t>机构投资者及成长型、进取型的个人投资者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kern w:val="0"/>
                <w:sz w:val="24"/>
                <w:highlight w:val="none"/>
              </w:rPr>
            </w:pPr>
            <w:r>
              <w:rPr>
                <w:rFonts w:hint="eastAsia" w:ascii="宋体" w:hAnsi="宋体" w:cs="宋体"/>
                <w:kern w:val="0"/>
                <w:sz w:val="24"/>
                <w:highlight w:val="none"/>
              </w:rPr>
              <w:t>R5</w:t>
            </w:r>
          </w:p>
        </w:tc>
        <w:tc>
          <w:tcPr>
            <w:tcW w:w="428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kern w:val="0"/>
                <w:sz w:val="24"/>
                <w:highlight w:val="none"/>
              </w:rPr>
            </w:pPr>
            <w:r>
              <w:rPr>
                <w:rFonts w:hint="eastAsia" w:ascii="宋体" w:hAnsi="宋体"/>
                <w:kern w:val="0"/>
                <w:sz w:val="24"/>
                <w:highlight w:val="none"/>
              </w:rPr>
              <w:t>产品总体风险程度高，收益波动明显，产品本金出现损失的可能性很高，产品本金出现全部损失的可能性不容忽视</w:t>
            </w:r>
          </w:p>
        </w:tc>
        <w:tc>
          <w:tcPr>
            <w:tcW w:w="2490"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kern w:val="0"/>
                <w:sz w:val="24"/>
                <w:highlight w:val="none"/>
              </w:rPr>
            </w:pPr>
            <w:r>
              <w:rPr>
                <w:rFonts w:hint="eastAsia" w:ascii="宋体" w:hAnsi="宋体" w:cs="宋体"/>
                <w:kern w:val="0"/>
                <w:sz w:val="24"/>
                <w:highlight w:val="none"/>
              </w:rPr>
              <w:t>机构投资者及进取型的个人投资者</w:t>
            </w:r>
          </w:p>
        </w:tc>
      </w:tr>
    </w:tbl>
    <w:p>
      <w:pPr>
        <w:numPr>
          <w:ilvl w:val="0"/>
          <w:numId w:val="0"/>
        </w:numPr>
        <w:spacing w:line="360" w:lineRule="auto"/>
        <w:ind w:leftChars="200"/>
        <w:outlineLvl w:val="1"/>
        <w:rPr>
          <w:rFonts w:hint="eastAsia" w:ascii="宋体" w:hAnsi="宋体" w:cs="宋体"/>
          <w:b/>
          <w:kern w:val="0"/>
          <w:sz w:val="24"/>
          <w:highlight w:val="none"/>
        </w:rPr>
      </w:pPr>
      <w:r>
        <w:rPr>
          <w:rFonts w:hint="eastAsia" w:ascii="宋体" w:hAnsi="宋体" w:cs="宋体"/>
          <w:bCs/>
          <w:color w:val="auto"/>
          <w:kern w:val="2"/>
          <w:highlight w:val="none"/>
          <w:lang w:eastAsia="zh-CN"/>
        </w:rPr>
        <w:t>投资者风险承受能力评级水平以销售机构评估为准。</w:t>
      </w:r>
    </w:p>
    <w:p>
      <w:pPr>
        <w:numPr>
          <w:ilvl w:val="0"/>
          <w:numId w:val="4"/>
        </w:num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投资者风险承受能力评估</w:t>
      </w:r>
    </w:p>
    <w:p>
      <w:pPr>
        <w:numPr>
          <w:ilvl w:val="0"/>
          <w:numId w:val="5"/>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本理财计划销售工作及投资者适当性评估由销售机构负责。个人投资者首次通过销售机构购买杭银理财理财计划，须与销售机构签署相关协议，并按照该协议约定在销售机构进行风险承受能力评估，风险承受能力评估依据至少应当包括投资者年龄、财务状况、投资经验、投资目的、收益预期、风险偏好、流动性要求、风险认识及风险损失承受程度等。</w:t>
      </w:r>
    </w:p>
    <w:p>
      <w:pPr>
        <w:numPr>
          <w:ilvl w:val="0"/>
          <w:numId w:val="5"/>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个人投资者风险承受能力评估结果有效期为一年，如风险承受能力评估时效已超过一年，或影响风险承受能力的因素发生变化，请及时完成风险承受能力的重新评估。</w:t>
      </w:r>
    </w:p>
    <w:p>
      <w:pPr>
        <w:numPr>
          <w:ilvl w:val="0"/>
          <w:numId w:val="5"/>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个人投资者风险承受能力评估流程（详询销售机构工作人员）</w:t>
      </w:r>
    </w:p>
    <w:p>
      <w:pPr>
        <w:numPr>
          <w:ilvl w:val="0"/>
          <w:numId w:val="6"/>
        </w:num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个人投资者在销售机构进行风险承受能力评估；</w:t>
      </w:r>
    </w:p>
    <w:p>
      <w:pPr>
        <w:numPr>
          <w:ilvl w:val="0"/>
          <w:numId w:val="6"/>
        </w:num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填写销售机构个人投资者风险承受能力测试问卷；</w:t>
      </w:r>
    </w:p>
    <w:p>
      <w:pPr>
        <w:numPr>
          <w:ilvl w:val="0"/>
          <w:numId w:val="6"/>
        </w:num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生成相应的个人投资者风险承受能力评估结果；</w:t>
      </w:r>
    </w:p>
    <w:p>
      <w:pPr>
        <w:numPr>
          <w:ilvl w:val="0"/>
          <w:numId w:val="6"/>
        </w:num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投资者对评估结果进行确认。</w:t>
      </w:r>
    </w:p>
    <w:p>
      <w:pPr>
        <w:numPr>
          <w:ilvl w:val="0"/>
          <w:numId w:val="7"/>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风险承受能力评估结果将作为评价个人投资者是否适合购买理财计划的重要因素，风险承受能力评级越高适合购买的理财计划风险评级越高，适合购买的理财计划类型越丰富。</w:t>
      </w:r>
    </w:p>
    <w:p>
      <w:pPr>
        <w:numPr>
          <w:ilvl w:val="0"/>
          <w:numId w:val="7"/>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代销机构应当根据本机构的方式和方法，独立审慎地对理财计划进行销售评级，如销售评级与本公司产品评级结果不一致的，代理销售机构应当采用对应较高风险等级的评级结果并予以披露。在代销过程中，应充分揭示风险，确保个人投资者的风险承受能力等级不低于本理财计划最终披露的风险评级。如本理财计划通过代理销售机构渠道销售的，理财产品评级应当以代理销售机构最终披露的评级结果为准。</w:t>
      </w:r>
    </w:p>
    <w:p>
      <w:pPr>
        <w:numPr>
          <w:ilvl w:val="0"/>
          <w:numId w:val="7"/>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机构投资者购买理财计划前无须进行风险评估能力测试。机构投资者不适用个人投资者的风险承受能力评估，请机构投资者根据自身财务状况、投资风格、资金需求等要素，并在阅读本权益须知、</w:t>
      </w:r>
      <w:r>
        <w:rPr>
          <w:rFonts w:hint="eastAsia" w:ascii="宋体" w:hAnsi="宋体" w:cs="宋体"/>
          <w:kern w:val="0"/>
          <w:sz w:val="24"/>
          <w:highlight w:val="none"/>
          <w:lang w:eastAsia="zh-CN"/>
        </w:rPr>
        <w:t>理财计划风险揭示书、理财计划</w:t>
      </w:r>
      <w:r>
        <w:rPr>
          <w:rFonts w:hint="eastAsia" w:ascii="宋体" w:hAnsi="宋体" w:cs="宋体"/>
          <w:kern w:val="0"/>
          <w:sz w:val="24"/>
          <w:highlight w:val="none"/>
        </w:rPr>
        <w:t>产品说明书</w:t>
      </w:r>
      <w:r>
        <w:rPr>
          <w:rFonts w:hint="eastAsia" w:ascii="宋体" w:hAnsi="宋体" w:cs="宋体"/>
          <w:kern w:val="0"/>
          <w:sz w:val="24"/>
          <w:highlight w:val="none"/>
          <w:lang w:eastAsia="zh-CN"/>
        </w:rPr>
        <w:t>、理财计划投资协议书和理财计划销售协议书</w:t>
      </w:r>
      <w:r>
        <w:rPr>
          <w:rFonts w:hint="eastAsia" w:ascii="宋体" w:hAnsi="宋体" w:cs="宋体"/>
          <w:kern w:val="0"/>
          <w:sz w:val="24"/>
          <w:highlight w:val="none"/>
        </w:rPr>
        <w:t>的基础上，充分认识投资本理财计划需要承担的风险。</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四、理财计划信息披露</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本理财计划相关信息的披露方式、渠道和频率，您可以在理财计划说明书“信息披露”章节中查找到相关约定，并可通过本公司网站或销售机构（包括但不限于营业网点、门户网站、电子销售渠道等）查询具体披露信息。相关信息在发布或发出之日视为通知送达，请您及时查询。</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五、投资者信息管理</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销售机构应当根据反洗钱、反恐怖融资及非居民金融账户涉税信息尽职调查等相关法律法规要求识别客户身份。投资者通过公司认可的销售机构购买本公司理财的，视为同意公司获取投资者相关理财业务资料及信息。</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本公司及销售机构收集、使用个人信息，应当按照法律法规规定，遵循正当、必要原则，保证信息采集、处理及使用的安全性和合法性。未经客户专门授权，不得将投资者信息及相关理财计划销售信息提供其他第三方机构和个人，法律、行政法规和国务院银行业监督管理机构另有规定的除外。</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六、投诉与建议</w:t>
      </w:r>
    </w:p>
    <w:p>
      <w:pPr>
        <w:numPr>
          <w:ilvl w:val="0"/>
          <w:numId w:val="8"/>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投资者如认为销售机构推介、销售理财计划时有不实或未尽风险告知职责或其它疑义事项，或对理财计划、销售机构及理财计划管理人服务有任何意见或建议，可通过拨打销售机构热线或客服电话进行反馈。销售机构将由专人接听、记录您的意见建议，并由双方协商共同解决。</w:t>
      </w:r>
    </w:p>
    <w:p>
      <w:pPr>
        <w:numPr>
          <w:ilvl w:val="0"/>
          <w:numId w:val="8"/>
        </w:numPr>
        <w:spacing w:line="360" w:lineRule="auto"/>
        <w:outlineLvl w:val="2"/>
        <w:rPr>
          <w:rFonts w:hint="eastAsia" w:ascii="宋体" w:hAnsi="宋体" w:cs="宋体"/>
          <w:kern w:val="0"/>
          <w:sz w:val="24"/>
        </w:rPr>
      </w:pPr>
      <w:r>
        <w:rPr>
          <w:rFonts w:hint="eastAsia" w:ascii="宋体" w:hAnsi="宋体" w:cs="宋体"/>
          <w:kern w:val="0"/>
          <w:sz w:val="24"/>
        </w:rPr>
        <w:t>联络方式</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在重庆银行(作为销售机构)购买本理财计划的请联系重庆银行，重庆银行客户服务热线:956023，重庆银行官方网站</w:t>
      </w:r>
      <w:r>
        <w:rPr>
          <w:rFonts w:hint="eastAsia" w:ascii="宋体" w:hAnsi="宋体" w:cs="宋体"/>
          <w:kern w:val="0"/>
          <w:sz w:val="24"/>
          <w:lang w:eastAsia="zh-CN"/>
        </w:rPr>
        <w:t>：</w:t>
      </w:r>
      <w:r>
        <w:rPr>
          <w:rFonts w:hint="eastAsia" w:ascii="宋体" w:hAnsi="宋体" w:cs="宋体"/>
          <w:kern w:val="0"/>
          <w:sz w:val="24"/>
        </w:rPr>
        <w:t>www.cqcbank.com。</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ind w:firstLine="480" w:firstLineChars="200"/>
        <w:rPr>
          <w:rFonts w:hint="eastAsia" w:ascii="宋体" w:hAnsi="宋体" w:cs="宋体"/>
          <w:kern w:val="0"/>
          <w:sz w:val="24"/>
        </w:rPr>
      </w:pPr>
      <w:r>
        <w:rPr>
          <w:rFonts w:hint="eastAsia" w:ascii="宋体" w:hAnsi="宋体" w:cs="宋体"/>
          <w:kern w:val="0"/>
          <w:sz w:val="24"/>
        </w:rPr>
        <w:t>杭银理财联络方式：</w:t>
      </w:r>
    </w:p>
    <w:p>
      <w:pPr>
        <w:numPr>
          <w:ilvl w:val="0"/>
          <w:numId w:val="9"/>
        </w:numPr>
        <w:spacing w:line="360" w:lineRule="auto"/>
        <w:rPr>
          <w:rFonts w:hint="eastAsia" w:ascii="宋体" w:hAnsi="宋体" w:cs="宋体"/>
          <w:kern w:val="0"/>
          <w:sz w:val="24"/>
        </w:rPr>
      </w:pPr>
      <w:r>
        <w:rPr>
          <w:rFonts w:hint="eastAsia" w:ascii="宋体" w:hAnsi="宋体" w:cs="宋体"/>
          <w:kern w:val="0"/>
          <w:sz w:val="24"/>
        </w:rPr>
        <w:t>杭银理财联络方式：</w:t>
      </w:r>
    </w:p>
    <w:p>
      <w:pPr>
        <w:spacing w:line="360" w:lineRule="auto"/>
        <w:ind w:firstLine="480" w:firstLineChars="200"/>
        <w:rPr>
          <w:rFonts w:hint="eastAsia" w:ascii="宋体" w:hAnsi="宋体" w:cs="宋体"/>
          <w:kern w:val="0"/>
          <w:sz w:val="24"/>
          <w:u w:val="single"/>
        </w:rPr>
      </w:pPr>
      <w:r>
        <w:rPr>
          <w:rFonts w:hint="eastAsia" w:ascii="宋体" w:hAnsi="宋体" w:cs="宋体"/>
          <w:kern w:val="0"/>
          <w:sz w:val="24"/>
        </w:rPr>
        <w:t>官方网站：</w:t>
      </w:r>
      <w:r>
        <w:rPr>
          <w:rFonts w:ascii="宋体" w:hAnsi="宋体" w:cs="宋体"/>
          <w:kern w:val="0"/>
          <w:sz w:val="24"/>
        </w:rPr>
        <w:fldChar w:fldCharType="begin"/>
      </w:r>
      <w:r>
        <w:rPr>
          <w:rFonts w:ascii="宋体" w:hAnsi="宋体" w:cs="宋体"/>
          <w:kern w:val="0"/>
          <w:sz w:val="24"/>
        </w:rPr>
        <w:instrText xml:space="preserve"> HYPERLINK "https://www.hzbankwealth.com.cn/" \t "_blank" </w:instrText>
      </w:r>
      <w:r>
        <w:rPr>
          <w:rFonts w:ascii="宋体" w:hAnsi="宋体" w:cs="宋体"/>
          <w:kern w:val="0"/>
          <w:sz w:val="24"/>
        </w:rPr>
        <w:fldChar w:fldCharType="separate"/>
      </w:r>
      <w:r>
        <w:rPr>
          <w:rFonts w:ascii="宋体" w:hAnsi="宋体" w:cs="宋体"/>
          <w:kern w:val="0"/>
          <w:sz w:val="24"/>
        </w:rPr>
        <w:t>https://www.hzbankwealth.com.cn</w:t>
      </w:r>
      <w:r>
        <w:rPr>
          <w:rFonts w:ascii="宋体" w:hAnsi="宋体" w:cs="宋体"/>
          <w:kern w:val="0"/>
          <w:sz w:val="24"/>
        </w:rPr>
        <w:fldChar w:fldCharType="end"/>
      </w:r>
    </w:p>
    <w:p>
      <w:pPr>
        <w:spacing w:line="360" w:lineRule="auto"/>
        <w:ind w:firstLine="480" w:firstLineChars="200"/>
        <w:rPr>
          <w:rFonts w:ascii="宋体" w:hAnsi="宋体" w:cs="宋体"/>
          <w:kern w:val="0"/>
          <w:sz w:val="24"/>
        </w:rPr>
      </w:pPr>
      <w:r>
        <w:rPr>
          <w:rFonts w:hint="eastAsia" w:ascii="宋体" w:hAnsi="宋体" w:cs="宋体"/>
          <w:kern w:val="0"/>
          <w:sz w:val="24"/>
        </w:rPr>
        <w:t>客户服务热线：400-8950-999</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公司地址：杭州市拱墅区庆春路38号金龙财富中心6楼</w:t>
      </w:r>
    </w:p>
    <w:p>
      <w:pPr>
        <w:spacing w:line="360" w:lineRule="auto"/>
        <w:ind w:firstLine="480" w:firstLineChars="200"/>
        <w:rPr>
          <w:rFonts w:hint="eastAsia" w:ascii="宋体" w:hAnsi="宋体" w:cs="宋体"/>
          <w:kern w:val="0"/>
          <w:sz w:val="24"/>
        </w:rPr>
      </w:pPr>
      <w:r>
        <w:rPr>
          <w:rFonts w:hint="eastAsia" w:ascii="宋体" w:hAnsi="宋体" w:cs="宋体"/>
          <w:kern w:val="0"/>
          <w:sz w:val="24"/>
        </w:rPr>
        <w:t>若上述联系方式变更，杭银理财将提前通过官方网站及时告知投资者。</w:t>
      </w:r>
    </w:p>
    <w:p>
      <w:pPr>
        <w:numPr>
          <w:ilvl w:val="0"/>
          <w:numId w:val="9"/>
        </w:numPr>
        <w:spacing w:line="360" w:lineRule="auto"/>
        <w:rPr>
          <w:rFonts w:hint="eastAsia" w:ascii="宋体" w:hAnsi="宋体" w:cs="宋体"/>
          <w:kern w:val="0"/>
          <w:sz w:val="24"/>
        </w:rPr>
      </w:pPr>
      <w:r>
        <w:rPr>
          <w:rFonts w:hint="eastAsia" w:ascii="宋体" w:hAnsi="宋体" w:cs="宋体"/>
          <w:kern w:val="0"/>
          <w:sz w:val="24"/>
          <w:lang w:val="en-US" w:eastAsia="zh-CN"/>
        </w:rPr>
        <w:t>重庆</w:t>
      </w:r>
      <w:r>
        <w:rPr>
          <w:rFonts w:hint="eastAsia" w:ascii="宋体" w:hAnsi="宋体" w:cs="宋体"/>
          <w:kern w:val="0"/>
          <w:sz w:val="24"/>
        </w:rPr>
        <w:t>银行（作为销售机构）联络方式：</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官方网站</w:t>
      </w:r>
      <w:r>
        <w:rPr>
          <w:rFonts w:hint="eastAsia" w:ascii="宋体" w:hAnsi="宋体" w:cs="宋体"/>
          <w:kern w:val="0"/>
          <w:sz w:val="24"/>
          <w:lang w:eastAsia="zh-CN"/>
        </w:rPr>
        <w:t>：</w:t>
      </w:r>
      <w:r>
        <w:rPr>
          <w:rFonts w:hint="eastAsia" w:ascii="宋体" w:hAnsi="宋体" w:cs="宋体"/>
          <w:kern w:val="0"/>
          <w:sz w:val="24"/>
        </w:rPr>
        <w:t>www.cqcbank</w:t>
      </w:r>
      <w:r>
        <w:rPr>
          <w:rFonts w:hint="eastAsia" w:ascii="宋体" w:hAnsi="宋体" w:cs="宋体"/>
          <w:kern w:val="0"/>
          <w:sz w:val="24"/>
          <w:lang w:val="en-US" w:eastAsia="zh-CN"/>
        </w:rPr>
        <w:t>.</w:t>
      </w:r>
      <w:r>
        <w:rPr>
          <w:rFonts w:hint="eastAsia" w:ascii="宋体" w:hAnsi="宋体" w:cs="宋体"/>
          <w:kern w:val="0"/>
          <w:sz w:val="24"/>
        </w:rPr>
        <w:t>com</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客户服务热线</w:t>
      </w:r>
      <w:r>
        <w:rPr>
          <w:rFonts w:hint="eastAsia" w:ascii="宋体" w:hAnsi="宋体" w:cs="宋体"/>
          <w:kern w:val="0"/>
          <w:sz w:val="24"/>
          <w:lang w:eastAsia="zh-CN"/>
        </w:rPr>
        <w:t>：</w:t>
      </w:r>
      <w:r>
        <w:rPr>
          <w:rFonts w:hint="eastAsia" w:ascii="宋体" w:hAnsi="宋体" w:cs="宋体"/>
          <w:kern w:val="0"/>
          <w:sz w:val="24"/>
        </w:rPr>
        <w:t>956023</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ascii="Calibri" w:hAnsi="Calibri" w:eastAsia="宋体" w:cs="黑体"/>
        <w:kern w:val="2"/>
        <w:sz w:val="18"/>
        <w:szCs w:val="24"/>
        <w:lang w:val="en-US" w:eastAsia="zh-CN" w:bidi="ar-SA"/>
      </w:rPr>
      <w:pict>
        <v:rect id="文本框 1" o:spid="_x0000_s2050" o:spt="1" style="position:absolute;left:0pt;margin-top:0pt;height:144pt;width:144pt;mso-position-horizontal:center;mso-position-horizontal-relative:margin;mso-wrap-style:none;z-index:251658240;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rect>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ascii="Calibri" w:hAnsi="Calibri" w:eastAsia="宋体" w:cs="黑体"/>
        <w:b/>
        <w:bCs/>
        <w:color w:val="auto"/>
        <w:kern w:val="2"/>
        <w:sz w:val="18"/>
        <w:szCs w:val="24"/>
        <w:lang w:val="en-US" w:eastAsia="zh-CN" w:bidi="ar-SA"/>
      </w:rPr>
      <w:pict>
        <v:shape id="图片 3" o:spid="_x0000_s2049" o:spt="75" type="#_x0000_t75" style="position:absolute;left:0pt;margin-left:408pt;margin-top:-46.1pt;height:72.2pt;width:102.1pt;mso-wrap-distance-left:9pt;mso-wrap-distance-right:9pt;z-index:-251657216;mso-width-relative:page;mso-height-relative:page;" fillcolor="#FFFFFF" filled="f" o:preferrelative="t" stroked="f" coordsize="21600,21600" wrapcoords="21591 -2 0 0 0 21600 21591 21602 8 21602 21599 21600 21599 0 8 -2 21591 -2">
          <v:path/>
          <v:fill on="f" color2="#FFFFFF" focussize="0,0"/>
          <v:stroke on="f"/>
          <v:imagedata r:id="rId1" gain="65536f" blacklevel="0f" gamma="0" o:title=""/>
          <o:lock v:ext="edit" position="f" selection="f" grouping="f" rotation="f" cropping="f" text="f" aspectratio="t"/>
          <w10:wrap type="through"/>
        </v:shape>
      </w:pict>
    </w:r>
    <w:r>
      <w:rPr>
        <w:rFonts w:hint="eastAsia"/>
        <w:b/>
        <w:bCs/>
        <w:color w:val="auto"/>
        <w:lang w:eastAsia="zh-CN"/>
      </w:rPr>
      <w:t>理财非存款</w:t>
    </w:r>
    <w:r>
      <w:rPr>
        <w:rFonts w:hint="eastAsia"/>
        <w:b/>
        <w:bCs/>
        <w:color w:val="auto"/>
        <w:lang w:val="en-US" w:eastAsia="zh-CN"/>
      </w:rPr>
      <w:t xml:space="preserve"> 产品有风险 投资需</w:t>
    </w:r>
    <w:bookmarkStart w:id="0" w:name="_GoBack"/>
    <w:bookmarkEnd w:id="0"/>
    <w:r>
      <w:rPr>
        <w:rFonts w:hint="eastAsia"/>
        <w:b/>
        <w:bCs/>
        <w:color w:val="auto"/>
        <w:lang w:val="en-US" w:eastAsia="zh-CN"/>
      </w:rPr>
      <w:t>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50B14"/>
    <w:multiLevelType w:val="singleLevel"/>
    <w:tmpl w:val="3C550B14"/>
    <w:lvl w:ilvl="0" w:tentative="0">
      <w:start w:val="1"/>
      <w:numFmt w:val="decimal"/>
      <w:suff w:val="nothing"/>
      <w:lvlText w:val="%1．"/>
      <w:lvlJc w:val="left"/>
      <w:pPr>
        <w:ind w:left="0" w:firstLine="400"/>
      </w:pPr>
      <w:rPr>
        <w:rFonts w:hint="default"/>
      </w:rPr>
    </w:lvl>
  </w:abstractNum>
  <w:abstractNum w:abstractNumId="1">
    <w:nsid w:val="60C03E3F"/>
    <w:multiLevelType w:val="singleLevel"/>
    <w:tmpl w:val="60C03E3F"/>
    <w:lvl w:ilvl="0" w:tentative="0">
      <w:start w:val="1"/>
      <w:numFmt w:val="chineseCounting"/>
      <w:suff w:val="nothing"/>
      <w:lvlText w:val="（%1）"/>
      <w:lvlJc w:val="left"/>
      <w:pPr>
        <w:ind w:left="0" w:firstLine="420"/>
      </w:pPr>
      <w:rPr>
        <w:rFonts w:hint="eastAsia"/>
      </w:rPr>
    </w:lvl>
  </w:abstractNum>
  <w:abstractNum w:abstractNumId="2">
    <w:nsid w:val="60C03E76"/>
    <w:multiLevelType w:val="singleLevel"/>
    <w:tmpl w:val="60C03E76"/>
    <w:lvl w:ilvl="0" w:tentative="0">
      <w:start w:val="1"/>
      <w:numFmt w:val="chineseCounting"/>
      <w:suff w:val="nothing"/>
      <w:lvlText w:val="%1、"/>
      <w:lvlJc w:val="left"/>
      <w:pPr>
        <w:ind w:left="0" w:firstLine="420"/>
      </w:pPr>
      <w:rPr>
        <w:rFonts w:hint="eastAsia"/>
      </w:rPr>
    </w:lvl>
  </w:abstractNum>
  <w:abstractNum w:abstractNumId="3">
    <w:nsid w:val="60C03E91"/>
    <w:multiLevelType w:val="singleLevel"/>
    <w:tmpl w:val="60C03E91"/>
    <w:lvl w:ilvl="0" w:tentative="0">
      <w:start w:val="2"/>
      <w:numFmt w:val="chineseCounting"/>
      <w:suff w:val="nothing"/>
      <w:lvlText w:val="%1、"/>
      <w:lvlJc w:val="left"/>
      <w:pPr>
        <w:ind w:left="0" w:firstLine="420"/>
      </w:pPr>
      <w:rPr>
        <w:rFonts w:hint="eastAsia"/>
      </w:rPr>
    </w:lvl>
  </w:abstractNum>
  <w:abstractNum w:abstractNumId="4">
    <w:nsid w:val="60C03EC3"/>
    <w:multiLevelType w:val="singleLevel"/>
    <w:tmpl w:val="60C03EC3"/>
    <w:lvl w:ilvl="0" w:tentative="0">
      <w:start w:val="3"/>
      <w:numFmt w:val="chineseCounting"/>
      <w:suff w:val="nothing"/>
      <w:lvlText w:val="%1、"/>
      <w:lvlJc w:val="left"/>
      <w:pPr>
        <w:ind w:left="0" w:firstLine="420"/>
      </w:pPr>
      <w:rPr>
        <w:rFonts w:hint="eastAsia"/>
      </w:rPr>
    </w:lvl>
  </w:abstractNum>
  <w:abstractNum w:abstractNumId="5">
    <w:nsid w:val="60C03ED7"/>
    <w:multiLevelType w:val="singleLevel"/>
    <w:tmpl w:val="60C03ED7"/>
    <w:lvl w:ilvl="0" w:tentative="0">
      <w:start w:val="1"/>
      <w:numFmt w:val="chineseCounting"/>
      <w:suff w:val="nothing"/>
      <w:lvlText w:val="（%1）"/>
      <w:lvlJc w:val="left"/>
      <w:pPr>
        <w:ind w:left="0" w:firstLine="420"/>
      </w:pPr>
      <w:rPr>
        <w:rFonts w:hint="eastAsia"/>
      </w:rPr>
    </w:lvl>
  </w:abstractNum>
  <w:abstractNum w:abstractNumId="6">
    <w:nsid w:val="60C03F05"/>
    <w:multiLevelType w:val="singleLevel"/>
    <w:tmpl w:val="60C03F05"/>
    <w:lvl w:ilvl="0" w:tentative="0">
      <w:start w:val="1"/>
      <w:numFmt w:val="decimal"/>
      <w:suff w:val="nothing"/>
      <w:lvlText w:val="%1．"/>
      <w:lvlJc w:val="left"/>
      <w:pPr>
        <w:ind w:left="0" w:firstLine="400"/>
      </w:pPr>
      <w:rPr>
        <w:rFonts w:hint="default"/>
      </w:rPr>
    </w:lvl>
  </w:abstractNum>
  <w:abstractNum w:abstractNumId="7">
    <w:nsid w:val="60C03F2E"/>
    <w:multiLevelType w:val="singleLevel"/>
    <w:tmpl w:val="60C03F2E"/>
    <w:lvl w:ilvl="0" w:tentative="0">
      <w:start w:val="4"/>
      <w:numFmt w:val="chineseCounting"/>
      <w:suff w:val="nothing"/>
      <w:lvlText w:val="（%1）"/>
      <w:lvlJc w:val="left"/>
      <w:pPr>
        <w:ind w:left="0" w:firstLine="420"/>
      </w:pPr>
      <w:rPr>
        <w:rFonts w:hint="eastAsia"/>
      </w:rPr>
    </w:lvl>
  </w:abstractNum>
  <w:abstractNum w:abstractNumId="8">
    <w:nsid w:val="60C03F4B"/>
    <w:multiLevelType w:val="singleLevel"/>
    <w:tmpl w:val="60C03F4B"/>
    <w:lvl w:ilvl="0" w:tentative="0">
      <w:start w:val="1"/>
      <w:numFmt w:val="chineseCounting"/>
      <w:suff w:val="nothing"/>
      <w:lvlText w:val="（%1）"/>
      <w:lvlJc w:val="left"/>
      <w:pPr>
        <w:ind w:left="0" w:firstLine="420"/>
      </w:pPr>
      <w:rPr>
        <w:rFonts w:hint="eastAsia"/>
      </w:rPr>
    </w:lvl>
  </w:abstractNum>
  <w:num w:numId="1">
    <w:abstractNumId w:val="2"/>
  </w:num>
  <w:num w:numId="2">
    <w:abstractNumId w:val="1"/>
  </w:num>
  <w:num w:numId="3">
    <w:abstractNumId w:val="3"/>
  </w:num>
  <w:num w:numId="4">
    <w:abstractNumId w:val="4"/>
  </w:num>
  <w:num w:numId="5">
    <w:abstractNumId w:val="5"/>
  </w:num>
  <w:num w:numId="6">
    <w:abstractNumId w:val="6"/>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MDNjOWZhYjNhMDcwZTUwMzk1N2Q1ZTljMmJlZmYyNzcifQ=="/>
  </w:docVars>
  <w:rsids>
    <w:rsidRoot w:val="00000000"/>
    <w:rsid w:val="737102A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1"/>
    <w:qFormat/>
    <w:uiPriority w:val="0"/>
    <w:pPr>
      <w:keepNext/>
      <w:keepLines/>
      <w:spacing w:before="100" w:beforeAutospacing="0" w:after="90" w:afterAutospacing="0" w:line="240" w:lineRule="auto"/>
      <w:jc w:val="center"/>
      <w:outlineLvl w:val="0"/>
    </w:pPr>
    <w:rPr>
      <w:rFonts w:eastAsia="宋体"/>
      <w:b/>
      <w:kern w:val="44"/>
      <w:sz w:val="44"/>
    </w:rPr>
  </w:style>
  <w:style w:type="paragraph" w:styleId="3">
    <w:name w:val="heading 2"/>
    <w:basedOn w:val="1"/>
    <w:next w:val="1"/>
    <w:link w:val="20"/>
    <w:unhideWhenUsed/>
    <w:qFormat/>
    <w:uiPriority w:val="0"/>
    <w:pPr>
      <w:keepNext/>
      <w:keepLines/>
      <w:spacing w:before="20" w:beforeAutospacing="0" w:after="20" w:afterAutospacing="0" w:line="240" w:lineRule="auto"/>
      <w:outlineLvl w:val="1"/>
    </w:pPr>
    <w:rPr>
      <w:rFonts w:ascii="Arial" w:hAnsi="Arial" w:eastAsia="宋体"/>
      <w:b/>
      <w:sz w:val="24"/>
    </w:rPr>
  </w:style>
  <w:style w:type="paragraph" w:styleId="4">
    <w:name w:val="heading 3"/>
    <w:basedOn w:val="1"/>
    <w:next w:val="1"/>
    <w:link w:val="18"/>
    <w:unhideWhenUsed/>
    <w:qFormat/>
    <w:uiPriority w:val="0"/>
    <w:pPr>
      <w:keepNext/>
      <w:keepLines/>
      <w:spacing w:before="20" w:beforeAutospacing="0" w:after="20" w:afterAutospacing="0" w:line="360" w:lineRule="auto"/>
      <w:outlineLvl w:val="2"/>
    </w:pPr>
    <w:rPr>
      <w:rFonts w:hAnsi="Calibri" w:eastAsia="宋体"/>
      <w:b/>
      <w:sz w:val="24"/>
    </w:rPr>
  </w:style>
  <w:style w:type="character" w:default="1" w:styleId="12">
    <w:name w:val="Default Paragraph Font"/>
    <w:semiHidden/>
    <w:qFormat/>
    <w:uiPriority w:val="0"/>
  </w:style>
  <w:style w:type="table" w:default="1" w:styleId="11">
    <w:name w:val="Normal Table"/>
    <w:semiHidden/>
    <w:unhideWhenUsed/>
    <w:uiPriority w:val="99"/>
    <w:tblPr>
      <w:tblLayout w:type="fixed"/>
      <w:tblCellMar>
        <w:top w:w="0" w:type="dxa"/>
        <w:left w:w="108" w:type="dxa"/>
        <w:bottom w:w="0" w:type="dxa"/>
        <w:right w:w="108" w:type="dxa"/>
      </w:tblCellMar>
    </w:tblPr>
  </w:style>
  <w:style w:type="paragraph" w:styleId="5">
    <w:name w:val="annotation text"/>
    <w:basedOn w:val="1"/>
    <w:link w:val="23"/>
    <w:qFormat/>
    <w:uiPriority w:val="0"/>
    <w:pPr>
      <w:jc w:val="left"/>
    </w:pPr>
  </w:style>
  <w:style w:type="paragraph" w:styleId="6">
    <w:name w:val="Balloon Text"/>
    <w:basedOn w:val="1"/>
    <w:link w:val="19"/>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character" w:styleId="13">
    <w:name w:val="Hyperlink"/>
    <w:qFormat/>
    <w:uiPriority w:val="0"/>
    <w:rPr>
      <w:color w:val="0000FF"/>
      <w:u w:val="single"/>
    </w:rPr>
  </w:style>
  <w:style w:type="character" w:styleId="14">
    <w:name w:val="annotation reference"/>
    <w:qFormat/>
    <w:uiPriority w:val="0"/>
    <w:rPr>
      <w:sz w:val="21"/>
      <w:szCs w:val="21"/>
    </w:rPr>
  </w:style>
  <w:style w:type="paragraph" w:customStyle="1" w:styleId="15">
    <w:name w:val="List Paragraph"/>
    <w:basedOn w:val="1"/>
    <w:unhideWhenUsed/>
    <w:qFormat/>
    <w:uiPriority w:val="99"/>
    <w:pPr>
      <w:ind w:firstLine="420" w:firstLineChars="200"/>
    </w:pPr>
  </w:style>
  <w:style w:type="paragraph" w:customStyle="1" w:styleId="16">
    <w:name w:val="样式1"/>
    <w:basedOn w:val="1"/>
    <w:next w:val="1"/>
    <w:qFormat/>
    <w:uiPriority w:val="0"/>
    <w:pPr>
      <w:keepNext/>
      <w:keepLines/>
      <w:spacing w:before="340" w:after="330" w:line="576" w:lineRule="auto"/>
      <w:outlineLvl w:val="0"/>
    </w:pPr>
    <w:rPr>
      <w:rFonts w:hint="eastAsia"/>
      <w:b/>
      <w:kern w:val="44"/>
      <w:sz w:val="44"/>
    </w:r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标题 3 Char"/>
    <w:link w:val="4"/>
    <w:qFormat/>
    <w:uiPriority w:val="0"/>
    <w:rPr>
      <w:rFonts w:hAnsi="Calibri" w:eastAsia="宋体"/>
      <w:b/>
      <w:sz w:val="24"/>
    </w:rPr>
  </w:style>
  <w:style w:type="character" w:customStyle="1" w:styleId="19">
    <w:name w:val="批注框文本 Char"/>
    <w:link w:val="6"/>
    <w:qFormat/>
    <w:uiPriority w:val="0"/>
    <w:rPr>
      <w:rFonts w:ascii="Calibri" w:hAnsi="Calibri" w:cs="黑体"/>
      <w:kern w:val="2"/>
      <w:sz w:val="18"/>
      <w:szCs w:val="18"/>
    </w:rPr>
  </w:style>
  <w:style w:type="character" w:customStyle="1" w:styleId="20">
    <w:name w:val="标题 2 Char"/>
    <w:link w:val="3"/>
    <w:qFormat/>
    <w:uiPriority w:val="0"/>
    <w:rPr>
      <w:rFonts w:ascii="Arial" w:hAnsi="Arial" w:eastAsia="宋体"/>
      <w:b/>
      <w:sz w:val="24"/>
    </w:rPr>
  </w:style>
  <w:style w:type="character" w:customStyle="1" w:styleId="21">
    <w:name w:val="标题 1 Char"/>
    <w:link w:val="2"/>
    <w:qFormat/>
    <w:uiPriority w:val="0"/>
    <w:rPr>
      <w:rFonts w:eastAsia="宋体"/>
      <w:b/>
      <w:kern w:val="44"/>
      <w:sz w:val="4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文字 Char"/>
    <w:link w:val="5"/>
    <w:qFormat/>
    <w:uiPriority w:val="0"/>
    <w:rPr>
      <w:rFonts w:ascii="Calibri" w:hAnsi="Calibri" w:cs="黑体"/>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36598</Words>
  <Characters>38992</Characters>
  <Lines>1</Lines>
  <Paragraphs>1</Paragraphs>
  <TotalTime>0</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2025-01-21T07:46:56Z</dcterms:modified>
  <dc:title>杭银理财投资者权益须知</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