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
        <w:bidi w:val="0"/>
        <w:rPr>
          <w:rFonts w:hint="eastAsia"/>
          <w:highlight w:val="none"/>
        </w:rPr>
      </w:pPr>
      <w:r>
        <w:rPr>
          <w:rFonts w:hint="eastAsia" w:ascii="宋体" w:hAnsi="宋体" w:eastAsia="宋体" w:cs="宋体"/>
          <w:b/>
          <w:highlight w:val="none"/>
        </w:rPr>
        <w:t>杭银理财幸福99</w:t>
      </w:r>
      <w:r>
        <w:rPr>
          <w:rFonts w:hint="eastAsia" w:ascii="宋体" w:hAnsi="宋体" w:cs="宋体"/>
          <w:b/>
          <w:highlight w:val="none"/>
          <w:lang w:eastAsia="zh-CN"/>
        </w:rPr>
        <w:t>半年添益2005期理财</w:t>
      </w:r>
      <w:r>
        <w:rPr>
          <w:rFonts w:hint="eastAsia" w:ascii="宋体" w:hAnsi="宋体" w:eastAsia="宋体" w:cs="宋体"/>
          <w:b/>
          <w:highlight w:val="none"/>
        </w:rPr>
        <w:t>风险揭示书</w:t>
      </w:r>
    </w:p>
    <w:p>
      <w:pPr>
        <w:jc w:val="center"/>
        <w:rPr>
          <w:rFonts w:hint="eastAsia" w:ascii="宋体" w:hAnsi="宋体" w:cs="宋体"/>
          <w:sz w:val="28"/>
          <w:szCs w:val="28"/>
          <w:highlight w:val="none"/>
        </w:rPr>
      </w:pPr>
      <w:r>
        <w:rPr>
          <w:rFonts w:hint="eastAsia" w:ascii="宋体" w:hAnsi="宋体" w:cs="宋体"/>
          <w:sz w:val="28"/>
          <w:szCs w:val="28"/>
          <w:highlight w:val="none"/>
        </w:rPr>
        <w:t>（202</w:t>
      </w:r>
      <w:r>
        <w:rPr>
          <w:rFonts w:hint="eastAsia" w:ascii="宋体" w:hAnsi="宋体" w:cs="宋体"/>
          <w:sz w:val="28"/>
          <w:szCs w:val="28"/>
          <w:highlight w:val="none"/>
          <w:lang w:val="en-US" w:eastAsia="zh-CN"/>
        </w:rPr>
        <w:t>2</w:t>
      </w:r>
      <w:r>
        <w:rPr>
          <w:rFonts w:hint="eastAsia" w:ascii="宋体" w:hAnsi="宋体" w:cs="宋体"/>
          <w:sz w:val="28"/>
          <w:szCs w:val="28"/>
          <w:highlight w:val="none"/>
        </w:rPr>
        <w:t>01版）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理财非存款、产品有风险、投资须谨慎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pStyle w:val="3"/>
        <w:pageBreakBefore w:val="0"/>
        <w:widowControl w:val="0"/>
        <w:numPr>
          <w:ilvl w:val="0"/>
          <w:numId w:val="1"/>
        </w:numPr>
        <w:kinsoku/>
        <w:wordWrap/>
        <w:overflowPunct/>
        <w:topLinePunct w:val="0"/>
        <w:autoSpaceDE/>
        <w:autoSpaceDN/>
        <w:bidi w:val="0"/>
        <w:adjustRightInd/>
        <w:snapToGrid/>
        <w:spacing w:line="360" w:lineRule="auto"/>
        <w:ind w:firstLine="482" w:firstLineChars="200"/>
        <w:textAlignment w:val="auto"/>
        <w:rPr>
          <w:rFonts w:hint="eastAsia"/>
          <w:highlight w:val="none"/>
        </w:rPr>
      </w:pPr>
      <w:r>
        <w:rPr>
          <w:rFonts w:hint="eastAsia"/>
          <w:highlight w:val="none"/>
        </w:rPr>
        <w:t>理财计划共性风险</w:t>
      </w:r>
    </w:p>
    <w:p>
      <w:pPr>
        <w:pStyle w:val="4"/>
        <w:numPr>
          <w:ilvl w:val="0"/>
          <w:numId w:val="2"/>
        </w:numPr>
        <w:bidi w:val="0"/>
        <w:ind w:firstLine="482" w:firstLineChars="200"/>
        <w:rPr>
          <w:highlight w:val="none"/>
        </w:rPr>
      </w:pPr>
      <w:r>
        <w:rPr>
          <w:rStyle w:val="23"/>
          <w:rFonts w:hint="eastAsia"/>
          <w:b/>
          <w:highlight w:val="none"/>
        </w:rPr>
        <w:t>信用风险：</w:t>
      </w:r>
      <w:r>
        <w:rPr>
          <w:rFonts w:hint="eastAsia"/>
          <w:highlight w:val="none"/>
        </w:rPr>
        <w:t>理财计划所投资产的相关义务人信用状况恶化，出现信用违约情形，则理财计划本金或收益蒙受部分或全部损失的风险。</w:t>
      </w:r>
    </w:p>
    <w:p>
      <w:pPr>
        <w:pStyle w:val="4"/>
        <w:numPr>
          <w:ilvl w:val="0"/>
          <w:numId w:val="2"/>
        </w:numPr>
        <w:bidi w:val="0"/>
        <w:ind w:firstLine="482" w:firstLineChars="200"/>
        <w:rPr>
          <w:rFonts w:hint="eastAsia"/>
          <w:highlight w:val="none"/>
        </w:rPr>
      </w:pPr>
      <w:r>
        <w:rPr>
          <w:rFonts w:hint="eastAsia"/>
          <w:b/>
          <w:highlight w:val="none"/>
        </w:rPr>
        <w:t>市场风险：</w:t>
      </w:r>
      <w:r>
        <w:rPr>
          <w:rFonts w:hint="eastAsia"/>
          <w:highlight w:val="none"/>
        </w:rPr>
        <w:t>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pStyle w:val="4"/>
        <w:numPr>
          <w:ilvl w:val="0"/>
          <w:numId w:val="4"/>
        </w:numPr>
        <w:bidi w:val="0"/>
        <w:ind w:firstLine="482" w:firstLineChars="200"/>
        <w:rPr>
          <w:highlight w:val="none"/>
        </w:rPr>
      </w:pPr>
      <w:r>
        <w:rPr>
          <w:rFonts w:hint="eastAsia"/>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pStyle w:val="4"/>
        <w:numPr>
          <w:ilvl w:val="0"/>
          <w:numId w:val="4"/>
        </w:numPr>
        <w:bidi w:val="0"/>
        <w:ind w:firstLine="482" w:firstLineChars="200"/>
        <w:rPr>
          <w:highlight w:val="none"/>
        </w:rPr>
      </w:pPr>
      <w:r>
        <w:rPr>
          <w:rFonts w:hint="eastAsia"/>
          <w:highlight w:val="none"/>
        </w:rPr>
        <w:t>政策风险：理财计划根据当前的相关法规和政策设计，如国家宏观政策以及相关市场法规发生变化，可能会影响理财计划的发行、投资、兑付等正常工作流程的进行，导致理财计划本金或收益蒙受部分或全部损失的风险。</w:t>
      </w:r>
    </w:p>
    <w:p>
      <w:pPr>
        <w:pStyle w:val="4"/>
        <w:numPr>
          <w:ilvl w:val="0"/>
          <w:numId w:val="4"/>
        </w:numPr>
        <w:bidi w:val="0"/>
        <w:ind w:firstLine="482" w:firstLineChars="200"/>
        <w:rPr>
          <w:highlight w:val="none"/>
        </w:rPr>
      </w:pPr>
      <w:r>
        <w:rPr>
          <w:rFonts w:hint="eastAsia"/>
          <w:highlight w:val="none"/>
        </w:rPr>
        <w:t>操作风险：理财计划由于内部作业、人员管理、系统操作、交易对手交易处理不当或失误等，导致理财计划本金或收益蒙受部分或全部损失的风险。</w:t>
      </w:r>
    </w:p>
    <w:p>
      <w:pPr>
        <w:pStyle w:val="4"/>
        <w:numPr>
          <w:ilvl w:val="0"/>
          <w:numId w:val="4"/>
        </w:numPr>
        <w:bidi w:val="0"/>
        <w:ind w:firstLine="482" w:firstLineChars="200"/>
        <w:rPr>
          <w:highlight w:val="none"/>
        </w:rPr>
      </w:pPr>
      <w:r>
        <w:rPr>
          <w:rFonts w:hint="eastAsia"/>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pStyle w:val="4"/>
        <w:numPr>
          <w:ilvl w:val="0"/>
          <w:numId w:val="4"/>
        </w:numPr>
        <w:bidi w:val="0"/>
        <w:ind w:firstLine="482" w:firstLineChars="200"/>
        <w:rPr>
          <w:highlight w:val="none"/>
        </w:rPr>
      </w:pPr>
      <w:r>
        <w:rPr>
          <w:rFonts w:hint="eastAsia"/>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pStyle w:val="4"/>
        <w:numPr>
          <w:ilvl w:val="0"/>
          <w:numId w:val="4"/>
        </w:numPr>
        <w:bidi w:val="0"/>
        <w:ind w:firstLine="482" w:firstLineChars="200"/>
        <w:rPr>
          <w:highlight w:val="none"/>
        </w:rPr>
      </w:pPr>
      <w:r>
        <w:rPr>
          <w:rFonts w:hint="eastAsia"/>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pStyle w:val="4"/>
        <w:numPr>
          <w:ilvl w:val="0"/>
          <w:numId w:val="4"/>
        </w:numPr>
        <w:bidi w:val="0"/>
        <w:ind w:firstLine="482" w:firstLineChars="200"/>
        <w:rPr>
          <w:highlight w:val="none"/>
        </w:rPr>
      </w:pPr>
      <w:r>
        <w:rPr>
          <w:rFonts w:hint="eastAsia"/>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ind w:firstLine="482" w:firstLineChars="200"/>
        <w:jc w:val="left"/>
        <w:outlineLvl w:val="2"/>
        <w:rPr>
          <w:rFonts w:hint="eastAsia" w:ascii="Calibri" w:hAnsi="Calibri" w:eastAsia="宋体" w:cs="黑体"/>
          <w:b/>
          <w:kern w:val="2"/>
          <w:sz w:val="24"/>
          <w:szCs w:val="24"/>
          <w:highlight w:val="none"/>
          <w:lang w:val="en-US" w:eastAsia="zh-CN" w:bidi="ar-SA"/>
        </w:rPr>
      </w:pPr>
      <w:r>
        <w:rPr>
          <w:rStyle w:val="24"/>
          <w:rFonts w:hint="eastAsia"/>
          <w:highlight w:val="none"/>
          <w:lang w:val="en-US" w:eastAsia="zh-CN"/>
        </w:rPr>
        <w:t>信息传递风险：</w:t>
      </w:r>
      <w:r>
        <w:rPr>
          <w:rFonts w:hint="eastAsia"/>
          <w:b/>
          <w:bCs/>
          <w:highlight w:val="none"/>
          <w:lang w:val="en-US" w:eastAsia="zh-CN"/>
        </w:rPr>
        <w:t>由于投资者未能及时主动了解理财计划信息，或由于通信故障、系统故障以及其他不可抗力等因素的影响，使得投资者无法及时了解理财计划信息，而导致投资者无法及时做出合理决策，导致理财计划本金或收益蒙受部分或全部损失的风险。</w:t>
      </w:r>
    </w:p>
    <w:p>
      <w:pPr>
        <w:pStyle w:val="4"/>
        <w:numPr>
          <w:ilvl w:val="0"/>
          <w:numId w:val="4"/>
        </w:numPr>
        <w:bidi w:val="0"/>
        <w:rPr>
          <w:highlight w:val="none"/>
        </w:rPr>
      </w:pPr>
      <w:r>
        <w:rPr>
          <w:rFonts w:hint="eastAsia"/>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highlight w:val="none"/>
          <w:lang w:eastAsia="zh-CN"/>
        </w:rPr>
        <w:t>理</w:t>
      </w:r>
      <w:r>
        <w:rPr>
          <w:rFonts w:hint="eastAsia"/>
          <w:highlight w:val="none"/>
        </w:rPr>
        <w:t>财计划本金或收益蒙受部分或全部损失的风险。</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建仓期风险：如理财计划设置建仓期，则在建仓期内理财计划的投资比例可能无法满足约定的投资比例限制，从而影响对理财计划收益产生影响。</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代销风险：本理财计划通过代销渠道销售，投资者认</w:t>
      </w:r>
      <w:r>
        <w:rPr>
          <w:rFonts w:hint="eastAsia" w:ascii="宋体" w:hAnsi="宋体" w:cs="宋体"/>
          <w:b/>
          <w:sz w:val="24"/>
          <w:highlight w:val="none"/>
          <w:lang w:val="en-US" w:eastAsia="zh-CN"/>
        </w:rPr>
        <w:t>/申</w:t>
      </w:r>
      <w:r>
        <w:rPr>
          <w:rFonts w:hint="eastAsia" w:ascii="宋体" w:hAnsi="宋体" w:cs="宋体"/>
          <w:b/>
          <w:sz w:val="24"/>
          <w:highlight w:val="none"/>
        </w:rPr>
        <w:t>购理财计划的资金由销售机构从投资者资金账户扣收；理财计划到期</w:t>
      </w:r>
      <w:r>
        <w:rPr>
          <w:rFonts w:hint="eastAsia" w:ascii="宋体" w:hAnsi="宋体" w:cs="宋体"/>
          <w:b/>
          <w:sz w:val="24"/>
          <w:highlight w:val="none"/>
          <w:lang w:val="en-US" w:eastAsia="zh-CN"/>
        </w:rPr>
        <w:t>/赎回</w:t>
      </w:r>
      <w:r>
        <w:rPr>
          <w:rFonts w:hint="eastAsia" w:ascii="宋体" w:hAnsi="宋体" w:cs="宋体"/>
          <w:b/>
          <w:sz w:val="24"/>
          <w:highlight w:val="none"/>
        </w:rPr>
        <w:t>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2"/>
        <w:rPr>
          <w:rFonts w:ascii="宋体" w:hAnsi="宋体" w:cs="宋体"/>
          <w:b/>
          <w:sz w:val="24"/>
          <w:highlight w:val="none"/>
        </w:rPr>
      </w:pPr>
      <w:r>
        <w:rPr>
          <w:rFonts w:ascii="宋体" w:hAnsi="宋体" w:cs="宋体"/>
          <w:b/>
          <w:sz w:val="24"/>
          <w:highlight w:val="none"/>
        </w:rPr>
        <w:t>关联关系风险：本理财</w:t>
      </w:r>
      <w:r>
        <w:rPr>
          <w:rFonts w:hint="eastAsia" w:ascii="宋体" w:hAnsi="宋体" w:cs="宋体"/>
          <w:b/>
          <w:sz w:val="24"/>
          <w:highlight w:val="none"/>
          <w:lang w:eastAsia="zh-CN"/>
        </w:rPr>
        <w:t>计划</w:t>
      </w:r>
      <w:r>
        <w:rPr>
          <w:rFonts w:ascii="宋体" w:hAnsi="宋体" w:cs="宋体"/>
          <w:b/>
          <w:sz w:val="24"/>
          <w:highlight w:val="none"/>
        </w:rPr>
        <w:t>销售机构</w:t>
      </w:r>
      <w:r>
        <w:rPr>
          <w:rFonts w:hint="eastAsia" w:ascii="宋体" w:hAnsi="宋体" w:cs="宋体"/>
          <w:b/>
          <w:sz w:val="24"/>
          <w:highlight w:val="none"/>
          <w:lang w:eastAsia="zh-CN"/>
        </w:rPr>
        <w:t>之一</w:t>
      </w:r>
      <w:r>
        <w:rPr>
          <w:rFonts w:ascii="宋体" w:hAnsi="宋体" w:cs="宋体"/>
          <w:b/>
          <w:sz w:val="24"/>
          <w:highlight w:val="none"/>
        </w:rPr>
        <w:t>为杭州银行股份有限公司，杭银理财系杭州银行全资子公司，双方存在关联关系。杭州银行作为本理财</w:t>
      </w:r>
      <w:r>
        <w:rPr>
          <w:rFonts w:hint="eastAsia" w:ascii="宋体" w:hAnsi="宋体" w:cs="宋体"/>
          <w:b/>
          <w:sz w:val="24"/>
          <w:highlight w:val="none"/>
          <w:lang w:eastAsia="zh-CN"/>
        </w:rPr>
        <w:t>计划</w:t>
      </w:r>
      <w:r>
        <w:rPr>
          <w:rFonts w:ascii="宋体" w:hAnsi="宋体" w:cs="宋体"/>
          <w:b/>
          <w:sz w:val="24"/>
          <w:highlight w:val="none"/>
        </w:rPr>
        <w:t>销售机构将按照法律法规、监管规定，执行不低于代理销售其他机构发行管理的理财产品的准入标准、风险评级、销售管理等要求；杭州银行作为销售机构不保证本</w:t>
      </w:r>
      <w:r>
        <w:rPr>
          <w:rFonts w:hint="eastAsia" w:ascii="宋体" w:hAnsi="宋体" w:cs="宋体"/>
          <w:b/>
          <w:sz w:val="24"/>
          <w:highlight w:val="none"/>
          <w:lang w:eastAsia="zh-CN"/>
        </w:rPr>
        <w:t>理财计划</w:t>
      </w:r>
      <w:r>
        <w:rPr>
          <w:rFonts w:ascii="宋体" w:hAnsi="宋体" w:cs="宋体"/>
          <w:b/>
          <w:sz w:val="24"/>
          <w:highlight w:val="none"/>
        </w:rPr>
        <w:t>收益，不承担</w:t>
      </w:r>
      <w:r>
        <w:rPr>
          <w:rFonts w:hint="eastAsia" w:ascii="宋体" w:hAnsi="宋体" w:cs="宋体"/>
          <w:b/>
          <w:sz w:val="24"/>
          <w:highlight w:val="none"/>
          <w:lang w:eastAsia="zh-CN"/>
        </w:rPr>
        <w:t>理财计划</w:t>
      </w:r>
      <w:r>
        <w:rPr>
          <w:rFonts w:ascii="宋体" w:hAnsi="宋体" w:cs="宋体"/>
          <w:b/>
          <w:sz w:val="24"/>
          <w:highlight w:val="none"/>
        </w:rPr>
        <w:t>的投资、兑付和风险管理责任。</w:t>
      </w: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理财计划特定风险</w:t>
      </w:r>
    </w:p>
    <w:p>
      <w:pPr>
        <w:numPr>
          <w:ilvl w:val="0"/>
          <w:numId w:val="5"/>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资金流动性风险：本理财</w:t>
      </w:r>
      <w:r>
        <w:rPr>
          <w:rFonts w:hint="eastAsia" w:ascii="宋体" w:hAnsi="宋体" w:cs="宋体"/>
          <w:b/>
          <w:sz w:val="24"/>
          <w:highlight w:val="none"/>
          <w:lang w:val="en-US" w:eastAsia="zh-CN"/>
        </w:rPr>
        <w:t>计划</w:t>
      </w:r>
      <w:r>
        <w:rPr>
          <w:rFonts w:hint="eastAsia" w:ascii="宋体" w:hAnsi="宋体" w:cs="宋体"/>
          <w:b/>
          <w:sz w:val="24"/>
          <w:highlight w:val="none"/>
        </w:rPr>
        <w:t>定期开放申购、赎回，非开放期内投资者不得提前交易。</w:t>
      </w:r>
    </w:p>
    <w:p>
      <w:pPr>
        <w:numPr>
          <w:ilvl w:val="0"/>
          <w:numId w:val="5"/>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收益不达业绩比较基准风险：业绩比较基准并非预测收益，不代表产品的未来表现和实际收益；本理财</w:t>
      </w:r>
      <w:r>
        <w:rPr>
          <w:rFonts w:hint="eastAsia" w:ascii="宋体" w:hAnsi="宋体" w:cs="宋体"/>
          <w:b/>
          <w:sz w:val="24"/>
          <w:highlight w:val="none"/>
          <w:lang w:val="en-US" w:eastAsia="zh-CN"/>
        </w:rPr>
        <w:t>计划</w:t>
      </w:r>
      <w:r>
        <w:rPr>
          <w:rFonts w:hint="eastAsia" w:ascii="宋体" w:hAnsi="宋体" w:cs="宋体"/>
          <w:b/>
          <w:sz w:val="24"/>
          <w:highlight w:val="none"/>
        </w:rPr>
        <w:t>的投资收益与投资者的申购、赎回时点密切相关，收益存在一定的波动性，产品本金出现损失的可能性不容忽视。</w:t>
      </w:r>
    </w:p>
    <w:p>
      <w:p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上述理财计划共性与特定风险发生时，投资者的本金及收益可能遭受损失，在最不利情形下，将损失全部本金及收益，由此产生的风险及损失将由投资者自行承担。</w:t>
      </w: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其他信息提示</w:t>
      </w:r>
    </w:p>
    <w:p>
      <w:pPr>
        <w:spacing w:line="360" w:lineRule="auto"/>
        <w:ind w:firstLine="480" w:firstLineChars="200"/>
        <w:jc w:val="left"/>
        <w:rPr>
          <w:rFonts w:ascii="宋体" w:hAnsi="宋体" w:cs="宋体"/>
          <w:b/>
          <w:sz w:val="24"/>
          <w:highlight w:val="none"/>
        </w:rPr>
      </w:pP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本理财计划为公募、开放式、〖</w:t>
      </w:r>
      <w:r>
        <w:rPr>
          <w:rFonts w:hint="eastAsia" w:ascii="宋体" w:hAnsi="宋体" w:cs="宋体"/>
          <w:b/>
          <w:sz w:val="24"/>
          <w:highlight w:val="none"/>
          <w:lang w:val="en-US" w:eastAsia="zh-CN"/>
        </w:rPr>
        <w:t>固定收益</w:t>
      </w:r>
      <w:r>
        <w:rPr>
          <w:rFonts w:hint="eastAsia" w:ascii="宋体" w:hAnsi="宋体" w:cs="宋体"/>
          <w:b/>
          <w:sz w:val="24"/>
          <w:highlight w:val="none"/>
        </w:rPr>
        <w:t>类〗净值型理财计划，</w:t>
      </w:r>
      <w:r>
        <w:rPr>
          <w:rFonts w:hint="eastAsia" w:ascii="宋体" w:hAnsi="宋体" w:cs="宋体"/>
          <w:b/>
          <w:sz w:val="24"/>
          <w:highlight w:val="none"/>
        </w:rPr>
        <w:t>〖</w:t>
      </w:r>
      <w:r>
        <w:rPr>
          <w:rFonts w:hint="eastAsia" w:ascii="宋体" w:hAnsi="宋体" w:cs="宋体"/>
          <w:b/>
          <w:sz w:val="24"/>
          <w:highlight w:val="none"/>
          <w:lang w:eastAsia="zh-CN"/>
        </w:rPr>
        <w:t>无固定期限</w:t>
      </w:r>
      <w:r>
        <w:rPr>
          <w:rFonts w:hint="eastAsia" w:ascii="宋体" w:hAnsi="宋体" w:cs="宋体"/>
          <w:b/>
          <w:sz w:val="24"/>
          <w:highlight w:val="none"/>
        </w:rPr>
        <w:t>〗，</w:t>
      </w:r>
      <w:r>
        <w:rPr>
          <w:rFonts w:hint="eastAsia" w:ascii="宋体" w:hAnsi="宋体" w:cs="宋体"/>
          <w:b/>
          <w:sz w:val="24"/>
          <w:highlight w:val="none"/>
        </w:rPr>
        <w:t>不保证本金与收益。根据本公司理财产品内部风险评级，该理财计划风险评级结果为〖R</w:t>
      </w:r>
      <w:r>
        <w:rPr>
          <w:rFonts w:hint="eastAsia" w:ascii="宋体" w:hAnsi="宋体" w:cs="宋体"/>
          <w:b/>
          <w:sz w:val="24"/>
          <w:highlight w:val="none"/>
          <w:lang w:val="en-US" w:eastAsia="zh-CN"/>
        </w:rPr>
        <w:t>2</w:t>
      </w:r>
      <w:r>
        <w:rPr>
          <w:rFonts w:hint="eastAsia" w:ascii="宋体" w:hAnsi="宋体" w:cs="宋体"/>
          <w:b/>
          <w:sz w:val="24"/>
          <w:highlight w:val="none"/>
        </w:rPr>
        <w:t>〗,〖</w:t>
      </w:r>
      <w:r>
        <w:rPr>
          <w:rFonts w:hint="eastAsia" w:ascii="宋体" w:hAnsi="宋体" w:cs="宋体"/>
          <w:b/>
          <w:sz w:val="24"/>
          <w:highlight w:val="none"/>
          <w:lang w:val="en-US" w:eastAsia="zh-CN"/>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eastAsia="zh-CN"/>
        </w:rPr>
        <w:t>，</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总体风险〖程度较低，收益波动较小，虽然存在一些可能对产品本金和收益安全产生不利影响的因素，但产品本金出现损失的可能性较小〗。</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sz w:val="24"/>
          <w:highlight w:val="none"/>
          <w:lang w:val="en-US" w:eastAsia="zh-CN"/>
        </w:rPr>
        <w:t>个人投资者的风险承受能力评估以销售机构为准</w:t>
      </w:r>
      <w:r>
        <w:rPr>
          <w:rFonts w:hint="eastAsia" w:ascii="宋体" w:hAnsi="宋体" w:cs="宋体"/>
          <w:b/>
          <w:sz w:val="24"/>
          <w:highlight w:val="none"/>
        </w:rPr>
        <w:t>。</w:t>
      </w:r>
      <w:r>
        <w:rPr>
          <w:rFonts w:hint="eastAsia" w:ascii="宋体" w:hAnsi="宋体" w:cs="宋体"/>
          <w:bCs/>
          <w:sz w:val="24"/>
          <w:highlight w:val="none"/>
        </w:rPr>
        <w:t>本理财计划投资者适当性评估由销售机构负责，销售机构应确保个人投资者的风险承受能力不低于本理财计划风险评级。</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上述风险客观存在，敬请投资者予以充分关注！</w:t>
      </w:r>
    </w:p>
    <w:p>
      <w:pPr>
        <w:spacing w:line="360" w:lineRule="auto"/>
        <w:ind w:firstLine="480" w:firstLineChars="200"/>
        <w:jc w:val="righ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Cs/>
          <w:sz w:val="24"/>
          <w:highlight w:val="none"/>
        </w:rPr>
      </w:pPr>
    </w:p>
    <w:p>
      <w:pPr>
        <w:spacing w:line="360" w:lineRule="auto"/>
        <w:ind w:firstLine="480" w:firstLineChars="200"/>
        <w:jc w:val="right"/>
        <w:rPr>
          <w:rFonts w:hint="eastAsia" w:ascii="宋体" w:hAnsi="宋体" w:cs="宋体"/>
          <w:bCs/>
          <w:sz w:val="24"/>
          <w:highlight w:val="none"/>
        </w:rPr>
      </w:pPr>
      <w:r>
        <w:rPr>
          <w:rFonts w:hint="eastAsia" w:ascii="宋体" w:hAnsi="宋体" w:cs="宋体"/>
          <w:bCs/>
          <w:sz w:val="24"/>
          <w:highlight w:val="none"/>
        </w:rPr>
        <w:t>风险提示方：杭银理财有限责任公司</w:t>
      </w:r>
    </w:p>
    <w:p>
      <w:pPr>
        <w:spacing w:line="360" w:lineRule="auto"/>
        <w:jc w:val="both"/>
        <w:rPr>
          <w:rFonts w:hint="eastAsia" w:ascii="宋体" w:hAnsi="宋体" w:cs="宋体"/>
          <w:bCs/>
          <w:sz w:val="24"/>
          <w:highlight w:val="none"/>
        </w:rPr>
      </w:pPr>
    </w:p>
    <w:p>
      <w:pPr>
        <w:pStyle w:val="17"/>
        <w:spacing w:line="360" w:lineRule="auto"/>
        <w:jc w:val="both"/>
        <w:rPr>
          <w:rFonts w:hint="eastAsia" w:ascii="宋体" w:hAnsi="宋体" w:cs="宋体"/>
          <w:b/>
          <w:color w:val="auto"/>
          <w:highlight w:val="none"/>
        </w:rPr>
      </w:pPr>
    </w:p>
    <w:p>
      <w:pPr>
        <w:pStyle w:val="17"/>
        <w:spacing w:line="360" w:lineRule="auto"/>
        <w:ind w:firstLine="482" w:firstLineChars="200"/>
        <w:jc w:val="center"/>
        <w:outlineLvl w:val="1"/>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17"/>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17"/>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17"/>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w:t>
      </w:r>
      <w:r>
        <w:rPr>
          <w:rFonts w:hint="eastAsia" w:ascii="宋体" w:hAnsi="宋体" w:cs="宋体"/>
          <w:b w:val="0"/>
          <w:bCs w:val="0"/>
          <w:color w:val="auto"/>
          <w:highlight w:val="none"/>
          <w:u w:val="single"/>
        </w:rPr>
        <w:t>风险</w:t>
      </w:r>
      <w:r>
        <w:rPr>
          <w:rFonts w:hint="eastAsia" w:ascii="宋体" w:hAnsi="宋体" w:cs="宋体"/>
          <w:color w:val="auto"/>
          <w:highlight w:val="none"/>
          <w:u w:val="single"/>
        </w:rPr>
        <w:t>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17"/>
        <w:spacing w:line="360" w:lineRule="auto"/>
        <w:ind w:firstLine="482" w:firstLineChars="200"/>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17"/>
        <w:spacing w:line="360" w:lineRule="auto"/>
        <w:ind w:firstLine="482" w:firstLineChars="200"/>
        <w:jc w:val="both"/>
        <w:rPr>
          <w:rFonts w:hint="eastAsia"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17"/>
        <w:spacing w:line="360" w:lineRule="auto"/>
        <w:ind w:firstLine="480" w:firstLineChars="20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17"/>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outlineLvl w:val="1"/>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pStyle w:val="17"/>
        <w:spacing w:line="360" w:lineRule="auto"/>
        <w:ind w:firstLine="482" w:firstLineChars="200"/>
        <w:jc w:val="both"/>
        <w:rPr>
          <w:rFonts w:hint="eastAsia" w:ascii="宋体" w:hAnsi="宋体" w:eastAsia="宋体" w:cs="宋体"/>
          <w:b/>
          <w:bCs/>
          <w:color w:val="auto"/>
          <w:highlight w:val="none"/>
          <w:u w:val="none"/>
          <w:lang w:val="en-US" w:eastAsia="zh-CN"/>
        </w:rPr>
      </w:pP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p>
    <w:p>
      <w:pPr>
        <w:jc w:val="both"/>
        <w:outlineLvl w:val="9"/>
        <w:rPr>
          <w:rFonts w:hint="eastAsia" w:ascii="Calibri" w:hAnsi="Calibri" w:eastAsia="宋体" w:cs="黑体"/>
          <w:b/>
          <w:bCs w:val="0"/>
          <w:sz w:val="44"/>
          <w:szCs w:val="44"/>
          <w:highlight w:val="none"/>
          <w:lang w:val="en-US" w:eastAsia="zh-CN"/>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9264"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投资须谨慎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CEBF199A"/>
    <w:multiLevelType w:val="singleLevel"/>
    <w:tmpl w:val="CEBF199A"/>
    <w:lvl w:ilvl="0" w:tentative="0">
      <w:start w:val="1"/>
      <w:numFmt w:val="chineseCounting"/>
      <w:suff w:val="nothing"/>
      <w:lvlText w:val="（%1）"/>
      <w:lvlJc w:val="left"/>
      <w:pPr>
        <w:ind w:left="0" w:firstLine="420"/>
      </w:pPr>
      <w:rPr>
        <w:rFonts w:hint="eastAsia"/>
      </w:r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4A3A51"/>
    <w:rsid w:val="00D5498D"/>
    <w:rsid w:val="01364432"/>
    <w:rsid w:val="01523B8E"/>
    <w:rsid w:val="01BB3F30"/>
    <w:rsid w:val="01E60817"/>
    <w:rsid w:val="01FD241C"/>
    <w:rsid w:val="03F1228C"/>
    <w:rsid w:val="046C4318"/>
    <w:rsid w:val="05165B63"/>
    <w:rsid w:val="05E05E4D"/>
    <w:rsid w:val="05ED7265"/>
    <w:rsid w:val="06420CFA"/>
    <w:rsid w:val="06503B59"/>
    <w:rsid w:val="065B6789"/>
    <w:rsid w:val="069C5693"/>
    <w:rsid w:val="06DA626B"/>
    <w:rsid w:val="06F301FD"/>
    <w:rsid w:val="0752555A"/>
    <w:rsid w:val="07E45984"/>
    <w:rsid w:val="0828699A"/>
    <w:rsid w:val="087D4021"/>
    <w:rsid w:val="08E1077C"/>
    <w:rsid w:val="09155E8F"/>
    <w:rsid w:val="097E3F67"/>
    <w:rsid w:val="09FE573C"/>
    <w:rsid w:val="0A0C6349"/>
    <w:rsid w:val="0A1347F5"/>
    <w:rsid w:val="0A1F3796"/>
    <w:rsid w:val="0A2A32B9"/>
    <w:rsid w:val="0B8E27E3"/>
    <w:rsid w:val="0BF71AE2"/>
    <w:rsid w:val="0C9C7394"/>
    <w:rsid w:val="0CA6603D"/>
    <w:rsid w:val="0D0B1B00"/>
    <w:rsid w:val="0D3F210A"/>
    <w:rsid w:val="0E36795A"/>
    <w:rsid w:val="0E4A4B6F"/>
    <w:rsid w:val="0E9465E2"/>
    <w:rsid w:val="0EAE473F"/>
    <w:rsid w:val="0EF65480"/>
    <w:rsid w:val="0F3349D0"/>
    <w:rsid w:val="10776FA2"/>
    <w:rsid w:val="10E7087B"/>
    <w:rsid w:val="10FA5463"/>
    <w:rsid w:val="119C4829"/>
    <w:rsid w:val="11BA058F"/>
    <w:rsid w:val="12081858"/>
    <w:rsid w:val="12B62B3B"/>
    <w:rsid w:val="12F57C75"/>
    <w:rsid w:val="12F65E46"/>
    <w:rsid w:val="12F96486"/>
    <w:rsid w:val="13031153"/>
    <w:rsid w:val="13181417"/>
    <w:rsid w:val="135A629F"/>
    <w:rsid w:val="13CF7B8E"/>
    <w:rsid w:val="14B80FF2"/>
    <w:rsid w:val="14C57FED"/>
    <w:rsid w:val="150C5665"/>
    <w:rsid w:val="15485BE1"/>
    <w:rsid w:val="1553750A"/>
    <w:rsid w:val="15C56302"/>
    <w:rsid w:val="160940BB"/>
    <w:rsid w:val="1659752C"/>
    <w:rsid w:val="16CE5BE1"/>
    <w:rsid w:val="16E43A7F"/>
    <w:rsid w:val="175F7C56"/>
    <w:rsid w:val="17CD3A91"/>
    <w:rsid w:val="185A3DA1"/>
    <w:rsid w:val="198C4B50"/>
    <w:rsid w:val="19BB4557"/>
    <w:rsid w:val="19DA4F78"/>
    <w:rsid w:val="19F13F4F"/>
    <w:rsid w:val="1A102675"/>
    <w:rsid w:val="1A3B5FB6"/>
    <w:rsid w:val="1B280245"/>
    <w:rsid w:val="1B581220"/>
    <w:rsid w:val="1B843575"/>
    <w:rsid w:val="1BBE4697"/>
    <w:rsid w:val="1C7C60E2"/>
    <w:rsid w:val="1CD6762A"/>
    <w:rsid w:val="1D4D5B7F"/>
    <w:rsid w:val="1D5076C2"/>
    <w:rsid w:val="1D552DD9"/>
    <w:rsid w:val="1DAB6D83"/>
    <w:rsid w:val="1E3173A3"/>
    <w:rsid w:val="1E792E51"/>
    <w:rsid w:val="1F0F5A19"/>
    <w:rsid w:val="1F1D6E1F"/>
    <w:rsid w:val="1F3E7F7D"/>
    <w:rsid w:val="1F51312D"/>
    <w:rsid w:val="1F58266E"/>
    <w:rsid w:val="1FC9553A"/>
    <w:rsid w:val="204D3B12"/>
    <w:rsid w:val="205A2AB3"/>
    <w:rsid w:val="20B6224D"/>
    <w:rsid w:val="21025026"/>
    <w:rsid w:val="21036497"/>
    <w:rsid w:val="21CE3241"/>
    <w:rsid w:val="22A04AF7"/>
    <w:rsid w:val="22A73C8E"/>
    <w:rsid w:val="22D3594B"/>
    <w:rsid w:val="22F12819"/>
    <w:rsid w:val="22F16CBB"/>
    <w:rsid w:val="234F46D7"/>
    <w:rsid w:val="23753F06"/>
    <w:rsid w:val="238E1AAE"/>
    <w:rsid w:val="23DF60A6"/>
    <w:rsid w:val="24030B6D"/>
    <w:rsid w:val="2415633B"/>
    <w:rsid w:val="2420793E"/>
    <w:rsid w:val="24345B9A"/>
    <w:rsid w:val="245517BD"/>
    <w:rsid w:val="2483647E"/>
    <w:rsid w:val="256F076F"/>
    <w:rsid w:val="25AF7681"/>
    <w:rsid w:val="25CA2E84"/>
    <w:rsid w:val="26820AF7"/>
    <w:rsid w:val="268D46D2"/>
    <w:rsid w:val="27947E62"/>
    <w:rsid w:val="27EB2573"/>
    <w:rsid w:val="284E2ED6"/>
    <w:rsid w:val="292668E3"/>
    <w:rsid w:val="29361BBD"/>
    <w:rsid w:val="29695BC0"/>
    <w:rsid w:val="2A124404"/>
    <w:rsid w:val="2A1B5D68"/>
    <w:rsid w:val="2A5975B6"/>
    <w:rsid w:val="2A991D32"/>
    <w:rsid w:val="2AB92324"/>
    <w:rsid w:val="2AD6555A"/>
    <w:rsid w:val="2B376BE0"/>
    <w:rsid w:val="2B5B0398"/>
    <w:rsid w:val="2C1B1E9D"/>
    <w:rsid w:val="2CAB68C5"/>
    <w:rsid w:val="2DDD6A82"/>
    <w:rsid w:val="2E354AE5"/>
    <w:rsid w:val="2EBC6D03"/>
    <w:rsid w:val="2F196945"/>
    <w:rsid w:val="2F1F666C"/>
    <w:rsid w:val="2FC772F1"/>
    <w:rsid w:val="2FD32A37"/>
    <w:rsid w:val="30111202"/>
    <w:rsid w:val="30467D6D"/>
    <w:rsid w:val="30551FFC"/>
    <w:rsid w:val="311F702A"/>
    <w:rsid w:val="312E4485"/>
    <w:rsid w:val="31331DE0"/>
    <w:rsid w:val="31A82883"/>
    <w:rsid w:val="320E3E15"/>
    <w:rsid w:val="32B15B31"/>
    <w:rsid w:val="32C937E9"/>
    <w:rsid w:val="333F6AA7"/>
    <w:rsid w:val="3480359E"/>
    <w:rsid w:val="34BE4ED5"/>
    <w:rsid w:val="35476F5E"/>
    <w:rsid w:val="354D3F58"/>
    <w:rsid w:val="359A216E"/>
    <w:rsid w:val="35CB65AD"/>
    <w:rsid w:val="36631FD8"/>
    <w:rsid w:val="36C419F2"/>
    <w:rsid w:val="36E72D9B"/>
    <w:rsid w:val="36FD7080"/>
    <w:rsid w:val="379F2ED6"/>
    <w:rsid w:val="37CA172C"/>
    <w:rsid w:val="37DC2068"/>
    <w:rsid w:val="38071350"/>
    <w:rsid w:val="38224FD0"/>
    <w:rsid w:val="38E31C93"/>
    <w:rsid w:val="39775E90"/>
    <w:rsid w:val="39AC0F1B"/>
    <w:rsid w:val="39B95084"/>
    <w:rsid w:val="39BA0AF0"/>
    <w:rsid w:val="3A3E2041"/>
    <w:rsid w:val="3B131EF6"/>
    <w:rsid w:val="3B490D86"/>
    <w:rsid w:val="3BD74075"/>
    <w:rsid w:val="3C2F2290"/>
    <w:rsid w:val="3E2C1E51"/>
    <w:rsid w:val="3E6704D2"/>
    <w:rsid w:val="3EA67C14"/>
    <w:rsid w:val="3EAD1B36"/>
    <w:rsid w:val="3F056B9E"/>
    <w:rsid w:val="3F354A62"/>
    <w:rsid w:val="3FB01289"/>
    <w:rsid w:val="3FE233B8"/>
    <w:rsid w:val="3FF54C55"/>
    <w:rsid w:val="40181F9C"/>
    <w:rsid w:val="406370BC"/>
    <w:rsid w:val="40DF388D"/>
    <w:rsid w:val="40FB7670"/>
    <w:rsid w:val="412E2C9B"/>
    <w:rsid w:val="41B60000"/>
    <w:rsid w:val="423C06E2"/>
    <w:rsid w:val="42815397"/>
    <w:rsid w:val="42C94634"/>
    <w:rsid w:val="43113F5B"/>
    <w:rsid w:val="43BB29BF"/>
    <w:rsid w:val="44E551B8"/>
    <w:rsid w:val="45540446"/>
    <w:rsid w:val="458F3937"/>
    <w:rsid w:val="459F641E"/>
    <w:rsid w:val="45A93DC9"/>
    <w:rsid w:val="45BB5620"/>
    <w:rsid w:val="45EC58A2"/>
    <w:rsid w:val="45F127ED"/>
    <w:rsid w:val="46263D02"/>
    <w:rsid w:val="4651609A"/>
    <w:rsid w:val="46CD66A0"/>
    <w:rsid w:val="472803B7"/>
    <w:rsid w:val="478411E4"/>
    <w:rsid w:val="48021DEB"/>
    <w:rsid w:val="488B59A4"/>
    <w:rsid w:val="48CC5267"/>
    <w:rsid w:val="494502E1"/>
    <w:rsid w:val="494C4325"/>
    <w:rsid w:val="499F4349"/>
    <w:rsid w:val="49BB2867"/>
    <w:rsid w:val="4A010AC9"/>
    <w:rsid w:val="4A7F0ADF"/>
    <w:rsid w:val="4AA612F0"/>
    <w:rsid w:val="4B0D3113"/>
    <w:rsid w:val="4B660D6A"/>
    <w:rsid w:val="4B992D86"/>
    <w:rsid w:val="4C1A730D"/>
    <w:rsid w:val="4C6B0DDA"/>
    <w:rsid w:val="4C6E1306"/>
    <w:rsid w:val="4CC946ED"/>
    <w:rsid w:val="4CF979F4"/>
    <w:rsid w:val="4D8C0BC8"/>
    <w:rsid w:val="4E186164"/>
    <w:rsid w:val="4E247E9A"/>
    <w:rsid w:val="4E2F1033"/>
    <w:rsid w:val="4E8274B0"/>
    <w:rsid w:val="4EA65BC4"/>
    <w:rsid w:val="4EF420E3"/>
    <w:rsid w:val="4EFC1B31"/>
    <w:rsid w:val="4F2836A5"/>
    <w:rsid w:val="4FF363B3"/>
    <w:rsid w:val="501216FC"/>
    <w:rsid w:val="50B73634"/>
    <w:rsid w:val="51434E1B"/>
    <w:rsid w:val="51504FE6"/>
    <w:rsid w:val="53A02AFD"/>
    <w:rsid w:val="54E90CED"/>
    <w:rsid w:val="54E91D9C"/>
    <w:rsid w:val="55A47BB4"/>
    <w:rsid w:val="5625142C"/>
    <w:rsid w:val="56B44788"/>
    <w:rsid w:val="570528AC"/>
    <w:rsid w:val="57141583"/>
    <w:rsid w:val="57742E23"/>
    <w:rsid w:val="57BB6218"/>
    <w:rsid w:val="57FF3AAA"/>
    <w:rsid w:val="58DD2EEE"/>
    <w:rsid w:val="58E96C7A"/>
    <w:rsid w:val="59263C31"/>
    <w:rsid w:val="59AD3C67"/>
    <w:rsid w:val="5A4B183F"/>
    <w:rsid w:val="5B0D630F"/>
    <w:rsid w:val="5B602150"/>
    <w:rsid w:val="5B9919B4"/>
    <w:rsid w:val="5B9E0365"/>
    <w:rsid w:val="5BB70148"/>
    <w:rsid w:val="5BF22FE4"/>
    <w:rsid w:val="5C2F1987"/>
    <w:rsid w:val="5C3C3DDC"/>
    <w:rsid w:val="5D160516"/>
    <w:rsid w:val="5D690386"/>
    <w:rsid w:val="5D713BC5"/>
    <w:rsid w:val="5D7D0F36"/>
    <w:rsid w:val="5DB61BFF"/>
    <w:rsid w:val="5DEF454B"/>
    <w:rsid w:val="5E076A27"/>
    <w:rsid w:val="5E5A6C63"/>
    <w:rsid w:val="5EF42ABD"/>
    <w:rsid w:val="5F3C6712"/>
    <w:rsid w:val="5F4B58F3"/>
    <w:rsid w:val="6053481F"/>
    <w:rsid w:val="60553A8D"/>
    <w:rsid w:val="606E0DED"/>
    <w:rsid w:val="60AB2000"/>
    <w:rsid w:val="60F2599C"/>
    <w:rsid w:val="61C97391"/>
    <w:rsid w:val="61D85325"/>
    <w:rsid w:val="62860AAA"/>
    <w:rsid w:val="628B7CEE"/>
    <w:rsid w:val="629D5796"/>
    <w:rsid w:val="62B8299F"/>
    <w:rsid w:val="63FA4C5C"/>
    <w:rsid w:val="64102A52"/>
    <w:rsid w:val="64BC6713"/>
    <w:rsid w:val="66F54088"/>
    <w:rsid w:val="671E2162"/>
    <w:rsid w:val="67C2281F"/>
    <w:rsid w:val="680C1A56"/>
    <w:rsid w:val="684F0C72"/>
    <w:rsid w:val="68D8721E"/>
    <w:rsid w:val="6A7F04CC"/>
    <w:rsid w:val="6A831914"/>
    <w:rsid w:val="6B4C3753"/>
    <w:rsid w:val="6B610D05"/>
    <w:rsid w:val="6BAC21D5"/>
    <w:rsid w:val="6CED1CB3"/>
    <w:rsid w:val="6D3B42C3"/>
    <w:rsid w:val="6D5A3D63"/>
    <w:rsid w:val="6D9A4080"/>
    <w:rsid w:val="6E1942EF"/>
    <w:rsid w:val="6E7E575F"/>
    <w:rsid w:val="6EC27507"/>
    <w:rsid w:val="6EF15941"/>
    <w:rsid w:val="6F926461"/>
    <w:rsid w:val="6F9921A1"/>
    <w:rsid w:val="6FA453FA"/>
    <w:rsid w:val="71EA2A00"/>
    <w:rsid w:val="720B7A64"/>
    <w:rsid w:val="720F6016"/>
    <w:rsid w:val="722D6F9E"/>
    <w:rsid w:val="72581C8E"/>
    <w:rsid w:val="73407EBD"/>
    <w:rsid w:val="73932176"/>
    <w:rsid w:val="73EF4563"/>
    <w:rsid w:val="74037319"/>
    <w:rsid w:val="74175679"/>
    <w:rsid w:val="744124AA"/>
    <w:rsid w:val="74664F47"/>
    <w:rsid w:val="7556718C"/>
    <w:rsid w:val="756E538F"/>
    <w:rsid w:val="75D950C9"/>
    <w:rsid w:val="76F41323"/>
    <w:rsid w:val="77100360"/>
    <w:rsid w:val="778222EA"/>
    <w:rsid w:val="778B4219"/>
    <w:rsid w:val="77A30DC4"/>
    <w:rsid w:val="77E0572E"/>
    <w:rsid w:val="77ED4104"/>
    <w:rsid w:val="78EF4372"/>
    <w:rsid w:val="78F52E2F"/>
    <w:rsid w:val="79771B00"/>
    <w:rsid w:val="7980282D"/>
    <w:rsid w:val="798F6426"/>
    <w:rsid w:val="79B94653"/>
    <w:rsid w:val="7AA01702"/>
    <w:rsid w:val="7ACA272A"/>
    <w:rsid w:val="7B0E7C70"/>
    <w:rsid w:val="7B2E004A"/>
    <w:rsid w:val="7B76641B"/>
    <w:rsid w:val="7BBF1397"/>
    <w:rsid w:val="7CED52DC"/>
    <w:rsid w:val="7E4C7E5D"/>
    <w:rsid w:val="7E6F339A"/>
    <w:rsid w:val="7E810662"/>
    <w:rsid w:val="7ED67E61"/>
    <w:rsid w:val="7F590AE3"/>
    <w:rsid w:val="7FB62CC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20"/>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3"/>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4"/>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tblPr>
      <w:tblStyle w:val="11"/>
      <w:tblLayout w:type="fixed"/>
      <w:tblCellMar>
        <w:top w:w="0" w:type="dxa"/>
        <w:left w:w="108" w:type="dxa"/>
        <w:bottom w:w="0" w:type="dxa"/>
        <w:right w:w="108" w:type="dxa"/>
      </w:tblCellMar>
    </w:tblPr>
  </w:style>
  <w:style w:type="paragraph" w:styleId="5">
    <w:name w:val="annotation text"/>
    <w:basedOn w:val="1"/>
    <w:link w:val="21"/>
    <w:uiPriority w:val="0"/>
    <w:pPr>
      <w:jc w:val="left"/>
    </w:pPr>
  </w:style>
  <w:style w:type="paragraph" w:styleId="6">
    <w:name w:val="Balloon Text"/>
    <w:basedOn w:val="1"/>
    <w:link w:val="19"/>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rPr>
      <w:sz w:val="24"/>
    </w:rPr>
  </w:style>
  <w:style w:type="paragraph" w:styleId="10">
    <w:name w:val="annotation subject"/>
    <w:basedOn w:val="5"/>
    <w:next w:val="5"/>
    <w:link w:val="22"/>
    <w:uiPriority w:val="0"/>
    <w:rPr>
      <w:b/>
      <w:bCs/>
    </w:rPr>
  </w:style>
  <w:style w:type="table" w:styleId="12">
    <w:name w:val="Table Grid"/>
    <w:basedOn w:val="11"/>
    <w:unhideWhenUsed/>
    <w:uiPriority w:val="99"/>
    <w:pPr>
      <w:widowControl w:val="0"/>
      <w:jc w:val="both"/>
    </w:pPr>
    <w:tblPr>
      <w:tblStyle w:val="1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paragraph" w:customStyle="1" w:styleId="16">
    <w:name w:val="List Paragraph"/>
    <w:basedOn w:val="1"/>
    <w:unhideWhenUsed/>
    <w:uiPriority w:val="99"/>
    <w:pPr>
      <w:ind w:firstLine="420" w:firstLineChars="200"/>
    </w:pPr>
  </w:style>
  <w:style w:type="paragraph" w:customStyle="1" w:styleId="17">
    <w:name w:val="Default"/>
    <w:qFormat/>
    <w:uiPriority w:val="0"/>
    <w:pPr>
      <w:widowControl w:val="0"/>
      <w:autoSpaceDE w:val="0"/>
      <w:autoSpaceDN w:val="0"/>
      <w:adjustRightInd w:val="0"/>
    </w:pPr>
    <w:rPr>
      <w:color w:val="000000"/>
      <w:sz w:val="24"/>
      <w:szCs w:val="24"/>
      <w:lang w:val="en-US" w:eastAsia="zh-CN" w:bidi="ar-SA"/>
    </w:rPr>
  </w:style>
  <w:style w:type="paragraph" w:customStyle="1" w:styleId="18">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19">
    <w:name w:val="批注框文本 Char"/>
    <w:link w:val="6"/>
    <w:uiPriority w:val="0"/>
    <w:rPr>
      <w:rFonts w:ascii="Calibri" w:hAnsi="Calibri" w:cs="黑体"/>
      <w:kern w:val="2"/>
      <w:sz w:val="18"/>
      <w:szCs w:val="18"/>
    </w:rPr>
  </w:style>
  <w:style w:type="character" w:customStyle="1" w:styleId="20">
    <w:name w:val="标题 1 Char"/>
    <w:link w:val="2"/>
    <w:uiPriority w:val="0"/>
    <w:rPr>
      <w:rFonts w:eastAsia="宋体"/>
      <w:b/>
      <w:kern w:val="44"/>
      <w:sz w:val="44"/>
    </w:rPr>
  </w:style>
  <w:style w:type="character" w:customStyle="1" w:styleId="21">
    <w:name w:val="批注文字 Char"/>
    <w:link w:val="5"/>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标题 2 Char"/>
    <w:link w:val="3"/>
    <w:uiPriority w:val="0"/>
    <w:rPr>
      <w:rFonts w:ascii="Arial" w:hAnsi="Arial" w:eastAsia="宋体"/>
      <w:b/>
      <w:sz w:val="24"/>
    </w:rPr>
  </w:style>
  <w:style w:type="character" w:customStyle="1" w:styleId="24">
    <w:name w:val="标题 3 Char"/>
    <w:link w:val="4"/>
    <w:uiPriority w:val="0"/>
    <w:rPr>
      <w:rFonts w:hAnsi="Calibri" w:eastAsia="宋体"/>
      <w:b/>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57</Pages>
  <Words>36754</Words>
  <Characters>39181</Characters>
  <Lines>1</Lines>
  <Paragraphs>1</Paragraphs>
  <TotalTime>1</TotalTime>
  <ScaleCrop>false</ScaleCrop>
  <LinksUpToDate>false</LinksUpToDate>
  <CharactersWithSpaces>39406</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陈舒虹</dc:creator>
  <cp:lastModifiedBy>hccb</cp:lastModifiedBy>
  <dcterms:modified xsi:type="dcterms:W3CDTF">2025-09-15T06:24:44Z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06A49D61929F4201B4ADB8DA4C945300</vt:lpwstr>
  </property>
</Properties>
</file>