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bidi w:val="0"/>
        <w:rPr>
          <w:rFonts w:hint="eastAsia"/>
          <w:highlight w:val="none"/>
        </w:rPr>
      </w:pPr>
      <w:r>
        <w:rPr>
          <w:rFonts w:hint="eastAsia" w:ascii="宋体" w:hAnsi="宋体" w:cs="宋体"/>
          <w:b/>
          <w:bCs/>
          <w:sz w:val="44"/>
          <w:szCs w:val="44"/>
          <w:highlight w:val="none"/>
          <w:lang w:eastAsia="zh-CN"/>
        </w:rPr>
        <w:t>幸福99益合·添益（年年红）1年定开型2537期理财</w:t>
      </w:r>
      <w:r>
        <w:rPr>
          <w:rFonts w:hint="eastAsia" w:ascii="宋体" w:hAnsi="宋体" w:eastAsia="宋体" w:cs="宋体"/>
          <w:b/>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202502版</w:t>
      </w:r>
      <w:r>
        <w:rPr>
          <w:rFonts w:hint="eastAsia" w:ascii="宋体" w:hAnsi="宋体" w:cs="宋体"/>
          <w:sz w:val="28"/>
          <w:szCs w:val="28"/>
          <w:highlight w:val="none"/>
        </w:rPr>
        <w:t>）</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和理财计划（代理销售）销售协议书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pStyle w:val="3"/>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highlight w:val="none"/>
        </w:rPr>
      </w:pPr>
      <w:r>
        <w:rPr>
          <w:rFonts w:hint="eastAsia"/>
          <w:highlight w:val="none"/>
        </w:rPr>
        <w:t>理财计划共性风险</w:t>
      </w:r>
    </w:p>
    <w:p>
      <w:pPr>
        <w:pStyle w:val="4"/>
        <w:keepNext w:val="0"/>
        <w:keepLines w:val="0"/>
        <w:numPr>
          <w:ilvl w:val="0"/>
          <w:numId w:val="2"/>
        </w:numPr>
        <w:bidi w:val="0"/>
        <w:ind w:firstLine="480" w:firstLineChars="200"/>
        <w:rPr>
          <w:highlight w:val="none"/>
        </w:rPr>
      </w:pPr>
      <w:r>
        <w:rPr>
          <w:rStyle w:val="19"/>
          <w:rFonts w:hint="eastAsia"/>
          <w:vanish w:val="0"/>
          <w:highlight w:val="none"/>
        </w:rPr>
        <w:t>信用风险：</w:t>
      </w:r>
      <w:r>
        <w:rPr>
          <w:rFonts w:hint="eastAsia"/>
          <w:vanish w:val="0"/>
          <w:highlight w:val="none"/>
        </w:rPr>
        <w:t>理财计划所投资产的相关义务人信用状况恶化，出现信用违约情形，则理财计划本金或收益蒙受部分或全部损失的风险。</w:t>
      </w:r>
    </w:p>
    <w:p>
      <w:pPr>
        <w:pStyle w:val="4"/>
        <w:keepNext w:val="0"/>
        <w:keepLines w:val="0"/>
        <w:numPr>
          <w:ilvl w:val="0"/>
          <w:numId w:val="2"/>
        </w:numPr>
        <w:bidi w:val="0"/>
        <w:ind w:firstLine="482" w:firstLineChars="200"/>
        <w:rPr>
          <w:rFonts w:hint="eastAsia"/>
          <w:highlight w:val="none"/>
        </w:rPr>
      </w:pPr>
      <w:r>
        <w:rPr>
          <w:rFonts w:hint="eastAsia"/>
          <w:b/>
          <w:highlight w:val="none"/>
        </w:rPr>
        <w:t>市场风险：</w:t>
      </w:r>
      <w:r>
        <w:rPr>
          <w:rFonts w:hint="eastAsia"/>
          <w:vanish w:val="0"/>
          <w:highlight w:val="none"/>
        </w:rPr>
        <w:t>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2" w:firstLineChars="200"/>
        <w:jc w:val="left"/>
        <w:textAlignment w:val="auto"/>
        <w:outlineLvl w:val="9"/>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pStyle w:val="4"/>
        <w:keepNext w:val="0"/>
        <w:keepLines w:val="0"/>
        <w:numPr>
          <w:ilvl w:val="0"/>
          <w:numId w:val="4"/>
        </w:numPr>
        <w:bidi w:val="0"/>
        <w:ind w:firstLine="482" w:firstLineChars="200"/>
        <w:rPr>
          <w:highlight w:val="none"/>
        </w:rPr>
      </w:pPr>
      <w:r>
        <w:rPr>
          <w:rFonts w:hint="eastAsia"/>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pStyle w:val="4"/>
        <w:keepNext w:val="0"/>
        <w:keepLines w:val="0"/>
        <w:numPr>
          <w:ilvl w:val="0"/>
          <w:numId w:val="4"/>
        </w:numPr>
        <w:bidi w:val="0"/>
        <w:ind w:firstLine="482" w:firstLineChars="200"/>
        <w:rPr>
          <w:highlight w:val="none"/>
        </w:rPr>
      </w:pPr>
      <w:r>
        <w:rPr>
          <w:rFonts w:hint="eastAsia"/>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highlight w:val="none"/>
        </w:rPr>
        <w:t>法规发生变化，可能会影响理财计划的发行、投资、兑付等正常工作流程的进行，导致理财计划本金或收益蒙受部分或全部损失的风险。</w:t>
      </w:r>
    </w:p>
    <w:p>
      <w:pPr>
        <w:pStyle w:val="4"/>
        <w:keepNext w:val="0"/>
        <w:keepLines w:val="0"/>
        <w:numPr>
          <w:ilvl w:val="0"/>
          <w:numId w:val="4"/>
        </w:numPr>
        <w:bidi w:val="0"/>
        <w:ind w:firstLine="482" w:firstLineChars="200"/>
        <w:rPr>
          <w:highlight w:val="none"/>
        </w:rPr>
      </w:pPr>
      <w:r>
        <w:rPr>
          <w:rFonts w:hint="eastAsia"/>
          <w:highlight w:val="none"/>
        </w:rPr>
        <w:t>操作风险：理财计划由于内部作业、人员管理、系统操作、交易对手交易处理不当或失误等，导致理财计划本金或收益蒙受部分或全部损失的风险。</w:t>
      </w:r>
    </w:p>
    <w:p>
      <w:pPr>
        <w:pStyle w:val="4"/>
        <w:keepNext w:val="0"/>
        <w:keepLines w:val="0"/>
        <w:numPr>
          <w:ilvl w:val="0"/>
          <w:numId w:val="4"/>
        </w:numPr>
        <w:bidi w:val="0"/>
        <w:ind w:firstLine="482" w:firstLineChars="200"/>
        <w:rPr>
          <w:highlight w:val="none"/>
        </w:rPr>
      </w:pPr>
      <w:r>
        <w:rPr>
          <w:rFonts w:hint="eastAsia"/>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pStyle w:val="4"/>
        <w:keepNext w:val="0"/>
        <w:keepLines w:val="0"/>
        <w:numPr>
          <w:ilvl w:val="0"/>
          <w:numId w:val="4"/>
        </w:numPr>
        <w:bidi w:val="0"/>
        <w:ind w:firstLine="482" w:firstLineChars="200"/>
        <w:rPr>
          <w:highlight w:val="none"/>
        </w:rPr>
      </w:pPr>
      <w:r>
        <w:rPr>
          <w:rFonts w:hint="eastAsia"/>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pStyle w:val="4"/>
        <w:keepNext w:val="0"/>
        <w:keepLines w:val="0"/>
        <w:numPr>
          <w:ilvl w:val="0"/>
          <w:numId w:val="4"/>
        </w:numPr>
        <w:bidi w:val="0"/>
        <w:ind w:firstLine="482" w:firstLineChars="200"/>
        <w:rPr>
          <w:highlight w:val="none"/>
        </w:rPr>
      </w:pPr>
      <w:r>
        <w:rPr>
          <w:rFonts w:hint="eastAsia"/>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pStyle w:val="4"/>
        <w:keepNext w:val="0"/>
        <w:keepLines w:val="0"/>
        <w:numPr>
          <w:ilvl w:val="0"/>
          <w:numId w:val="4"/>
        </w:numPr>
        <w:bidi w:val="0"/>
        <w:ind w:firstLine="482" w:firstLineChars="200"/>
        <w:rPr>
          <w:highlight w:val="none"/>
        </w:rPr>
      </w:pPr>
      <w:r>
        <w:rPr>
          <w:rFonts w:hint="eastAsia"/>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ind w:firstLine="482" w:firstLineChars="200"/>
        <w:jc w:val="left"/>
        <w:outlineLvl w:val="2"/>
        <w:rPr>
          <w:rFonts w:hint="eastAsia" w:ascii="Calibri" w:hAnsi="Calibri" w:eastAsia="宋体" w:cs="黑体"/>
          <w:b/>
          <w:kern w:val="2"/>
          <w:sz w:val="24"/>
          <w:szCs w:val="24"/>
          <w:highlight w:val="none"/>
          <w:lang w:val="en-US" w:eastAsia="zh-CN" w:bidi="ar-SA"/>
        </w:rPr>
      </w:pPr>
      <w:r>
        <w:rPr>
          <w:rStyle w:val="22"/>
          <w:rFonts w:hint="eastAsia"/>
          <w:vanish w:val="0"/>
          <w:highlight w:val="none"/>
          <w:lang w:val="en-US" w:eastAsia="zh-CN"/>
        </w:rPr>
        <w:t>信息传递风险：1.理财计划管理人将按照本理财计划销售文件中约定的信息披露方式、途径向投资者公示本理财计划的各类信息和重大事件，投资者应及时查询、了解。由于投资者未能及时主动了解理财计划信息或由于不可抗力及/或意外事件的影响导致投资者无法及时了解理财计划信息，从而影响投资者的投资决策，由此产生的责任和风险由投资者自行承担。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pStyle w:val="4"/>
        <w:keepNext w:val="0"/>
        <w:keepLines w:val="0"/>
        <w:numPr>
          <w:ilvl w:val="0"/>
          <w:numId w:val="4"/>
        </w:numPr>
        <w:bidi w:val="0"/>
        <w:rPr>
          <w:highlight w:val="none"/>
        </w:rPr>
      </w:pPr>
      <w:r>
        <w:rPr>
          <w:rFonts w:hint="eastAsia"/>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highlight w:val="none"/>
          <w:lang w:eastAsia="zh-CN"/>
        </w:rPr>
        <w:t>理</w:t>
      </w:r>
      <w:r>
        <w:rPr>
          <w:rFonts w:hint="eastAsia"/>
          <w:highlight w:val="none"/>
        </w:rPr>
        <w:t>财计划本金或收益蒙受部分或全部损失的风险。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w:t>
      </w:r>
      <w:r>
        <w:rPr>
          <w:rFonts w:hint="eastAsia" w:ascii="宋体" w:hAnsi="宋体" w:cs="宋体"/>
          <w:b/>
          <w:sz w:val="24"/>
          <w:highlight w:val="none"/>
          <w:lang w:val="en-US" w:eastAsia="zh-CN"/>
        </w:rPr>
        <w:t>/申</w:t>
      </w:r>
      <w:r>
        <w:rPr>
          <w:rFonts w:hint="eastAsia" w:ascii="宋体" w:hAnsi="宋体" w:cs="宋体"/>
          <w:b/>
          <w:sz w:val="24"/>
          <w:highlight w:val="none"/>
        </w:rPr>
        <w:t>购理财计划的资金由销售机构从投资者资金账户扣收；理财计划到期</w:t>
      </w:r>
      <w:r>
        <w:rPr>
          <w:rFonts w:hint="eastAsia" w:ascii="宋体" w:hAnsi="宋体" w:cs="宋体"/>
          <w:b/>
          <w:sz w:val="24"/>
          <w:highlight w:val="none"/>
          <w:lang w:val="en-US" w:eastAsia="zh-CN"/>
        </w:rPr>
        <w:t>/赎回</w:t>
      </w:r>
      <w:r>
        <w:rPr>
          <w:rFonts w:hint="eastAsia" w:ascii="宋体" w:hAnsi="宋体" w:cs="宋体"/>
          <w:b/>
          <w:sz w:val="24"/>
          <w:highlight w:val="none"/>
        </w:rPr>
        <w:t>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482" w:firstLineChars="200"/>
        <w:jc w:val="left"/>
        <w:textAlignment w:val="auto"/>
        <w:outlineLvl w:val="2"/>
        <w:rPr>
          <w:rFonts w:ascii="宋体" w:hAnsi="宋体" w:cs="宋体"/>
          <w:b/>
          <w:sz w:val="24"/>
          <w:highlight w:val="none"/>
        </w:rPr>
      </w:pPr>
      <w:r>
        <w:rPr>
          <w:rFonts w:ascii="宋体" w:hAnsi="宋体" w:cs="宋体"/>
          <w:b/>
          <w:sz w:val="24"/>
          <w:highlight w:val="none"/>
        </w:rPr>
        <w:t>关联关系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ind w:firstLine="482" w:firstLineChars="200"/>
        <w:jc w:val="left"/>
        <w:outlineLvl w:val="2"/>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ind w:firstLine="482" w:firstLineChars="200"/>
        <w:jc w:val="left"/>
        <w:rPr>
          <w:rFonts w:hint="eastAsia" w:ascii="宋体" w:hAnsi="宋体" w:cs="宋体"/>
          <w:b/>
          <w:sz w:val="24"/>
          <w:highlight w:val="none"/>
        </w:rPr>
      </w:pPr>
      <w:r>
        <w:rPr>
          <w:rFonts w:hint="eastAsia" w:ascii="宋体" w:hAnsi="宋体" w:cs="宋体"/>
          <w:b/>
          <w:highlight w:val="none"/>
          <w:lang w:val="en-US" w:eastAsia="zh-CN"/>
        </w:rPr>
        <w:t>资金</w:t>
      </w:r>
      <w:r>
        <w:rPr>
          <w:rFonts w:hint="eastAsia" w:ascii="宋体" w:hAnsi="宋体" w:cs="宋体"/>
          <w:b/>
          <w:highlight w:val="none"/>
        </w:rPr>
        <w:t>流动性风险：本理财定期开放申购、赎回，非开放期内投资者不得提前交易。</w:t>
      </w:r>
    </w:p>
    <w:p>
      <w:pPr>
        <w:numPr>
          <w:ilvl w:val="0"/>
          <w:numId w:val="5"/>
        </w:numPr>
        <w:spacing w:line="360" w:lineRule="auto"/>
        <w:jc w:val="left"/>
        <w:rPr>
          <w:rFonts w:hint="eastAsia" w:ascii="宋体" w:hAnsi="宋体" w:cs="宋体"/>
          <w:b/>
          <w:sz w:val="24"/>
          <w:highlight w:val="none"/>
        </w:rPr>
      </w:pPr>
      <w:r>
        <w:rPr>
          <w:rFonts w:hint="eastAsia" w:ascii="宋体" w:hAnsi="宋体" w:cs="宋体"/>
          <w:b/>
          <w:sz w:val="24"/>
          <w:highlight w:val="none"/>
        </w:rPr>
        <w:t>收益不达业绩比较基准风险：本理财可投资于债券及非标准化债权类资产等固定收益类及权益类资产，因融资人违约及市场波动或导致投资者的本金出现损失。</w:t>
      </w:r>
    </w:p>
    <w:p>
      <w:p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上述理财计划共性与特定风险发生时，投资者的本金及收益可能遭受损失，在最不利情形下，将损失全部本金及收益，由此产生的风险及损失将由投资者自行承担。</w:t>
      </w: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cs="宋体"/>
          <w:b/>
          <w:sz w:val="24"/>
          <w:highlight w:val="none"/>
          <w:lang w:val="en-US" w:eastAsia="zh-CN"/>
        </w:rPr>
        <w:t>公募</w:t>
      </w:r>
      <w:r>
        <w:rPr>
          <w:rFonts w:hint="eastAsia" w:ascii="宋体" w:hAnsi="宋体" w:cs="宋体"/>
          <w:b/>
          <w:sz w:val="24"/>
          <w:highlight w:val="none"/>
        </w:rPr>
        <w:t>、</w:t>
      </w:r>
      <w:r>
        <w:rPr>
          <w:rFonts w:hint="eastAsia" w:ascii="宋体" w:hAnsi="宋体" w:cs="宋体"/>
          <w:b/>
          <w:sz w:val="24"/>
          <w:highlight w:val="none"/>
          <w:lang w:val="en-US" w:eastAsia="zh-CN"/>
        </w:rPr>
        <w:t>开放式</w:t>
      </w:r>
      <w:r>
        <w:rPr>
          <w:rFonts w:hint="eastAsia" w:ascii="宋体" w:hAnsi="宋体" w:cs="宋体"/>
          <w:b/>
          <w:sz w:val="24"/>
          <w:highlight w:val="none"/>
        </w:rPr>
        <w:t>、〖</w:t>
      </w:r>
      <w:r>
        <w:rPr>
          <w:rFonts w:hint="eastAsia" w:ascii="宋体" w:hAnsi="宋体" w:cs="宋体"/>
          <w:b/>
          <w:sz w:val="24"/>
          <w:highlight w:val="none"/>
          <w:lang w:val="en-US" w:eastAsia="zh-CN"/>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CN"/>
        </w:rPr>
        <w:t>无固定期限</w:t>
      </w:r>
      <w:r>
        <w:rPr>
          <w:rFonts w:hint="eastAsia" w:ascii="宋体" w:hAnsi="宋体" w:cs="宋体"/>
          <w:b/>
          <w:sz w:val="24"/>
          <w:highlight w:val="none"/>
        </w:rPr>
        <w:t>〗，不保证本金与收益。根据本公司理财产品内部风险评级，该理财计划风险评级结果为〖</w:t>
      </w:r>
      <w:r>
        <w:rPr>
          <w:rFonts w:hint="eastAsia" w:ascii="宋体" w:hAnsi="宋体" w:cs="宋体"/>
          <w:b/>
          <w:sz w:val="24"/>
          <w:highlight w:val="none"/>
          <w:lang w:val="en-US" w:eastAsia="zh-CN"/>
        </w:rPr>
        <w:t>R2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eastAsia="zh-CN"/>
        </w:rPr>
        <w:t>，</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cs="宋体"/>
          <w:b/>
          <w:sz w:val="24"/>
          <w:highlight w:val="none"/>
          <w:lang w:val="en-US" w:eastAsia="zh-CN"/>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sz w:val="24"/>
          <w:highlight w:val="none"/>
          <w:lang w:val="en-US" w:eastAsia="zh-CN"/>
        </w:rPr>
        <w:t>个人投资者的风险承受能力评估以销售机构为准</w:t>
      </w:r>
      <w:r>
        <w:rPr>
          <w:rFonts w:hint="eastAsia" w:ascii="宋体" w:hAnsi="宋体" w:cs="宋体"/>
          <w:b/>
          <w:sz w:val="24"/>
          <w:highlight w:val="none"/>
        </w:rPr>
        <w:t>。</w:t>
      </w:r>
      <w:r>
        <w:rPr>
          <w:rFonts w:hint="eastAsia" w:ascii="宋体" w:hAnsi="宋体" w:cs="宋体"/>
          <w:bCs/>
          <w:sz w:val="24"/>
          <w:highlight w:val="none"/>
        </w:rPr>
        <w:t>本理财计划投资者适当性评估由销售机构负责，销售机构应确保个人投资者的风险承受能力不低于本理财计划风险评级。</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上述风险客观存在，敬请投资者予以充分关注！</w:t>
      </w:r>
    </w:p>
    <w:p>
      <w:pPr>
        <w:spacing w:line="360" w:lineRule="auto"/>
        <w:ind w:firstLine="480" w:firstLineChars="200"/>
        <w:jc w:val="righ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p>
    <w:p>
      <w:pPr>
        <w:pStyle w:val="17"/>
        <w:spacing w:line="360" w:lineRule="auto"/>
        <w:ind w:firstLine="0" w:firstLineChars="0"/>
        <w:jc w:val="right"/>
        <w:outlineLvl w:val="1"/>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17"/>
        <w:spacing w:line="360" w:lineRule="auto"/>
        <w:ind w:firstLine="0" w:firstLineChars="0"/>
        <w:jc w:val="center"/>
        <w:outlineLvl w:val="1"/>
        <w:rPr>
          <w:rFonts w:hint="eastAsia" w:ascii="宋体" w:hAnsi="宋体" w:cs="宋体"/>
          <w:b/>
          <w:color w:val="auto"/>
          <w:highlight w:val="none"/>
        </w:rPr>
      </w:pPr>
      <w:r>
        <w:rPr>
          <w:rFonts w:hint="eastAsia" w:ascii="宋体" w:hAnsi="宋体" w:cs="宋体"/>
          <w:b/>
          <w:color w:val="auto"/>
          <w:highlight w:val="none"/>
        </w:rPr>
        <w:br w:type="page"/>
      </w: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w:t>
      </w:r>
      <w:r>
        <w:rPr>
          <w:rFonts w:hint="eastAsia" w:ascii="宋体" w:hAnsi="宋体" w:cs="宋体"/>
          <w:b w:val="0"/>
          <w:bCs w:val="0"/>
          <w:color w:val="auto"/>
          <w:highlight w:val="none"/>
          <w:u w:val="single"/>
        </w:rPr>
        <w:t>风险</w:t>
      </w:r>
      <w:r>
        <w:rPr>
          <w:rFonts w:hint="eastAsia" w:ascii="宋体" w:hAnsi="宋体" w:cs="宋体"/>
          <w:color w:val="auto"/>
          <w:highlight w:val="none"/>
          <w:u w:val="single"/>
        </w:rPr>
        <w:t>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jc w:val="left"/>
        <w:rPr>
          <w:rFonts w:hint="default" w:ascii="宋体" w:hAnsi="宋体" w:eastAsia="宋体" w:cs="宋体"/>
          <w:kern w:val="0"/>
          <w:sz w:val="24"/>
          <w:highlight w:val="none"/>
          <w:lang w:val="en-US" w:eastAsia="zh-CN"/>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r>
        <w:rPr>
          <w:rFonts w:hint="eastAsia" w:ascii="宋体" w:hAnsi="宋体" w:cs="宋体"/>
          <w:kern w:val="0"/>
          <w:sz w:val="24"/>
          <w:highlight w:val="none"/>
          <w:lang w:val="en-US" w:eastAsia="zh-CN"/>
        </w:rPr>
        <w:t xml:space="preserve">  </w:t>
      </w: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rPr>
          <w:rFonts w:hint="eastAsia" w:ascii="宋体" w:hAnsi="宋体" w:eastAsia="宋体" w:cs="宋体"/>
          <w:b/>
          <w:bCs/>
          <w:color w:val="auto"/>
          <w:highlight w:val="none"/>
          <w:u w:val="none"/>
        </w:rPr>
      </w:pPr>
    </w:p>
    <w:p>
      <w:pPr>
        <w:pStyle w:val="17"/>
        <w:spacing w:line="360" w:lineRule="auto"/>
        <w:ind w:firstLine="482" w:firstLineChars="200"/>
        <w:jc w:val="center"/>
        <w:outlineLvl w:val="1"/>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pStyle w:val="17"/>
        <w:spacing w:line="360" w:lineRule="auto"/>
        <w:ind w:firstLine="482" w:firstLineChars="200"/>
        <w:jc w:val="both"/>
        <w:rPr>
          <w:rFonts w:hint="eastAsia" w:ascii="宋体" w:hAnsi="宋体" w:eastAsia="宋体" w:cs="宋体"/>
          <w:b/>
          <w:bCs/>
          <w:color w:val="auto"/>
          <w:highlight w:val="none"/>
          <w:u w:val="none"/>
          <w:lang w:val="en-US" w:eastAsia="zh-CN"/>
        </w:rPr>
      </w:pPr>
    </w:p>
    <w:p>
      <w:pPr>
        <w:pStyle w:val="17"/>
        <w:spacing w:line="360" w:lineRule="auto"/>
        <w:ind w:firstLine="0" w:firstLineChars="0"/>
        <w:jc w:val="both"/>
        <w:rPr>
          <w:rFonts w:hint="eastAsia" w:ascii="宋体" w:hAnsi="宋体" w:eastAsia="宋体" w:cs="宋体"/>
          <w:b/>
          <w:bCs/>
          <w:color w:val="auto"/>
          <w:highlight w:val="none"/>
          <w:u w:val="single"/>
          <w:lang w:val="en-US" w:eastAsia="zh-CN"/>
        </w:rPr>
      </w:pPr>
    </w:p>
    <w:p>
      <w:pPr>
        <w:spacing w:line="360" w:lineRule="auto"/>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8240"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ZjE0NjdiOGU5MjM3YmE2OGEzNGJiZDhhYjg1NzYifQ=="/>
    <w:docVar w:name="KSO_WPS_MARK_KEY" w:val="ab8c09fc-ebb4-4f15-b49e-3b6144cc8e86"/>
  </w:docVars>
  <w:rsids>
    <w:rsidRoot w:val="00172A27"/>
    <w:rsid w:val="004A3A51"/>
    <w:rsid w:val="012C2B17"/>
    <w:rsid w:val="01364432"/>
    <w:rsid w:val="01523B8E"/>
    <w:rsid w:val="01E60817"/>
    <w:rsid w:val="033261E2"/>
    <w:rsid w:val="036B5FEB"/>
    <w:rsid w:val="040B79D9"/>
    <w:rsid w:val="0449537A"/>
    <w:rsid w:val="046F2BFF"/>
    <w:rsid w:val="04A52A8E"/>
    <w:rsid w:val="04A74955"/>
    <w:rsid w:val="050A18A0"/>
    <w:rsid w:val="05C21734"/>
    <w:rsid w:val="05E05E4D"/>
    <w:rsid w:val="06420CFA"/>
    <w:rsid w:val="06503B59"/>
    <w:rsid w:val="06592D9B"/>
    <w:rsid w:val="0752555A"/>
    <w:rsid w:val="07E45984"/>
    <w:rsid w:val="081B7D56"/>
    <w:rsid w:val="0828699A"/>
    <w:rsid w:val="082B58DC"/>
    <w:rsid w:val="08E37254"/>
    <w:rsid w:val="096D780F"/>
    <w:rsid w:val="097E3F67"/>
    <w:rsid w:val="09851159"/>
    <w:rsid w:val="09B01B43"/>
    <w:rsid w:val="09D777D8"/>
    <w:rsid w:val="0A1347F5"/>
    <w:rsid w:val="0A2A32B9"/>
    <w:rsid w:val="0A5E7E25"/>
    <w:rsid w:val="0A5F546C"/>
    <w:rsid w:val="0B8E27E3"/>
    <w:rsid w:val="0BF71AE2"/>
    <w:rsid w:val="0CA6603D"/>
    <w:rsid w:val="0D0B1B00"/>
    <w:rsid w:val="0E4A4B6F"/>
    <w:rsid w:val="0EAE473F"/>
    <w:rsid w:val="0EF65480"/>
    <w:rsid w:val="10593F50"/>
    <w:rsid w:val="10E7087B"/>
    <w:rsid w:val="10FA5463"/>
    <w:rsid w:val="11BA058F"/>
    <w:rsid w:val="11C23A9E"/>
    <w:rsid w:val="12046DA7"/>
    <w:rsid w:val="12081858"/>
    <w:rsid w:val="127D7C55"/>
    <w:rsid w:val="12B62B3B"/>
    <w:rsid w:val="13031153"/>
    <w:rsid w:val="13181417"/>
    <w:rsid w:val="13D3452B"/>
    <w:rsid w:val="142A3D0A"/>
    <w:rsid w:val="146D615D"/>
    <w:rsid w:val="14C57FED"/>
    <w:rsid w:val="150C5665"/>
    <w:rsid w:val="159302CA"/>
    <w:rsid w:val="15C56302"/>
    <w:rsid w:val="15D419A2"/>
    <w:rsid w:val="160940BB"/>
    <w:rsid w:val="1659752C"/>
    <w:rsid w:val="169F376F"/>
    <w:rsid w:val="16B845ED"/>
    <w:rsid w:val="16E43A7F"/>
    <w:rsid w:val="185A3DA1"/>
    <w:rsid w:val="18E6578A"/>
    <w:rsid w:val="18F22962"/>
    <w:rsid w:val="198C4B50"/>
    <w:rsid w:val="19DA666D"/>
    <w:rsid w:val="19F13F4F"/>
    <w:rsid w:val="1A102675"/>
    <w:rsid w:val="1B280245"/>
    <w:rsid w:val="1BBE4697"/>
    <w:rsid w:val="1BEE4FD6"/>
    <w:rsid w:val="1C1147C7"/>
    <w:rsid w:val="1C3F1BB8"/>
    <w:rsid w:val="1D3C4AE8"/>
    <w:rsid w:val="1D552DD9"/>
    <w:rsid w:val="1DAB6D83"/>
    <w:rsid w:val="1DD76500"/>
    <w:rsid w:val="1DFD293B"/>
    <w:rsid w:val="1E3173A3"/>
    <w:rsid w:val="1E410106"/>
    <w:rsid w:val="1ED938B7"/>
    <w:rsid w:val="1F0F5A19"/>
    <w:rsid w:val="1F1D6E1F"/>
    <w:rsid w:val="1F3E7F7D"/>
    <w:rsid w:val="1F51312D"/>
    <w:rsid w:val="1FC9553A"/>
    <w:rsid w:val="1FE3536C"/>
    <w:rsid w:val="1FFB1A16"/>
    <w:rsid w:val="1FFEB843"/>
    <w:rsid w:val="20137C57"/>
    <w:rsid w:val="204D3B12"/>
    <w:rsid w:val="205A2AB3"/>
    <w:rsid w:val="20B6224D"/>
    <w:rsid w:val="21025026"/>
    <w:rsid w:val="21B93623"/>
    <w:rsid w:val="21C22F06"/>
    <w:rsid w:val="22A04AF7"/>
    <w:rsid w:val="22D32481"/>
    <w:rsid w:val="22D3594B"/>
    <w:rsid w:val="22F12819"/>
    <w:rsid w:val="23393314"/>
    <w:rsid w:val="23753F06"/>
    <w:rsid w:val="238E1AAE"/>
    <w:rsid w:val="24345B9A"/>
    <w:rsid w:val="2483647E"/>
    <w:rsid w:val="256F076F"/>
    <w:rsid w:val="2610340F"/>
    <w:rsid w:val="26820AF7"/>
    <w:rsid w:val="26966D40"/>
    <w:rsid w:val="272A311F"/>
    <w:rsid w:val="28677578"/>
    <w:rsid w:val="292668E3"/>
    <w:rsid w:val="2A1B5D68"/>
    <w:rsid w:val="2A5975B6"/>
    <w:rsid w:val="2A991D32"/>
    <w:rsid w:val="2AB92324"/>
    <w:rsid w:val="2AD6555A"/>
    <w:rsid w:val="2B1902F3"/>
    <w:rsid w:val="2B1C6E29"/>
    <w:rsid w:val="2B376BE0"/>
    <w:rsid w:val="2BD223E7"/>
    <w:rsid w:val="2C1B1E9D"/>
    <w:rsid w:val="2CAB68C5"/>
    <w:rsid w:val="2DEF6CE6"/>
    <w:rsid w:val="2E45409C"/>
    <w:rsid w:val="2EBC6D03"/>
    <w:rsid w:val="2F1F666C"/>
    <w:rsid w:val="2F802D62"/>
    <w:rsid w:val="2FD32A37"/>
    <w:rsid w:val="304F5466"/>
    <w:rsid w:val="30551FFC"/>
    <w:rsid w:val="311F702A"/>
    <w:rsid w:val="31A82883"/>
    <w:rsid w:val="320E3E15"/>
    <w:rsid w:val="32C937E9"/>
    <w:rsid w:val="32FB01FE"/>
    <w:rsid w:val="333F6AA7"/>
    <w:rsid w:val="33F7523E"/>
    <w:rsid w:val="3480359E"/>
    <w:rsid w:val="34BE4ED5"/>
    <w:rsid w:val="35476F5E"/>
    <w:rsid w:val="3563318D"/>
    <w:rsid w:val="3602513D"/>
    <w:rsid w:val="36631FD8"/>
    <w:rsid w:val="366A0F47"/>
    <w:rsid w:val="36B64AFC"/>
    <w:rsid w:val="36E72D9B"/>
    <w:rsid w:val="379F2ED6"/>
    <w:rsid w:val="37CA172C"/>
    <w:rsid w:val="37CB10A0"/>
    <w:rsid w:val="37EE9B5C"/>
    <w:rsid w:val="38071350"/>
    <w:rsid w:val="38224FD0"/>
    <w:rsid w:val="38696564"/>
    <w:rsid w:val="38BC5508"/>
    <w:rsid w:val="3A26630A"/>
    <w:rsid w:val="3A3E2041"/>
    <w:rsid w:val="3A57501E"/>
    <w:rsid w:val="3B131EF6"/>
    <w:rsid w:val="3B490D86"/>
    <w:rsid w:val="3C2F2290"/>
    <w:rsid w:val="3D8434FB"/>
    <w:rsid w:val="3EA67C14"/>
    <w:rsid w:val="3EAD1B36"/>
    <w:rsid w:val="3F056B9E"/>
    <w:rsid w:val="3F2521B4"/>
    <w:rsid w:val="3F253779"/>
    <w:rsid w:val="3F354A62"/>
    <w:rsid w:val="3FF54C55"/>
    <w:rsid w:val="3FFD787A"/>
    <w:rsid w:val="406370BC"/>
    <w:rsid w:val="40FB7670"/>
    <w:rsid w:val="41627E6A"/>
    <w:rsid w:val="41B60000"/>
    <w:rsid w:val="41C74B6C"/>
    <w:rsid w:val="4220746F"/>
    <w:rsid w:val="423C06E2"/>
    <w:rsid w:val="424239CB"/>
    <w:rsid w:val="42815397"/>
    <w:rsid w:val="42C94634"/>
    <w:rsid w:val="433F12EE"/>
    <w:rsid w:val="43423D19"/>
    <w:rsid w:val="4399327E"/>
    <w:rsid w:val="44FC77BE"/>
    <w:rsid w:val="45540446"/>
    <w:rsid w:val="45BB5620"/>
    <w:rsid w:val="45F127ED"/>
    <w:rsid w:val="46263D02"/>
    <w:rsid w:val="46CD66A0"/>
    <w:rsid w:val="46F85BFB"/>
    <w:rsid w:val="472803B7"/>
    <w:rsid w:val="48267AA2"/>
    <w:rsid w:val="488B59A4"/>
    <w:rsid w:val="48DB39C6"/>
    <w:rsid w:val="494502E1"/>
    <w:rsid w:val="49943680"/>
    <w:rsid w:val="49A948D7"/>
    <w:rsid w:val="4A1D5AD2"/>
    <w:rsid w:val="4A3D69E6"/>
    <w:rsid w:val="4A4D47B1"/>
    <w:rsid w:val="4A6F7B99"/>
    <w:rsid w:val="4A7F0ADF"/>
    <w:rsid w:val="4AA612F0"/>
    <w:rsid w:val="4B0D3113"/>
    <w:rsid w:val="4C215473"/>
    <w:rsid w:val="4C6B0DDA"/>
    <w:rsid w:val="4C6E1306"/>
    <w:rsid w:val="4D4E6461"/>
    <w:rsid w:val="4DEE1021"/>
    <w:rsid w:val="4E186164"/>
    <w:rsid w:val="4E2F1033"/>
    <w:rsid w:val="4E8274B0"/>
    <w:rsid w:val="4E8E16CB"/>
    <w:rsid w:val="4EC40AC5"/>
    <w:rsid w:val="4EFC1B31"/>
    <w:rsid w:val="4F2836A5"/>
    <w:rsid w:val="4FF363B3"/>
    <w:rsid w:val="501216FC"/>
    <w:rsid w:val="50B73634"/>
    <w:rsid w:val="50D8608E"/>
    <w:rsid w:val="511164BD"/>
    <w:rsid w:val="51504FE6"/>
    <w:rsid w:val="51907961"/>
    <w:rsid w:val="530D2324"/>
    <w:rsid w:val="53F5113F"/>
    <w:rsid w:val="53FE3DB0"/>
    <w:rsid w:val="54E91D9C"/>
    <w:rsid w:val="551553FD"/>
    <w:rsid w:val="552247DE"/>
    <w:rsid w:val="552C3ED5"/>
    <w:rsid w:val="55903A38"/>
    <w:rsid w:val="55A0734E"/>
    <w:rsid w:val="55A47BB4"/>
    <w:rsid w:val="56804A86"/>
    <w:rsid w:val="56872658"/>
    <w:rsid w:val="56B03B30"/>
    <w:rsid w:val="571D2E14"/>
    <w:rsid w:val="576C4461"/>
    <w:rsid w:val="5790790A"/>
    <w:rsid w:val="57BB6218"/>
    <w:rsid w:val="57FF3AAA"/>
    <w:rsid w:val="58DD2EEE"/>
    <w:rsid w:val="58E96C7A"/>
    <w:rsid w:val="59AD3C67"/>
    <w:rsid w:val="59CC6D6F"/>
    <w:rsid w:val="5A0B1AF2"/>
    <w:rsid w:val="5B0D630F"/>
    <w:rsid w:val="5B264E92"/>
    <w:rsid w:val="5B5D608F"/>
    <w:rsid w:val="5BBF5529"/>
    <w:rsid w:val="5C013B47"/>
    <w:rsid w:val="5C3C3DDC"/>
    <w:rsid w:val="5D160516"/>
    <w:rsid w:val="5D7D0F36"/>
    <w:rsid w:val="5DB61BFF"/>
    <w:rsid w:val="5DEF454B"/>
    <w:rsid w:val="5DFF1D1D"/>
    <w:rsid w:val="5E5A6C63"/>
    <w:rsid w:val="5EF478B5"/>
    <w:rsid w:val="5EFF0EC6"/>
    <w:rsid w:val="5F0D3289"/>
    <w:rsid w:val="5F3C6712"/>
    <w:rsid w:val="5F4B58F3"/>
    <w:rsid w:val="5F8C5613"/>
    <w:rsid w:val="5FD55F7B"/>
    <w:rsid w:val="6053481F"/>
    <w:rsid w:val="606E0DED"/>
    <w:rsid w:val="60AB2000"/>
    <w:rsid w:val="60C04AFA"/>
    <w:rsid w:val="610129B1"/>
    <w:rsid w:val="61AE53BE"/>
    <w:rsid w:val="61D85325"/>
    <w:rsid w:val="62860AAA"/>
    <w:rsid w:val="628B7CEE"/>
    <w:rsid w:val="629D5796"/>
    <w:rsid w:val="64340620"/>
    <w:rsid w:val="657A160B"/>
    <w:rsid w:val="65D25F29"/>
    <w:rsid w:val="67182835"/>
    <w:rsid w:val="671E2162"/>
    <w:rsid w:val="68D8721E"/>
    <w:rsid w:val="69C56DDC"/>
    <w:rsid w:val="6B3A5BD0"/>
    <w:rsid w:val="6B3C7023"/>
    <w:rsid w:val="6B610D05"/>
    <w:rsid w:val="6B767560"/>
    <w:rsid w:val="6BAC21D5"/>
    <w:rsid w:val="6BDE7617"/>
    <w:rsid w:val="6C1D42E9"/>
    <w:rsid w:val="6C3B62C3"/>
    <w:rsid w:val="6C3E5296"/>
    <w:rsid w:val="6C97174C"/>
    <w:rsid w:val="6CED1CB3"/>
    <w:rsid w:val="6D3B42C3"/>
    <w:rsid w:val="6DDE0D10"/>
    <w:rsid w:val="6E5969DC"/>
    <w:rsid w:val="6E7B6A0F"/>
    <w:rsid w:val="6E7E575F"/>
    <w:rsid w:val="6EF15941"/>
    <w:rsid w:val="6EFD7143"/>
    <w:rsid w:val="6F6861E1"/>
    <w:rsid w:val="6F9921A1"/>
    <w:rsid w:val="6FB83EF3"/>
    <w:rsid w:val="6FFAE0A6"/>
    <w:rsid w:val="70272715"/>
    <w:rsid w:val="70AC6E8A"/>
    <w:rsid w:val="732E7FA6"/>
    <w:rsid w:val="73407EBD"/>
    <w:rsid w:val="73EF4563"/>
    <w:rsid w:val="74175679"/>
    <w:rsid w:val="744124AA"/>
    <w:rsid w:val="745E0741"/>
    <w:rsid w:val="74664F47"/>
    <w:rsid w:val="74733B2E"/>
    <w:rsid w:val="774B5512"/>
    <w:rsid w:val="77E0572E"/>
    <w:rsid w:val="77ED4104"/>
    <w:rsid w:val="77FB3F74"/>
    <w:rsid w:val="789508C5"/>
    <w:rsid w:val="78E55A6A"/>
    <w:rsid w:val="78EF4372"/>
    <w:rsid w:val="795026DF"/>
    <w:rsid w:val="79554B55"/>
    <w:rsid w:val="79771B00"/>
    <w:rsid w:val="7980282D"/>
    <w:rsid w:val="798F6426"/>
    <w:rsid w:val="79E60E88"/>
    <w:rsid w:val="7ACA272A"/>
    <w:rsid w:val="7B0E7C70"/>
    <w:rsid w:val="7B2F5D22"/>
    <w:rsid w:val="7C8B1B8E"/>
    <w:rsid w:val="7CB79A73"/>
    <w:rsid w:val="7DEFBF68"/>
    <w:rsid w:val="7E6F339A"/>
    <w:rsid w:val="7E810662"/>
    <w:rsid w:val="7EBFCCEE"/>
    <w:rsid w:val="7F590AE3"/>
    <w:rsid w:val="7F72DFA6"/>
    <w:rsid w:val="7F7EC362"/>
    <w:rsid w:val="7FC44D8E"/>
    <w:rsid w:val="7FCFC145"/>
    <w:rsid w:val="7FE83D34"/>
    <w:rsid w:val="8FAF8AD8"/>
    <w:rsid w:val="B997A5AD"/>
    <w:rsid w:val="BBBDC055"/>
    <w:rsid w:val="BBFF2937"/>
    <w:rsid w:val="BFFBBC98"/>
    <w:rsid w:val="D37CAFE9"/>
    <w:rsid w:val="D73F82B2"/>
    <w:rsid w:val="D7BD226C"/>
    <w:rsid w:val="DA7FC5B8"/>
    <w:rsid w:val="DFF7DC7D"/>
    <w:rsid w:val="DFFD8E57"/>
    <w:rsid w:val="E3E076BE"/>
    <w:rsid w:val="EFDB6580"/>
    <w:rsid w:val="EFDE941D"/>
    <w:rsid w:val="F4F64487"/>
    <w:rsid w:val="F7EEBBDF"/>
    <w:rsid w:val="F7EFB835"/>
    <w:rsid w:val="F92C5A21"/>
    <w:rsid w:val="F97B95C2"/>
    <w:rsid w:val="F9F71591"/>
    <w:rsid w:val="FB7FF2A7"/>
    <w:rsid w:val="FCDE1A5D"/>
    <w:rsid w:val="FDBF3995"/>
    <w:rsid w:val="FEF37BDB"/>
    <w:rsid w:val="FFFFF3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4"/>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19"/>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2"/>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0"/>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1"/>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2 Char"/>
    <w:link w:val="3"/>
    <w:uiPriority w:val="0"/>
    <w:rPr>
      <w:rFonts w:ascii="Arial" w:hAnsi="Arial" w:eastAsia="宋体"/>
      <w:b/>
      <w:sz w:val="24"/>
    </w:rPr>
  </w:style>
  <w:style w:type="character" w:customStyle="1" w:styleId="20">
    <w:name w:val="批注文字 Char"/>
    <w:link w:val="5"/>
    <w:uiPriority w:val="0"/>
    <w:rPr>
      <w:rFonts w:ascii="Calibri" w:hAnsi="Calibri" w:cs="黑体"/>
      <w:kern w:val="2"/>
      <w:sz w:val="21"/>
      <w:szCs w:val="24"/>
    </w:rPr>
  </w:style>
  <w:style w:type="character" w:customStyle="1" w:styleId="21">
    <w:name w:val="批注主题 Char"/>
    <w:link w:val="10"/>
    <w:uiPriority w:val="0"/>
    <w:rPr>
      <w:rFonts w:ascii="Calibri" w:hAnsi="Calibri" w:cs="黑体"/>
      <w:b/>
      <w:bCs/>
      <w:kern w:val="2"/>
      <w:sz w:val="21"/>
      <w:szCs w:val="24"/>
    </w:rPr>
  </w:style>
  <w:style w:type="character" w:customStyle="1" w:styleId="22">
    <w:name w:val="标题 3 Char"/>
    <w:link w:val="4"/>
    <w:uiPriority w:val="0"/>
    <w:rPr>
      <w:rFonts w:hAnsi="Calibri" w:eastAsia="宋体"/>
      <w:b/>
      <w:sz w:val="24"/>
    </w:rPr>
  </w:style>
  <w:style w:type="character" w:customStyle="1" w:styleId="23">
    <w:name w:val="批注框文本 Char"/>
    <w:link w:val="6"/>
    <w:uiPriority w:val="0"/>
    <w:rPr>
      <w:rFonts w:ascii="Calibri" w:hAnsi="Calibri" w:cs="黑体"/>
      <w:kern w:val="2"/>
      <w:sz w:val="18"/>
      <w:szCs w:val="18"/>
    </w:rPr>
  </w:style>
  <w:style w:type="character" w:customStyle="1" w:styleId="24">
    <w:name w:val="标题 1 Char"/>
    <w:link w:val="2"/>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37740</Words>
  <Characters>40212</Characters>
  <Lines>210</Lines>
  <Paragraphs>59</Paragraphs>
  <TotalTime>1</TotalTime>
  <ScaleCrop>false</ScaleCrop>
  <LinksUpToDate>false</LinksUpToDate>
  <CharactersWithSpaces>40471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hccb</cp:lastModifiedBy>
  <dcterms:modified xsi:type="dcterms:W3CDTF">2025-09-18T06:01:39Z</dcterms:modified>
  <dc:title>杭银理财幸福99XXXX理财计划合同</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06A49D61929F4201B4ADB8DA4C945300</vt:lpwstr>
  </property>
  <property fmtid="{D5CDD505-2E9C-101B-9397-08002B2CF9AE}" pid="3" name="KSOProductBuildVer">
    <vt:lpwstr>2052-11.8.2.8411</vt:lpwstr>
  </property>
</Properties>
</file>