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lang w:eastAsia="zh-CN"/>
        </w:rPr>
        <w:t>幸福99益合·添益（年年红）1年定开型2537期理财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202502版</w:t>
      </w:r>
      <w:r>
        <w:rPr>
          <w:rFonts w:hint="eastAsia" w:ascii="宋体" w:hAnsi="宋体" w:cs="宋体"/>
          <w:sz w:val="28"/>
          <w:szCs w:val="28"/>
          <w:highlight w:val="none"/>
        </w:rPr>
        <w:t>）</w:t>
      </w:r>
    </w:p>
    <w:p>
      <w:pPr>
        <w:spacing w:line="360" w:lineRule="auto"/>
        <w:jc w:val="right"/>
        <w:rPr>
          <w:rFonts w:hint="eastAsia" w:ascii="宋体" w:hAnsi="宋体" w:cs="宋体"/>
          <w:color w:val="000000"/>
          <w:sz w:val="24"/>
          <w:highlight w:val="none"/>
        </w:rPr>
      </w:pPr>
      <w:r>
        <w:rPr>
          <w:rFonts w:hint="eastAsia" w:ascii="宋体" w:hAnsi="宋体" w:cs="宋体"/>
          <w:color w:val="000000"/>
          <w:sz w:val="24"/>
          <w:highlight w:val="none"/>
        </w:rPr>
        <w:t>备案编号:〖</w:t>
      </w:r>
      <w:r>
        <w:rPr>
          <w:rFonts w:hint="eastAsia" w:ascii="宋体" w:hAnsi="宋体" w:cs="宋体"/>
          <w:color w:val="000000"/>
          <w:sz w:val="24"/>
          <w:highlight w:val="none"/>
          <w:lang w:val="en-US" w:eastAsia="zh-CN"/>
        </w:rPr>
        <w:t>Z7002225000349</w:t>
      </w:r>
      <w:r>
        <w:rPr>
          <w:rFonts w:hint="eastAsia" w:ascii="宋体" w:hAnsi="宋体" w:cs="宋体"/>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fldChar w:fldCharType="begin"/>
      </w:r>
      <w:r>
        <w:rPr>
          <w:rFonts w:hint="eastAsia" w:ascii="宋体" w:hAnsi="宋体" w:cs="宋体"/>
          <w:bCs/>
          <w:color w:val="auto"/>
          <w:kern w:val="2"/>
          <w:highlight w:val="none"/>
          <w:u w:val="none"/>
        </w:rPr>
        <w:instrText xml:space="preserve"> HYPERLINK "http://www.hzbank.com.cn" </w:instrText>
      </w:r>
      <w: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rPr>
          <w:rFonts w:hint="eastAsia" w:ascii="宋体" w:hAnsi="宋体" w:cs="宋体"/>
          <w:bCs/>
          <w:color w:val="auto"/>
          <w:kern w:val="2"/>
          <w:highlight w:val="none"/>
          <w:u w:val="none"/>
        </w:rPr>
        <w:instrText xml:space="preserve"> HYPERLINK "http://www.hzbank.com.cn" </w:instrText>
      </w:r>
      <w:r>
        <w:fldChar w:fldCharType="separate"/>
      </w:r>
      <w:r>
        <w:rPr>
          <w:rFonts w:hint="eastAsia" w:ascii="宋体" w:hAnsi="宋体" w:cs="宋体"/>
          <w:bCs/>
          <w:color w:val="auto"/>
          <w:kern w:val="2"/>
          <w:highlight w:val="none"/>
          <w:u w:val="none"/>
        </w:rPr>
        <w:t>www.hzbank.com.cn</w:t>
      </w:r>
      <w:r>
        <w:fldChar w:fldCharType="end"/>
      </w:r>
      <w:r>
        <w:rPr>
          <w:rFonts w:hint="eastAsia" w:ascii="宋体" w:hAnsi="宋体" w:cs="宋体"/>
          <w:bCs/>
          <w:color w:val="auto"/>
          <w:kern w:val="2"/>
          <w:highlight w:val="none"/>
        </w:rPr>
        <w:t>，客服热线为95398。</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幸福99益合·添益（年年红）1年定开型2537期理财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幸福99益合·添益（年年红）1年定开型2537期理财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幸福99益合·添益（年年红）1年定开型2537期理财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理财投资协议书：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幸福99益合·添益（年年红）1年定开型2537期理财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理财销售协议书：</w:t>
      </w:r>
      <w:r>
        <w:rPr>
          <w:rFonts w:hint="eastAsia" w:ascii="宋体" w:hAnsi="宋体" w:cs="宋体"/>
          <w:bCs/>
          <w:color w:val="auto"/>
          <w:kern w:val="2"/>
          <w:highlight w:val="none"/>
          <w:lang w:eastAsia="zh-CN"/>
        </w:rPr>
        <w:t>指作为幸福99益合·添益（年年红）1年定开型2537期理财</w:t>
      </w:r>
      <w:r>
        <w:rPr>
          <w:rFonts w:hint="eastAsia" w:ascii="宋体" w:hAnsi="宋体" w:eastAsia="宋体" w:cs="宋体"/>
          <w:bCs/>
          <w:color w:val="auto"/>
          <w:kern w:val="2"/>
          <w:highlight w:val="none"/>
          <w:lang w:val="en-US" w:eastAsia="zh-CN"/>
        </w:rPr>
        <w:t>合同</w:t>
      </w:r>
      <w:r>
        <w:rPr>
          <w:rFonts w:hint="eastAsia" w:ascii="宋体" w:hAnsi="宋体" w:cs="宋体"/>
          <w:bCs/>
          <w:color w:val="auto"/>
          <w:kern w:val="2"/>
          <w:highlight w:val="none"/>
          <w:lang w:val="en-US" w:eastAsia="zh-CN"/>
        </w:rPr>
        <w:t>不可分割组成部分的理财计划销售协议书，以及对该文件的有效修改与补充。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理财产品说明书</w:t>
      </w:r>
      <w:r>
        <w:rPr>
          <w:rFonts w:hint="eastAsia" w:ascii="宋体" w:hAnsi="宋体" w:cs="宋体"/>
          <w:bCs/>
          <w:color w:val="auto"/>
          <w:kern w:val="2"/>
          <w:highlight w:val="none"/>
        </w:rPr>
        <w:t>》《投资者权益须知》《理财投资协议书》</w:t>
      </w:r>
      <w:r>
        <w:rPr>
          <w:rFonts w:hint="eastAsia" w:ascii="宋体" w:hAnsi="宋体" w:cs="宋体"/>
          <w:bCs/>
          <w:color w:val="auto"/>
          <w:kern w:val="2"/>
          <w:highlight w:val="none"/>
          <w:lang w:eastAsia="zh-CN"/>
        </w:rPr>
        <w:t>《理财销售协议书》五</w:t>
      </w:r>
      <w:r>
        <w:rPr>
          <w:rFonts w:hint="eastAsia" w:ascii="宋体" w:hAnsi="宋体" w:cs="宋体"/>
          <w:bCs/>
          <w:color w:val="auto"/>
          <w:kern w:val="2"/>
          <w:highlight w:val="none"/>
        </w:rPr>
        <w:t>个部分。</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幸福99益合·添益（年年红）1年定开型2537期理财</w:t>
      </w:r>
      <w:r>
        <w:rPr>
          <w:rFonts w:hint="eastAsia" w:ascii="宋体" w:hAnsi="宋体" w:cs="宋体"/>
          <w:bCs/>
          <w:highlight w:val="none"/>
        </w:rPr>
        <w:t>。</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指〖上海证券交易所、深圳证券交易所〗的正常交易日。如涉及到监管条例部分，统一以监管条例表述替代。</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0"/>
        </w:numPr>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cs="宋体"/>
          <w:b/>
          <w:sz w:val="24"/>
          <w:highlight w:val="none"/>
          <w:lang w:val="en-US" w:eastAsia="zh-CN"/>
        </w:rPr>
        <w:t>R2</w:t>
      </w:r>
      <w:r>
        <w:rPr>
          <w:rFonts w:hint="eastAsia" w:ascii="宋体" w:hAnsi="宋体" w:cs="宋体"/>
          <w:b/>
          <w:color w:val="auto"/>
          <w:kern w:val="2"/>
          <w:highlight w:val="none"/>
        </w:rPr>
        <w:t>〗，〖</w:t>
      </w:r>
      <w:r>
        <w:rPr>
          <w:rFonts w:hint="eastAsia" w:ascii="宋体" w:hAnsi="宋体" w:cs="宋体"/>
          <w:b/>
          <w:sz w:val="24"/>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内部风险评级</w:t>
            </w:r>
          </w:p>
        </w:tc>
        <w:tc>
          <w:tcPr>
            <w:tcW w:w="1382"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风险程度</w:t>
            </w:r>
          </w:p>
        </w:tc>
        <w:tc>
          <w:tcPr>
            <w:tcW w:w="4755"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R1</w:t>
            </w:r>
          </w:p>
        </w:tc>
        <w:tc>
          <w:tcPr>
            <w:tcW w:w="1382"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低</w:t>
            </w:r>
          </w:p>
        </w:tc>
        <w:tc>
          <w:tcPr>
            <w:tcW w:w="4755"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widowControl w:val="0"/>
              <w:autoSpaceDE w:val="0"/>
              <w:autoSpaceDN w:val="0"/>
              <w:adjustRightInd/>
              <w:spacing w:line="360" w:lineRule="auto"/>
              <w:jc w:val="center"/>
              <w:rPr>
                <w:rFonts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R2</w:t>
            </w:r>
          </w:p>
        </w:tc>
        <w:tc>
          <w:tcPr>
            <w:tcW w:w="1382" w:type="dxa"/>
            <w:noWrap w:val="0"/>
            <w:vAlign w:val="top"/>
          </w:tcPr>
          <w:p>
            <w:pPr>
              <w:pStyle w:val="17"/>
              <w:widowControl w:val="0"/>
              <w:autoSpaceDE w:val="0"/>
              <w:autoSpaceDN w:val="0"/>
              <w:adjustRightInd/>
              <w:spacing w:line="360" w:lineRule="auto"/>
              <w:jc w:val="center"/>
              <w:rPr>
                <w:rFonts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中低</w:t>
            </w:r>
          </w:p>
        </w:tc>
        <w:tc>
          <w:tcPr>
            <w:tcW w:w="4755" w:type="dxa"/>
            <w:noWrap w:val="0"/>
            <w:vAlign w:val="top"/>
          </w:tcPr>
          <w:p>
            <w:pPr>
              <w:pStyle w:val="17"/>
              <w:widowControl w:val="0"/>
              <w:autoSpaceDE w:val="0"/>
              <w:autoSpaceDN w:val="0"/>
              <w:adjustRightInd/>
              <w:spacing w:line="360" w:lineRule="auto"/>
              <w:jc w:val="center"/>
              <w:rPr>
                <w:rFonts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R3</w:t>
            </w:r>
          </w:p>
        </w:tc>
        <w:tc>
          <w:tcPr>
            <w:tcW w:w="1382"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w:t>
            </w:r>
          </w:p>
        </w:tc>
        <w:tc>
          <w:tcPr>
            <w:tcW w:w="4755"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R4</w:t>
            </w:r>
          </w:p>
        </w:tc>
        <w:tc>
          <w:tcPr>
            <w:tcW w:w="1382"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中高</w:t>
            </w:r>
          </w:p>
        </w:tc>
        <w:tc>
          <w:tcPr>
            <w:tcW w:w="4755"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R5</w:t>
            </w:r>
          </w:p>
        </w:tc>
        <w:tc>
          <w:tcPr>
            <w:tcW w:w="1382"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高</w:t>
            </w:r>
          </w:p>
        </w:tc>
        <w:tc>
          <w:tcPr>
            <w:tcW w:w="4755" w:type="dxa"/>
            <w:noWrap w:val="0"/>
            <w:vAlign w:val="top"/>
          </w:tcPr>
          <w:p>
            <w:pPr>
              <w:pStyle w:val="17"/>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产品名称</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幸福99益合·添益（年年红）1年定开型2537期理财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产品简称</w:t>
            </w:r>
          </w:p>
        </w:tc>
        <w:tc>
          <w:tcPr>
            <w:tcW w:w="7185" w:type="dxa"/>
            <w:noWrap w:val="0"/>
            <w:vAlign w:val="center"/>
          </w:tcPr>
          <w:p>
            <w:pPr>
              <w:widowControl/>
              <w:spacing w:line="360" w:lineRule="auto"/>
              <w:contextualSpacing/>
              <w:jc w:val="both"/>
              <w:rPr>
                <w:rFonts w:hint="default" w:ascii="宋体" w:hAnsi="宋体" w:eastAsia="宋体" w:cs="宋体"/>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添益（年年红）1年定开型2537期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产品编号</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TYG12M2537</w:t>
            </w:r>
            <w:r>
              <w:rPr>
                <w:rFonts w:hint="eastAsia" w:ascii="宋体" w:hAnsi="宋体" w:eastAsia="宋体" w:cs="宋体"/>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登记编码</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本理财计划在全国银行业理财信息登记系统的登记编码是〖</w:t>
            </w:r>
            <w:r>
              <w:rPr>
                <w:rFonts w:hint="eastAsia" w:ascii="宋体" w:hAnsi="宋体" w:eastAsia="宋体" w:cs="宋体"/>
                <w:color w:val="000000"/>
                <w:kern w:val="0"/>
                <w:sz w:val="21"/>
                <w:szCs w:val="21"/>
                <w:highlight w:val="none"/>
                <w:lang w:val="en-US" w:eastAsia="zh-CN" w:bidi="ar-SA"/>
              </w:rPr>
              <w:t>Z7002225000349</w:t>
            </w:r>
            <w:r>
              <w:rPr>
                <w:rFonts w:hint="eastAsia" w:ascii="宋体" w:hAnsi="宋体" w:eastAsia="宋体" w:cs="宋体"/>
                <w:color w:val="000000"/>
                <w:kern w:val="2"/>
                <w:sz w:val="21"/>
                <w:szCs w:val="21"/>
                <w:highlight w:val="none"/>
                <w:lang w:val="en-US" w:eastAsia="zh-CN" w:bidi="ar-SA"/>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发行对象</w:t>
            </w:r>
          </w:p>
        </w:tc>
        <w:tc>
          <w:tcPr>
            <w:tcW w:w="7185" w:type="dxa"/>
            <w:noWrap w:val="0"/>
            <w:vAlign w:val="center"/>
          </w:tcPr>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本理财计划适合</w:t>
            </w:r>
            <w:r>
              <w:rPr>
                <w:rFonts w:hint="eastAsia" w:ascii="宋体" w:hAnsi="宋体" w:eastAsia="宋体" w:cs="宋体"/>
                <w:b/>
                <w:kern w:val="2"/>
                <w:sz w:val="21"/>
                <w:szCs w:val="21"/>
                <w:highlight w:val="none"/>
                <w:lang w:val="en-US" w:eastAsia="zh-CN" w:bidi="ar-SA"/>
              </w:rPr>
              <w:t>〖</w:t>
            </w:r>
            <w:r>
              <w:rPr>
                <w:rFonts w:hint="eastAsia" w:ascii="宋体" w:hAnsi="宋体" w:eastAsia="宋体" w:cs="宋体"/>
                <w:b/>
                <w:color w:val="000000"/>
                <w:kern w:val="2"/>
                <w:sz w:val="21"/>
                <w:szCs w:val="21"/>
                <w:highlight w:val="none"/>
                <w:lang w:val="en-US" w:eastAsia="zh-CN" w:bidi="ar-SA"/>
              </w:rPr>
              <w:t>机构投资者〗以及〖稳健型、平衡型、成长型、进取型〗的个人投资者。</w:t>
            </w:r>
            <w:r>
              <w:rPr>
                <w:rFonts w:hint="eastAsia" w:ascii="宋体" w:hAnsi="宋体" w:eastAsia="宋体" w:cs="宋体"/>
                <w:bCs/>
                <w:color w:val="auto"/>
                <w:kern w:val="2"/>
                <w:sz w:val="21"/>
                <w:szCs w:val="21"/>
                <w:highlight w:val="none"/>
                <w:lang w:val="en-US" w:eastAsia="zh-CN" w:bidi="ar-SA"/>
              </w:rPr>
              <w:t>投资者风险承受能力评级水平以销售机构评估为准。</w:t>
            </w:r>
          </w:p>
          <w:p>
            <w:pPr>
              <w:widowControl/>
              <w:spacing w:line="360" w:lineRule="auto"/>
              <w:contextualSpacing/>
              <w:jc w:val="both"/>
              <w:rPr>
                <w:rFonts w:hint="eastAsia" w:ascii="宋体" w:hAnsi="宋体" w:eastAsia="宋体" w:cs="宋体"/>
                <w:b w:val="0"/>
                <w:bCs/>
                <w:color w:val="000000"/>
                <w:kern w:val="2"/>
                <w:sz w:val="21"/>
                <w:szCs w:val="21"/>
                <w:highlight w:val="none"/>
                <w:lang w:val="en-US" w:eastAsia="zh-CN" w:bidi="ar-SA"/>
              </w:rPr>
            </w:pPr>
            <w:r>
              <w:rPr>
                <w:rFonts w:hint="eastAsia" w:ascii="宋体" w:hAnsi="宋体" w:eastAsia="宋体" w:cs="宋体"/>
                <w:b w:val="0"/>
                <w:bCs/>
                <w:color w:val="000000"/>
                <w:kern w:val="2"/>
                <w:sz w:val="21"/>
                <w:szCs w:val="21"/>
                <w:highlight w:val="none"/>
                <w:lang w:val="en-US" w:eastAsia="zh-CN" w:bidi="ar-SA"/>
              </w:rPr>
              <w:t>其中：</w:t>
            </w:r>
          </w:p>
          <w:p>
            <w:pPr>
              <w:widowControl/>
              <w:spacing w:line="360" w:lineRule="auto"/>
              <w:contextualSpacing/>
              <w:jc w:val="both"/>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SA"/>
              </w:rPr>
              <w:t>A份额（销售代码〖TYG12M2537A〗）：普通个人投资者和机构客户。</w:t>
            </w:r>
            <w:r>
              <w:rPr>
                <w:rFonts w:hint="eastAsia" w:ascii="宋体" w:hAnsi="宋体" w:eastAsia="宋体" w:cs="宋体"/>
                <w:b w:val="0"/>
                <w:bCs w:val="0"/>
                <w:color w:val="000000"/>
                <w:kern w:val="0"/>
                <w:sz w:val="21"/>
                <w:szCs w:val="21"/>
                <w:highlight w:val="none"/>
                <w:lang w:val="en-US" w:eastAsia="zh-CN" w:bidi="ar-SA"/>
              </w:rPr>
              <w:br w:type="textWrapping"/>
            </w:r>
            <w:r>
              <w:rPr>
                <w:rFonts w:hint="eastAsia" w:ascii="宋体" w:hAnsi="宋体" w:eastAsia="宋体" w:cs="宋体"/>
                <w:b w:val="0"/>
                <w:bCs w:val="0"/>
                <w:color w:val="000000"/>
                <w:kern w:val="0"/>
                <w:sz w:val="21"/>
                <w:szCs w:val="21"/>
                <w:highlight w:val="none"/>
                <w:lang w:val="en-US" w:eastAsia="zh-CN" w:bidi="ar-SA"/>
              </w:rPr>
              <w:t>B份额（销售代码〖TYG12M2537B〗）：普通个人投资者和机构客户。</w:t>
            </w:r>
            <w:r>
              <w:rPr>
                <w:rFonts w:hint="eastAsia" w:ascii="宋体" w:hAnsi="宋体" w:eastAsia="宋体" w:cs="宋体"/>
                <w:b w:val="0"/>
                <w:bCs w:val="0"/>
                <w:color w:val="000000"/>
                <w:kern w:val="0"/>
                <w:sz w:val="21"/>
                <w:szCs w:val="21"/>
                <w:highlight w:val="none"/>
                <w:lang w:val="en-US" w:eastAsia="zh-CN" w:bidi="ar-SA"/>
              </w:rPr>
              <w:br w:type="textWrapping"/>
            </w:r>
            <w:r>
              <w:rPr>
                <w:rFonts w:hint="eastAsia" w:ascii="宋体" w:hAnsi="宋体" w:eastAsia="宋体" w:cs="宋体"/>
                <w:b w:val="0"/>
                <w:bCs w:val="0"/>
                <w:color w:val="000000"/>
                <w:kern w:val="0"/>
                <w:sz w:val="21"/>
                <w:szCs w:val="21"/>
                <w:highlight w:val="none"/>
                <w:lang w:val="en-US" w:eastAsia="zh-CN" w:bidi="ar-SA"/>
              </w:rPr>
              <w:t>H份额（汉口银行专属）（销售代码〖TYG12M2537H〗）：普通个人投资者和机构客户。</w:t>
            </w:r>
            <w:r>
              <w:rPr>
                <w:rFonts w:hint="eastAsia" w:ascii="宋体" w:hAnsi="宋体" w:eastAsia="宋体" w:cs="宋体"/>
                <w:b w:val="0"/>
                <w:bCs w:val="0"/>
                <w:color w:val="000000"/>
                <w:kern w:val="0"/>
                <w:sz w:val="21"/>
                <w:szCs w:val="21"/>
                <w:highlight w:val="none"/>
                <w:lang w:val="en-US" w:eastAsia="zh-CN" w:bidi="ar-SA"/>
              </w:rPr>
              <w:br w:type="textWrapping"/>
            </w:r>
            <w:r>
              <w:rPr>
                <w:rFonts w:hint="eastAsia" w:ascii="宋体" w:hAnsi="宋体" w:eastAsia="宋体" w:cs="宋体"/>
                <w:b w:val="0"/>
                <w:bCs w:val="0"/>
                <w:color w:val="000000"/>
                <w:kern w:val="0"/>
                <w:sz w:val="21"/>
                <w:szCs w:val="21"/>
                <w:highlight w:val="none"/>
                <w:lang w:val="en-US" w:eastAsia="zh-CN" w:bidi="ar-SA"/>
              </w:rPr>
              <w:t>L份额（销售代码〖TYG12M2537L〗）：普通个人投资者和机构客户。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产品类型</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〖固定收益类〗</w:t>
            </w:r>
            <w:r>
              <w:rPr>
                <w:rFonts w:hint="eastAsia" w:ascii="宋体" w:hAnsi="宋体" w:eastAsia="宋体" w:cs="宋体"/>
                <w:color w:val="000000"/>
                <w:kern w:val="2"/>
                <w:sz w:val="21"/>
                <w:szCs w:val="21"/>
                <w:highlight w:val="none"/>
                <w:lang w:val="en-US" w:eastAsia="zh-CN" w:bidi="ar-SA"/>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运作模式</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分级产品</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销售范围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全国</w:t>
            </w:r>
            <w:r>
              <w:rPr>
                <w:rFonts w:hint="eastAsia" w:ascii="宋体" w:hAnsi="宋体" w:eastAsia="宋体" w:cs="宋体"/>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可通过杭银理财直销渠道和代理销售机构的</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营业网点、网上银行、手机银行</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交易币种</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发行规模上限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100</w:t>
            </w:r>
            <w:r>
              <w:rPr>
                <w:rFonts w:hint="eastAsia" w:ascii="宋体" w:hAnsi="宋体" w:eastAsia="宋体" w:cs="宋体"/>
                <w:color w:val="000000"/>
                <w:kern w:val="2"/>
                <w:sz w:val="21"/>
                <w:szCs w:val="21"/>
                <w:highlight w:val="none"/>
                <w:lang w:val="en-US" w:eastAsia="zh-CN" w:bidi="ar-SA"/>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2025</w:t>
            </w:r>
            <w:r>
              <w:rPr>
                <w:rFonts w:hint="eastAsia" w:ascii="宋体" w:hAnsi="宋体" w:eastAsia="宋体" w:cs="宋体"/>
                <w:color w:val="000000"/>
                <w:kern w:val="2"/>
                <w:sz w:val="21"/>
                <w:szCs w:val="21"/>
                <w:highlight w:val="none"/>
                <w:lang w:val="en-US" w:eastAsia="zh-CN" w:bidi="ar-SA"/>
              </w:rPr>
              <w:t>〗年〖</w:t>
            </w:r>
            <w:r>
              <w:rPr>
                <w:rFonts w:hint="eastAsia" w:ascii="宋体" w:hAnsi="宋体" w:eastAsia="宋体" w:cs="宋体"/>
                <w:kern w:val="2"/>
                <w:sz w:val="21"/>
                <w:szCs w:val="21"/>
                <w:highlight w:val="none"/>
                <w:lang w:val="en-US" w:eastAsia="zh-CN" w:bidi="ar-SA"/>
              </w:rPr>
              <w:t>9</w:t>
            </w:r>
            <w:r>
              <w:rPr>
                <w:rFonts w:hint="eastAsia" w:ascii="宋体" w:hAnsi="宋体" w:eastAsia="宋体" w:cs="宋体"/>
                <w:color w:val="000000"/>
                <w:kern w:val="2"/>
                <w:sz w:val="21"/>
                <w:szCs w:val="21"/>
                <w:highlight w:val="none"/>
                <w:lang w:val="en-US" w:eastAsia="zh-CN" w:bidi="ar-SA"/>
              </w:rPr>
              <w:t>〗月〖</w:t>
            </w:r>
            <w:r>
              <w:rPr>
                <w:rFonts w:hint="eastAsia" w:ascii="宋体" w:hAnsi="宋体" w:eastAsia="宋体" w:cs="宋体"/>
                <w:kern w:val="2"/>
                <w:sz w:val="21"/>
                <w:szCs w:val="21"/>
                <w:highlight w:val="none"/>
                <w:lang w:val="en-US" w:eastAsia="zh-CN" w:bidi="ar-SA"/>
              </w:rPr>
              <w:t>26</w:t>
            </w:r>
            <w:r>
              <w:rPr>
                <w:rFonts w:hint="eastAsia" w:ascii="宋体" w:hAnsi="宋体" w:eastAsia="宋体" w:cs="宋体"/>
                <w:color w:val="000000"/>
                <w:kern w:val="2"/>
                <w:sz w:val="21"/>
                <w:szCs w:val="21"/>
                <w:highlight w:val="none"/>
                <w:lang w:val="en-US" w:eastAsia="zh-CN" w:bidi="ar-SA"/>
              </w:rPr>
              <w:t>〗日-〖</w:t>
            </w:r>
            <w:r>
              <w:rPr>
                <w:rFonts w:hint="eastAsia" w:ascii="宋体" w:hAnsi="宋体" w:eastAsia="宋体" w:cs="宋体"/>
                <w:kern w:val="2"/>
                <w:sz w:val="21"/>
                <w:szCs w:val="21"/>
                <w:highlight w:val="none"/>
                <w:lang w:val="en-US" w:eastAsia="zh-CN" w:bidi="ar-SA"/>
              </w:rPr>
              <w:t>2025〗</w:t>
            </w:r>
            <w:r>
              <w:rPr>
                <w:rFonts w:hint="eastAsia" w:ascii="宋体" w:hAnsi="宋体" w:eastAsia="宋体" w:cs="宋体"/>
                <w:color w:val="000000"/>
                <w:kern w:val="2"/>
                <w:sz w:val="21"/>
                <w:szCs w:val="21"/>
                <w:highlight w:val="none"/>
                <w:lang w:val="en-US" w:eastAsia="zh-CN" w:bidi="ar-SA"/>
              </w:rPr>
              <w:t>年〖</w:t>
            </w:r>
            <w:r>
              <w:rPr>
                <w:rFonts w:hint="eastAsia" w:ascii="宋体" w:hAnsi="宋体" w:eastAsia="宋体" w:cs="宋体"/>
                <w:kern w:val="2"/>
                <w:sz w:val="21"/>
                <w:szCs w:val="21"/>
                <w:highlight w:val="none"/>
                <w:lang w:val="en-US" w:eastAsia="zh-CN" w:bidi="ar-SA"/>
              </w:rPr>
              <w:t>10〗</w:t>
            </w:r>
            <w:r>
              <w:rPr>
                <w:rFonts w:hint="eastAsia" w:ascii="宋体" w:hAnsi="宋体" w:eastAsia="宋体" w:cs="宋体"/>
                <w:color w:val="000000"/>
                <w:kern w:val="2"/>
                <w:sz w:val="21"/>
                <w:szCs w:val="21"/>
                <w:highlight w:val="none"/>
                <w:lang w:val="en-US" w:eastAsia="zh-CN" w:bidi="ar-SA"/>
              </w:rPr>
              <w:t>月〖</w:t>
            </w:r>
            <w:r>
              <w:rPr>
                <w:rFonts w:hint="eastAsia" w:ascii="宋体" w:hAnsi="宋体" w:eastAsia="宋体" w:cs="宋体"/>
                <w:kern w:val="2"/>
                <w:sz w:val="21"/>
                <w:szCs w:val="21"/>
                <w:highlight w:val="none"/>
                <w:lang w:val="en-US" w:eastAsia="zh-CN" w:bidi="ar-SA"/>
              </w:rPr>
              <w:t>9〗</w:t>
            </w:r>
            <w:r>
              <w:rPr>
                <w:rFonts w:hint="eastAsia" w:ascii="宋体" w:hAnsi="宋体" w:eastAsia="宋体" w:cs="宋体"/>
                <w:color w:val="000000"/>
                <w:kern w:val="2"/>
                <w:sz w:val="21"/>
                <w:szCs w:val="21"/>
                <w:highlight w:val="none"/>
                <w:lang w:val="en-US" w:eastAsia="zh-CN" w:bidi="ar-SA"/>
              </w:rPr>
              <w:t>日</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认购时间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认购期首日〖9：00〗至认购结束日〖17：00〗</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成立日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2025</w:t>
            </w:r>
            <w:r>
              <w:rPr>
                <w:rFonts w:hint="eastAsia" w:ascii="宋体" w:hAnsi="宋体" w:eastAsia="宋体" w:cs="宋体"/>
                <w:color w:val="000000"/>
                <w:kern w:val="2"/>
                <w:sz w:val="21"/>
                <w:szCs w:val="21"/>
                <w:highlight w:val="none"/>
                <w:lang w:val="en-US" w:eastAsia="zh-CN" w:bidi="ar-SA"/>
              </w:rPr>
              <w:t>〗年〖</w:t>
            </w:r>
            <w:r>
              <w:rPr>
                <w:rFonts w:hint="eastAsia" w:ascii="宋体" w:hAnsi="宋体" w:eastAsia="宋体" w:cs="宋体"/>
                <w:kern w:val="2"/>
                <w:sz w:val="21"/>
                <w:szCs w:val="21"/>
                <w:highlight w:val="none"/>
                <w:lang w:val="en-US" w:eastAsia="zh-CN" w:bidi="ar-SA"/>
              </w:rPr>
              <w:t>10</w:t>
            </w:r>
            <w:r>
              <w:rPr>
                <w:rFonts w:hint="eastAsia" w:ascii="宋体" w:hAnsi="宋体" w:eastAsia="宋体" w:cs="宋体"/>
                <w:color w:val="000000"/>
                <w:kern w:val="2"/>
                <w:sz w:val="21"/>
                <w:szCs w:val="21"/>
                <w:highlight w:val="none"/>
                <w:lang w:val="en-US" w:eastAsia="zh-CN" w:bidi="ar-SA"/>
              </w:rPr>
              <w:t>〗月〖</w:t>
            </w:r>
            <w:r>
              <w:rPr>
                <w:rFonts w:hint="eastAsia" w:ascii="宋体" w:hAnsi="宋体" w:eastAsia="宋体" w:cs="宋体"/>
                <w:kern w:val="2"/>
                <w:sz w:val="21"/>
                <w:szCs w:val="21"/>
                <w:highlight w:val="none"/>
                <w:lang w:val="en-US" w:eastAsia="zh-CN" w:bidi="ar-SA"/>
              </w:rPr>
              <w:t>10</w:t>
            </w:r>
            <w:r>
              <w:rPr>
                <w:rFonts w:hint="eastAsia" w:ascii="宋体" w:hAnsi="宋体" w:eastAsia="宋体" w:cs="宋体"/>
                <w:color w:val="000000"/>
                <w:kern w:val="2"/>
                <w:sz w:val="21"/>
                <w:szCs w:val="21"/>
                <w:highlight w:val="none"/>
                <w:lang w:val="en-US" w:eastAsia="zh-CN" w:bidi="ar-S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理财期限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认购/申购</w:t>
            </w:r>
          </w:p>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起点金额</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〖A份额〗起点〖0.01〗元整，超过认购/申购起点部分，应为〖0.01〗元的整数倍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〖B份额〗起点〖0.01〗元整，超过认购/申购起点部分，应为〖0.01〗元的整数倍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〖H份额〗起点〖0.01〗元整，超过认购/申购起点部分，应为〖0.01〗元的整数倍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〖L份额〗起点〖0.01〗元整，超过认购/申购起点部分，应为〖0.01〗元的整数倍</w:t>
            </w:r>
          </w:p>
          <w:p>
            <w:pPr>
              <w:widowControl/>
              <w:spacing w:line="360" w:lineRule="auto"/>
              <w:contextualSpacing/>
              <w:jc w:val="both"/>
              <w:rPr>
                <w:rFonts w:hint="eastAsia" w:ascii="宋体" w:hAnsi="宋体" w:eastAsia="宋体" w:cs="宋体"/>
                <w:bCs/>
                <w:color w:val="FF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产品成立</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kern w:val="2"/>
                <w:sz w:val="21"/>
                <w:szCs w:val="21"/>
                <w:highlight w:val="none"/>
                <w:lang w:val="en-US" w:eastAsia="zh-CN" w:bidi="ar-SA"/>
              </w:rPr>
              <w:t>〖2000〗</w:t>
            </w:r>
            <w:r>
              <w:rPr>
                <w:rFonts w:hint="eastAsia" w:ascii="宋体" w:hAnsi="宋体" w:eastAsia="宋体" w:cs="宋体"/>
                <w:color w:val="000000"/>
                <w:kern w:val="2"/>
                <w:sz w:val="21"/>
                <w:szCs w:val="21"/>
                <w:highlight w:val="none"/>
                <w:lang w:val="en-US" w:eastAsia="zh-CN" w:bidi="ar-SA"/>
              </w:rPr>
              <w:t>万元，则管理人可宣布本理财计划不成立并在原定理财计划成立日后</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个工作日内通过管理人或销售机构发布不成立信息，投资者购买的理财资金将在原定成立日后2个工作日内划转至投资者指定理财账户，</w:t>
            </w:r>
            <w:r>
              <w:rPr>
                <w:rFonts w:hint="eastAsia" w:ascii="宋体" w:hAnsi="宋体" w:eastAsia="宋体" w:cs="宋体"/>
                <w:b/>
                <w:color w:val="000000"/>
                <w:kern w:val="2"/>
                <w:sz w:val="21"/>
                <w:szCs w:val="21"/>
                <w:highlight w:val="none"/>
                <w:lang w:val="en-US" w:eastAsia="zh-CN" w:bidi="ar-SA"/>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开放期</w:t>
            </w:r>
          </w:p>
        </w:tc>
        <w:tc>
          <w:tcPr>
            <w:tcW w:w="7185" w:type="dxa"/>
            <w:noWrap w:val="0"/>
            <w:vAlign w:val="center"/>
          </w:tcPr>
          <w:p>
            <w:pPr>
              <w:widowControl/>
              <w:spacing w:line="360" w:lineRule="auto"/>
              <w:contextualSpacing/>
              <w:jc w:val="both"/>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w:t>
            </w:r>
            <w:r>
              <w:rPr>
                <w:rFonts w:hint="eastAsia" w:ascii="宋体" w:hAnsi="宋体" w:eastAsia="宋体" w:cs="宋体"/>
                <w:kern w:val="2"/>
                <w:sz w:val="21"/>
                <w:szCs w:val="21"/>
                <w:highlight w:val="none"/>
                <w:lang w:val="en-US" w:eastAsia="zh-CN" w:bidi="ar-SA"/>
              </w:rPr>
              <w:t>〖每年〗开放一次，具体开放期将以管理人公告为准。首个开放期为</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2026</w:t>
            </w:r>
            <w:r>
              <w:rPr>
                <w:rFonts w:hint="eastAsia" w:ascii="宋体" w:hAnsi="宋体" w:eastAsia="宋体" w:cs="宋体"/>
                <w:color w:val="000000"/>
                <w:kern w:val="2"/>
                <w:sz w:val="21"/>
                <w:szCs w:val="21"/>
                <w:highlight w:val="none"/>
                <w:lang w:val="en-US" w:eastAsia="zh-CN" w:bidi="ar-SA"/>
              </w:rPr>
              <w:t>〗年〖10〗月〖21〗日至〖2026〗年〖10〗月〖27〗日，首个确认日为〖2026〗年〖10〗月〖28〗日。如遇确认日为非工作日，则顺延至</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下一工作日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交易时间</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1.本理财计划在每个开放期的开放日工作时间均可进行申购和赎回，申购和赎回申请将在确认日，即开放期后的第</w:t>
            </w:r>
            <w:r>
              <w:rPr>
                <w:rFonts w:hint="eastAsia" w:ascii="宋体" w:hAnsi="宋体" w:eastAsia="宋体" w:cs="宋体"/>
                <w:kern w:val="2"/>
                <w:sz w:val="21"/>
                <w:szCs w:val="21"/>
                <w:highlight w:val="none"/>
                <w:lang w:val="en-US" w:eastAsia="zh-CN" w:bidi="ar-SA"/>
              </w:rPr>
              <w:t>〖1〗个〖</w:t>
            </w:r>
            <w:r>
              <w:rPr>
                <w:rFonts w:hint="eastAsia" w:ascii="宋体" w:hAnsi="宋体" w:eastAsia="宋体" w:cs="宋体"/>
                <w:bCs/>
                <w:kern w:val="2"/>
                <w:sz w:val="21"/>
                <w:szCs w:val="21"/>
                <w:highlight w:val="none"/>
                <w:lang w:val="en-US" w:eastAsia="zh-CN" w:bidi="ar-SA"/>
              </w:rPr>
              <w:t>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bCs/>
                <w:kern w:val="2"/>
                <w:sz w:val="21"/>
                <w:szCs w:val="21"/>
                <w:highlight w:val="none"/>
                <w:lang w:val="en-US" w:eastAsia="zh-CN" w:bidi="ar-SA"/>
              </w:rPr>
              <w:t>进行确认。</w:t>
            </w:r>
            <w:r>
              <w:rPr>
                <w:rFonts w:hint="eastAsia" w:ascii="宋体" w:hAnsi="宋体" w:eastAsia="宋体" w:cs="宋体"/>
                <w:color w:val="000000"/>
                <w:kern w:val="2"/>
                <w:sz w:val="21"/>
                <w:szCs w:val="21"/>
                <w:highlight w:val="none"/>
                <w:lang w:val="en-US" w:eastAsia="zh-CN" w:bidi="ar-SA"/>
              </w:rPr>
              <w:t>确认日如遇非工作日，则顺延至</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下一工作日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w:t>
            </w:r>
          </w:p>
          <w:p>
            <w:pPr>
              <w:widowControl/>
              <w:spacing w:line="360" w:lineRule="auto"/>
              <w:contextualSpacing/>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2.工作时间为每个工作日上午〖9:00〗至下午〖17:00〗。确认日如遇非工作日，则顺延至</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下一工作日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（具体以销售机构规定为准）</w:t>
            </w:r>
          </w:p>
          <w:p>
            <w:pPr>
              <w:widowControl/>
              <w:spacing w:line="360" w:lineRule="auto"/>
              <w:contextualSpacing/>
              <w:jc w:val="both"/>
              <w:rPr>
                <w:rFonts w:hint="default"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3.认购/开放期内提交的交易申请，在理财计划成立日/确认日前一日下午</w:t>
            </w:r>
            <w:r>
              <w:rPr>
                <w:rFonts w:hint="eastAsia" w:ascii="宋体" w:hAnsi="宋体" w:eastAsia="宋体" w:cs="宋体"/>
                <w:color w:val="000000"/>
                <w:kern w:val="2"/>
                <w:sz w:val="21"/>
                <w:szCs w:val="21"/>
                <w:highlight w:val="none"/>
                <w:lang w:val="en-US" w:eastAsia="zh-CN" w:bidi="ar-SA"/>
              </w:rPr>
              <w:t>〖17:00〗</w:t>
            </w:r>
            <w:r>
              <w:rPr>
                <w:rFonts w:hint="eastAsia" w:ascii="宋体" w:hAnsi="宋体" w:eastAsia="宋体" w:cs="宋体"/>
                <w:color w:val="000000"/>
                <w:kern w:val="0"/>
                <w:sz w:val="21"/>
                <w:szCs w:val="21"/>
                <w:highlight w:val="none"/>
                <w:lang w:val="en-US" w:eastAsia="zh-CN" w:bidi="ar-SA"/>
              </w:rPr>
              <w:t>之前可以撤单。（具体以销售机构规定为准）</w:t>
            </w:r>
          </w:p>
          <w:p>
            <w:pPr>
              <w:widowControl/>
              <w:spacing w:line="360" w:lineRule="auto"/>
              <w:contextualSpacing/>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4.上述交易安排如有调整，请以管理人公告为准。</w:t>
            </w:r>
          </w:p>
          <w:p>
            <w:pPr>
              <w:widowControl/>
              <w:spacing w:line="360" w:lineRule="auto"/>
              <w:contextualSpacing/>
              <w:jc w:val="both"/>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巨额赎回</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理财计划存续期内，若理财计划开放日净赎回申请份额超过上一日日终理财计划总份额</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10%</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单户限额</w:t>
            </w:r>
          </w:p>
        </w:tc>
        <w:tc>
          <w:tcPr>
            <w:tcW w:w="7185" w:type="dxa"/>
            <w:noWrap w:val="0"/>
            <w:vAlign w:val="center"/>
          </w:tcPr>
          <w:p>
            <w:pPr>
              <w:widowControl/>
              <w:spacing w:line="360" w:lineRule="auto"/>
              <w:contextualSpacing/>
              <w:jc w:val="both"/>
              <w:rPr>
                <w:rFonts w:hint="eastAsia" w:ascii="宋体" w:hAnsi="宋体" w:eastAsia="宋体" w:cs="宋体"/>
                <w:bCs/>
                <w:color w:val="FF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1.单户持有份额〖b〗</w:t>
            </w:r>
          </w:p>
          <w:p>
            <w:pPr>
              <w:widowControl/>
              <w:spacing w:line="360" w:lineRule="auto"/>
              <w:contextualSpacing/>
              <w:jc w:val="both"/>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a.可以超过理财计划总份额的50%，但理财计划不得向个人投资者公开销售。</w:t>
            </w:r>
          </w:p>
          <w:p>
            <w:pPr>
              <w:widowControl/>
              <w:spacing w:line="360" w:lineRule="auto"/>
              <w:contextualSpacing/>
              <w:jc w:val="both"/>
              <w:rPr>
                <w:rFonts w:hint="default" w:ascii="宋体" w:hAnsi="宋体" w:eastAsia="宋体" w:cs="宋体"/>
                <w:bCs/>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b.不得超过理财计划总份额的50%。</w:t>
            </w:r>
          </w:p>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2.〖A份额〗单户持有上限为〖1亿元〗。</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〖B份额〗单户持有上限为〖1亿元〗。</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〖H份额〗单户持有上限为〖1亿元〗。</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〖L份额〗单户持有上限为〖1亿元〗。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申购份额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申购份额=申购金额/确认日前一日的单位净值。申购</w:t>
            </w:r>
            <w:r>
              <w:rPr>
                <w:rFonts w:hint="eastAsia" w:ascii="宋体" w:hAnsi="宋体" w:eastAsia="宋体" w:cs="宋体"/>
                <w:color w:val="000000"/>
                <w:kern w:val="2"/>
                <w:sz w:val="21"/>
                <w:szCs w:val="21"/>
                <w:highlight w:val="none"/>
                <w:lang w:val="en-US" w:eastAsia="zh-CN" w:bidi="ar-SA"/>
              </w:rPr>
              <w:t>份额保留至0.01份理财产品份额，小数点后两位四舍五入。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赎回金额</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赎回金额=赎</w:t>
            </w:r>
            <w:r>
              <w:rPr>
                <w:rFonts w:hint="eastAsia" w:ascii="宋体" w:hAnsi="宋体" w:eastAsia="宋体" w:cs="宋体"/>
                <w:bCs/>
                <w:kern w:val="2"/>
                <w:sz w:val="21"/>
                <w:szCs w:val="21"/>
                <w:highlight w:val="none"/>
                <w:lang w:val="en-US" w:eastAsia="zh-CN" w:bidi="ar-SA"/>
              </w:rPr>
              <w:t>回份额×确认日前一日的单位净值。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单位净值=理财计划估值日理财计划总净值/理财计划总份额，单位净值</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保留小数点后四位</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,〖四位后去尾〗。</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理财计划总净值=理财计划认购总额+理财计划所获总收益-理财计划总费用（包括但不限于固定管理费、托管费、销售服务费、浮动管理费（如有）等）。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资金与收益支付方式</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1.赎回资金确认后，理财计划资金最快</w:t>
            </w:r>
            <w:r>
              <w:rPr>
                <w:rFonts w:hint="eastAsia" w:ascii="宋体" w:hAnsi="宋体" w:eastAsia="宋体" w:cs="宋体"/>
                <w:kern w:val="2"/>
                <w:sz w:val="21"/>
                <w:szCs w:val="21"/>
                <w:highlight w:val="none"/>
                <w:lang w:val="en-US" w:eastAsia="zh-CN" w:bidi="ar-SA"/>
              </w:rPr>
              <w:t>于〖确认日当日〗</w:t>
            </w:r>
            <w:r>
              <w:rPr>
                <w:rFonts w:hint="eastAsia" w:ascii="宋体" w:hAnsi="宋体" w:eastAsia="宋体" w:cs="宋体"/>
                <w:color w:val="000000"/>
                <w:kern w:val="2"/>
                <w:sz w:val="21"/>
                <w:szCs w:val="21"/>
                <w:highlight w:val="none"/>
                <w:lang w:val="en-US" w:eastAsia="zh-CN" w:bidi="ar-SA"/>
              </w:rPr>
              <w:t>，最晚于</w:t>
            </w:r>
            <w:r>
              <w:rPr>
                <w:rFonts w:hint="eastAsia" w:ascii="宋体" w:hAnsi="宋体" w:eastAsia="宋体" w:cs="宋体"/>
                <w:kern w:val="2"/>
                <w:sz w:val="21"/>
                <w:szCs w:val="21"/>
                <w:highlight w:val="none"/>
                <w:lang w:val="en-US" w:eastAsia="zh-CN" w:bidi="ar-SA"/>
              </w:rPr>
              <w:t>确认日后〖2〗个〖工作日〗内</w:t>
            </w:r>
            <w:r>
              <w:rPr>
                <w:rFonts w:hint="eastAsia" w:ascii="宋体" w:hAnsi="宋体" w:eastAsia="宋体" w:cs="宋体"/>
                <w:color w:val="000000"/>
                <w:kern w:val="2"/>
                <w:sz w:val="21"/>
                <w:szCs w:val="21"/>
                <w:highlight w:val="none"/>
                <w:lang w:val="en-US" w:eastAsia="zh-CN" w:bidi="ar-SA"/>
              </w:rPr>
              <w:t>（遇节假日顺延）支付。如遇资金在途或法定工作日调整，实际资金到账日以公告为准。</w:t>
            </w:r>
            <w:r>
              <w:rPr>
                <w:rFonts w:hint="eastAsia" w:ascii="宋体" w:hAnsi="宋体" w:eastAsia="宋体" w:cs="宋体"/>
                <w:color w:val="000000"/>
                <w:kern w:val="0"/>
                <w:sz w:val="21"/>
                <w:szCs w:val="21"/>
                <w:highlight w:val="none"/>
                <w:lang w:val="en-US" w:eastAsia="zh-CN" w:bidi="ar-SA"/>
              </w:rPr>
              <w:t>（具体以销售机构规定为准）</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2.理财计划到期确认后，理财计划资金最快</w:t>
            </w:r>
            <w:r>
              <w:rPr>
                <w:rFonts w:hint="eastAsia" w:ascii="宋体" w:hAnsi="宋体" w:eastAsia="宋体" w:cs="宋体"/>
                <w:kern w:val="2"/>
                <w:sz w:val="21"/>
                <w:szCs w:val="21"/>
                <w:highlight w:val="none"/>
                <w:lang w:val="en-US" w:eastAsia="zh-CN" w:bidi="ar-SA"/>
              </w:rPr>
              <w:t>于到期日后〖1〗</w:t>
            </w:r>
            <w:r>
              <w:rPr>
                <w:rFonts w:hint="eastAsia" w:ascii="宋体" w:hAnsi="宋体" w:eastAsia="宋体" w:cs="宋体"/>
                <w:color w:val="000000"/>
                <w:kern w:val="2"/>
                <w:sz w:val="21"/>
                <w:szCs w:val="21"/>
                <w:highlight w:val="none"/>
                <w:lang w:val="en-US" w:eastAsia="zh-CN" w:bidi="ar-SA"/>
              </w:rPr>
              <w:t>个</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，最晚于到期日后</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color w:val="000000"/>
                <w:kern w:val="2"/>
                <w:sz w:val="21"/>
                <w:szCs w:val="21"/>
                <w:highlight w:val="none"/>
                <w:lang w:val="en-US" w:eastAsia="zh-CN" w:bidi="ar-SA"/>
              </w:rPr>
              <w:t>个</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内（遇节假日顺延）支付。如遇资金在途或法定工作日调整，实际资金到账日以公告为准。</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收益分配</w:t>
            </w:r>
          </w:p>
        </w:tc>
        <w:tc>
          <w:tcPr>
            <w:tcW w:w="7185" w:type="dxa"/>
            <w:noWrap w:val="0"/>
            <w:vAlign w:val="center"/>
          </w:tcPr>
          <w:p>
            <w:pPr>
              <w:widowControl/>
              <w:spacing w:line="360" w:lineRule="auto"/>
              <w:contextualSpacing/>
              <w:jc w:val="both"/>
              <w:rPr>
                <w:rFonts w:ascii="宋体" w:hAnsi="宋体" w:eastAsia="宋体" w:cs="宋体"/>
                <w:b/>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在满足收益分配基准日理财计划份额净值大于1元的情况下，管理人将</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定期</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将大于1元部分的收益进行全部收益分配。具体分配方案以管理人公告为准。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业绩比较基准</w:t>
            </w:r>
          </w:p>
        </w:tc>
        <w:tc>
          <w:tcPr>
            <w:tcW w:w="7185" w:type="dxa"/>
            <w:noWrap w:val="0"/>
            <w:vAlign w:val="center"/>
          </w:tcPr>
          <w:p>
            <w:pPr>
              <w:widowControl/>
              <w:spacing w:line="360" w:lineRule="auto"/>
              <w:jc w:val="left"/>
              <w:rPr>
                <w:rFonts w:hint="eastAsia" w:ascii="宋体" w:hAnsi="宋体" w:eastAsia="宋体" w:cs="宋体"/>
                <w:kern w:val="2"/>
                <w:sz w:val="24"/>
                <w:szCs w:val="21"/>
                <w:highlight w:val="none"/>
                <w:lang w:val="en-US" w:eastAsia="zh-CN" w:bidi="ar-SA"/>
              </w:rPr>
            </w:pPr>
            <w:r>
              <w:rPr>
                <w:rFonts w:hint="eastAsia" w:ascii="宋体" w:hAnsi="宋体" w:eastAsia="宋体" w:cs="宋体"/>
                <w:kern w:val="2"/>
                <w:sz w:val="21"/>
                <w:szCs w:val="21"/>
                <w:highlight w:val="none"/>
                <w:lang w:val="en-US" w:eastAsia="zh-CN" w:bidi="ar-SA"/>
              </w:rPr>
              <w:t>本理财计划〖A份额〗业绩比较基准为〖2.55%-2.85%〗（年化）。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本理财计划〖B份额〗业绩比较基准为〖2.65%-2.95%〗（年化）。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本理财计划〖H份额〗业绩比较基准为〖2.70%-3.00%〗（年化）。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本理财计划〖L份额〗业绩比较基准为〖2.75%-3.05%〗（年化）。</w:t>
            </w:r>
          </w:p>
          <w:p>
            <w:pPr>
              <w:widowControl/>
              <w:spacing w:line="360" w:lineRule="auto"/>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业绩基准测算依据：本理财计划重点投资于货币市场工具、债券、非标准化债权类资产等资产，管理人根据固定收益市场历史表现，结合当前利率水平、资产配比及市场同类型产品情况，经综合判断得出。</w:t>
            </w:r>
          </w:p>
          <w:p>
            <w:pPr>
              <w:widowControl/>
              <w:spacing w:line="360" w:lineRule="auto"/>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管理人有权根据市场情况及理财计划运作情况调整业绩基准，并至少于新业绩基准启用前</w:t>
            </w:r>
            <w:r>
              <w:rPr>
                <w:rFonts w:hint="eastAsia" w:ascii="宋体" w:hAnsi="宋体" w:eastAsia="宋体" w:cs="宋体"/>
                <w:kern w:val="0"/>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个工作日公告。</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本理财计划为净值型理财产品，其业绩表现将随市场波动具有不确定性。本公司提醒投资者关注，业绩比较基准不是预期收益率，并不代表理财计划的未来表现和实际收益率，不构成对理财计划收益的承诺。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产品费用</w:t>
            </w:r>
          </w:p>
        </w:tc>
        <w:tc>
          <w:tcPr>
            <w:tcW w:w="7185" w:type="dxa"/>
            <w:noWrap w:val="0"/>
            <w:vAlign w:val="center"/>
          </w:tcPr>
          <w:p>
            <w:pPr>
              <w:widowControl/>
              <w:spacing w:line="360" w:lineRule="auto"/>
              <w:contextualSpacing/>
              <w:jc w:val="both"/>
              <w:rPr>
                <w:rFonts w:hint="eastAsia" w:ascii="宋体" w:hAnsi="宋体" w:eastAsia="宋体" w:cs="宋体"/>
                <w:bCs w:val="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1.销售服务费：</w:t>
            </w:r>
            <w:r>
              <w:rPr>
                <w:rFonts w:hint="eastAsia" w:ascii="宋体" w:hAnsi="宋体" w:eastAsia="宋体" w:cs="宋体"/>
                <w:kern w:val="2"/>
                <w:sz w:val="21"/>
                <w:szCs w:val="21"/>
                <w:highlight w:val="none"/>
                <w:lang w:val="en-US" w:eastAsia="zh-CN" w:bidi="ar-SA"/>
              </w:rPr>
              <w:t>〖A份额〗收取年化〖0.30%〗的销售服务费, 〖B份额〗收取年化〖0.20%〗的销售服务费, 〖H份额〗收取年化〖0.15%〗的销售服务费</w:t>
            </w:r>
            <w:r>
              <w:rPr>
                <w:rFonts w:hint="eastAsia" w:ascii="宋体" w:hAnsi="宋体" w:cs="宋体"/>
                <w:kern w:val="2"/>
                <w:sz w:val="21"/>
                <w:szCs w:val="21"/>
                <w:highlight w:val="none"/>
                <w:lang w:val="en-US" w:eastAsia="zh-CN" w:bidi="ar-SA"/>
              </w:rPr>
              <w:t>（仅第一运作周期，从第二运作周期开始</w:t>
            </w:r>
            <w:r>
              <w:rPr>
                <w:rFonts w:hint="eastAsia" w:ascii="宋体" w:hAnsi="宋体" w:eastAsia="宋体" w:cs="宋体"/>
                <w:kern w:val="2"/>
                <w:sz w:val="21"/>
                <w:szCs w:val="21"/>
                <w:highlight w:val="none"/>
                <w:lang w:val="en-US" w:eastAsia="zh-CN" w:bidi="ar-SA"/>
              </w:rPr>
              <w:t>收取年化〖</w:t>
            </w:r>
            <w:r>
              <w:rPr>
                <w:rFonts w:hint="eastAsia" w:ascii="宋体" w:hAnsi="宋体" w:cs="宋体"/>
                <w:kern w:val="2"/>
                <w:sz w:val="21"/>
                <w:szCs w:val="21"/>
                <w:highlight w:val="none"/>
                <w:lang w:val="en-US" w:eastAsia="zh-CN" w:bidi="ar-SA"/>
              </w:rPr>
              <w:t>0.30</w:t>
            </w:r>
            <w:r>
              <w:rPr>
                <w:rFonts w:hint="eastAsia" w:ascii="宋体" w:hAnsi="宋体" w:eastAsia="宋体" w:cs="宋体"/>
                <w:kern w:val="2"/>
                <w:sz w:val="21"/>
                <w:szCs w:val="21"/>
                <w:highlight w:val="none"/>
                <w:lang w:val="en-US" w:eastAsia="zh-CN" w:bidi="ar-SA"/>
              </w:rPr>
              <w:t>%〗的销售服务费</w:t>
            </w:r>
            <w:r>
              <w:rPr>
                <w:rFonts w:hint="eastAsia" w:ascii="宋体" w:hAnsi="宋体" w:cs="宋体"/>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 〖L份额〗收取年化〖0.10%〗的销售服务费。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2.托管费：收取年化</w:t>
            </w:r>
            <w:r>
              <w:rPr>
                <w:rFonts w:hint="eastAsia" w:ascii="宋体" w:hAnsi="宋体" w:eastAsia="宋体" w:cs="宋体"/>
                <w:kern w:val="2"/>
                <w:sz w:val="21"/>
                <w:szCs w:val="21"/>
                <w:highlight w:val="none"/>
                <w:lang w:val="en-US" w:eastAsia="zh-CN" w:bidi="ar-SA"/>
              </w:rPr>
              <w:t>〖0.025%〗</w:t>
            </w:r>
            <w:r>
              <w:rPr>
                <w:rFonts w:hint="eastAsia" w:ascii="宋体" w:hAnsi="宋体" w:eastAsia="宋体" w:cs="宋体"/>
                <w:color w:val="000000"/>
                <w:kern w:val="2"/>
                <w:sz w:val="21"/>
                <w:szCs w:val="21"/>
                <w:highlight w:val="none"/>
                <w:lang w:val="en-US" w:eastAsia="zh-CN" w:bidi="ar-SA"/>
              </w:rPr>
              <w:t>的托管费。</w:t>
            </w:r>
          </w:p>
          <w:p>
            <w:pPr>
              <w:widowControl/>
              <w:spacing w:line="360" w:lineRule="auto"/>
              <w:contextualSpacing/>
              <w:jc w:val="both"/>
              <w:rPr>
                <w:rFonts w:hint="eastAsia" w:ascii="宋体" w:hAnsi="宋体" w:eastAsia="宋体" w:cs="宋体"/>
                <w:bCs w:val="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3.固定管理费：</w:t>
            </w:r>
            <w:r>
              <w:rPr>
                <w:rFonts w:hint="eastAsia" w:ascii="宋体" w:hAnsi="宋体" w:eastAsia="宋体" w:cs="宋体"/>
                <w:kern w:val="2"/>
                <w:sz w:val="21"/>
                <w:szCs w:val="21"/>
                <w:highlight w:val="none"/>
                <w:lang w:val="en-US" w:eastAsia="zh-CN" w:bidi="ar-SA"/>
              </w:rPr>
              <w:t>〖A份额〗收取年化〖0.20%〗的固定管理费, 〖B份额〗收取年化〖0.20%〗的固定管理费, 〖H份额〗收取年化〖0.20%〗的固定管理费, 〖L份额〗收取年化〖0.20%〗的固定管理费。</w:t>
            </w:r>
          </w:p>
          <w:p>
            <w:pPr>
              <w:widowControl/>
              <w:spacing w:line="360" w:lineRule="auto"/>
              <w:contextualSpacing/>
              <w:jc w:val="both"/>
              <w:rPr>
                <w:rFonts w:hint="eastAsia" w:ascii="宋体" w:hAnsi="宋体" w:eastAsia="宋体" w:cs="宋体"/>
                <w:bCs/>
                <w:color w:val="FF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4.认购费：本理财计划免除认购费。</w:t>
            </w:r>
          </w:p>
          <w:p>
            <w:pPr>
              <w:widowControl/>
              <w:spacing w:line="360" w:lineRule="auto"/>
              <w:contextualSpacing/>
              <w:jc w:val="both"/>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5.申购费：</w:t>
            </w:r>
            <w:r>
              <w:rPr>
                <w:rFonts w:hint="eastAsia" w:ascii="宋体" w:hAnsi="宋体" w:eastAsia="宋体" w:cs="宋体"/>
                <w:color w:val="000000"/>
                <w:kern w:val="2"/>
                <w:sz w:val="21"/>
                <w:szCs w:val="21"/>
                <w:highlight w:val="none"/>
                <w:lang w:val="en-US" w:eastAsia="zh-CN" w:bidi="ar-SA"/>
              </w:rPr>
              <w:t>本理财计划免除申购费。</w:t>
            </w:r>
          </w:p>
          <w:p>
            <w:pPr>
              <w:widowControl/>
              <w:spacing w:line="360" w:lineRule="auto"/>
              <w:contextualSpacing/>
              <w:jc w:val="both"/>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6.赎回费：</w:t>
            </w:r>
            <w:r>
              <w:rPr>
                <w:rFonts w:hint="eastAsia" w:ascii="宋体" w:hAnsi="宋体" w:eastAsia="宋体" w:cs="宋体"/>
                <w:color w:val="000000"/>
                <w:kern w:val="2"/>
                <w:sz w:val="21"/>
                <w:szCs w:val="21"/>
                <w:highlight w:val="none"/>
                <w:lang w:val="en-US" w:eastAsia="zh-CN" w:bidi="ar-SA"/>
              </w:rPr>
              <w:t>本理财计划免除赎回费。</w:t>
            </w:r>
          </w:p>
          <w:p>
            <w:pPr>
              <w:widowControl/>
              <w:spacing w:line="360" w:lineRule="auto"/>
              <w:contextualSpacing/>
              <w:jc w:val="both"/>
              <w:rPr>
                <w:rFonts w:hint="eastAsia" w:ascii="宋体" w:hAnsi="宋体" w:eastAsia="宋体" w:cs="宋体"/>
                <w:bCs/>
                <w:color w:val="FF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7.浮动管理费。管理人根据理财计划投资情况计算浮动管理费，本理财计划份额到期日（提前终止日）的折合年化收益率在〖业绩比较基准下限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至上限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〖50%〗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,在超过〖</w:t>
            </w:r>
            <w:r>
              <w:rPr>
                <w:rFonts w:hint="eastAsia" w:ascii="宋体" w:hAnsi="宋体" w:eastAsia="宋体" w:cs="宋体"/>
                <w:b w:val="0"/>
                <w:bCs/>
                <w:kern w:val="2"/>
                <w:sz w:val="21"/>
                <w:szCs w:val="21"/>
                <w:highlight w:val="none"/>
                <w:lang w:val="en-US" w:eastAsia="zh-CN" w:bidi="ar-SA"/>
              </w:rPr>
              <w:t>业绩比较基准上限</w:t>
            </w:r>
            <w:r>
              <w:rPr>
                <w:rFonts w:hint="eastAsia" w:ascii="宋体" w:hAnsi="宋体" w:eastAsia="宋体" w:cs="宋体"/>
                <w:b w:val="0"/>
                <w:bCs/>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〖80%〗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提前终止</w:t>
            </w:r>
          </w:p>
        </w:tc>
        <w:tc>
          <w:tcPr>
            <w:tcW w:w="7185" w:type="dxa"/>
            <w:noWrap w:val="0"/>
            <w:vAlign w:val="center"/>
          </w:tcPr>
          <w:p>
            <w:pPr>
              <w:widowControl/>
              <w:spacing w:line="360" w:lineRule="auto"/>
              <w:contextualSpacing/>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如遇国家金融政策出现重大调整并影响到本理财计划的正常运行的、市场收益率大幅波动可能或实质影响理财计划收益等情况，管理人有权提前全部或部分终止本理财计划。具体参见说明书“交易规则”部分。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税费规定</w:t>
            </w:r>
          </w:p>
        </w:tc>
        <w:tc>
          <w:tcPr>
            <w:tcW w:w="7185" w:type="dxa"/>
            <w:noWrap w:val="0"/>
            <w:vAlign w:val="center"/>
          </w:tcPr>
          <w:p>
            <w:pPr>
              <w:widowControl w:val="0"/>
              <w:spacing w:line="360" w:lineRule="auto"/>
              <w:jc w:val="both"/>
              <w:outlineLvl w:val="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融资服务</w:t>
            </w:r>
          </w:p>
        </w:tc>
        <w:tc>
          <w:tcPr>
            <w:tcW w:w="7185" w:type="dxa"/>
            <w:noWrap w:val="0"/>
            <w:vAlign w:val="bottom"/>
          </w:tcPr>
          <w:p>
            <w:pPr>
              <w:widowControl w:val="0"/>
              <w:spacing w:line="360" w:lineRule="auto"/>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投资者在理财期限内不能提前赎回，如需质押按销售机构相关规定执行。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认购期内按照活期存款利率计息，认购期内的利息不计入认购本金份额。到期日（或理财计划实际终止日）到理财资金返还到账日为清算期，清算期内不计付利息。</w:t>
            </w:r>
            <w:r>
              <w:rPr>
                <w:rFonts w:hint="eastAsia" w:ascii="宋体" w:hAnsi="宋体" w:eastAsia="宋体" w:cs="宋体"/>
                <w:color w:val="000000"/>
                <w:kern w:val="0"/>
                <w:sz w:val="21"/>
                <w:szCs w:val="21"/>
                <w:highlight w:val="none"/>
                <w:lang w:val="en-US" w:eastAsia="zh-CN" w:bidi="ar-SA"/>
              </w:rPr>
              <w:t>（具体以销售机构规定为准）</w:t>
            </w:r>
          </w:p>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本理财计划自成立日起〖</w:t>
      </w:r>
      <w:r>
        <w:rPr>
          <w:rFonts w:hint="eastAsia" w:ascii="宋体" w:hAnsi="宋体" w:cs="宋体"/>
          <w:bCs/>
          <w:sz w:val="24"/>
          <w:highlight w:val="none"/>
          <w:lang w:val="en-US" w:eastAsia="zh-CN"/>
        </w:rPr>
        <w:t>1个月</w:t>
      </w:r>
      <w:r>
        <w:rPr>
          <w:rFonts w:hint="eastAsia" w:ascii="宋体" w:hAnsi="宋体" w:cs="宋体"/>
          <w:bCs/>
          <w:sz w:val="24"/>
          <w:highlight w:val="none"/>
        </w:rPr>
        <w:t>〗为建仓期，管理人应当在建仓期结束前使各项投资比例符合约定。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固定收益类资产：包括但不限于各类债券、存款、货币市场金融工具、债券基金、质押式及买断式回购、非标准化债权类资产，其他符合监管要求的固定收益类资产及资产管理产品。</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权益类资产：</w:t>
      </w:r>
      <w:r>
        <w:rPr>
          <w:rFonts w:hint="eastAsia" w:ascii="宋体" w:hAnsi="宋体" w:cs="宋体"/>
          <w:bCs/>
          <w:color w:val="auto"/>
          <w:kern w:val="2"/>
          <w:sz w:val="24"/>
          <w:highlight w:val="none"/>
          <w:lang w:val="en-US" w:eastAsia="zh-CN"/>
        </w:rPr>
        <w:t>包括国内发行上市优先股、上市公司股票、定向增发、员工持股计划、以及其他符合监管要求的权益类资产及资产管理产品（不包括未上市企业股权）</w:t>
      </w:r>
      <w:r>
        <w:rPr>
          <w:rFonts w:hint="eastAsia" w:ascii="宋体" w:hAnsi="宋体" w:cs="宋体"/>
          <w:bCs/>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29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90"/>
        <w:gridCol w:w="4716"/>
        <w:gridCol w:w="179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p>
        </w:tc>
        <w:tc>
          <w:tcPr>
            <w:tcW w:w="4716"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投资资产</w:t>
            </w:r>
          </w:p>
        </w:tc>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配置比例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restart"/>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固定收益类资产</w:t>
            </w:r>
          </w:p>
        </w:tc>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90%-100%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continue"/>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权益类资产</w:t>
            </w:r>
          </w:p>
        </w:tc>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0%-10%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特殊资产类型</w:t>
            </w:r>
          </w:p>
        </w:tc>
        <w:tc>
          <w:tcPr>
            <w:tcW w:w="4716"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非标准化债权类资产</w:t>
            </w:r>
          </w:p>
        </w:tc>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0%-50%</w:t>
            </w:r>
          </w:p>
        </w:tc>
      </w:tr>
    </w:tbl>
    <w:p>
      <w:pPr>
        <w:pStyle w:val="17"/>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17"/>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4"/>
        </w:numPr>
        <w:adjustRightInd/>
        <w:spacing w:line="360" w:lineRule="auto"/>
        <w:ind w:firstLine="456" w:firstLineChars="190"/>
        <w:rPr>
          <w:rFonts w:hint="eastAsia" w:ascii="宋体" w:hAnsi="宋体" w:cs="宋体"/>
          <w:b/>
          <w:bCs w:val="0"/>
          <w:color w:val="auto"/>
          <w:kern w:val="2"/>
          <w:highlight w:val="none"/>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4"/>
        </w:numPr>
        <w:adjustRightInd/>
        <w:spacing w:line="360" w:lineRule="auto"/>
        <w:ind w:firstLine="458" w:firstLineChars="19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5"/>
        </w:numPr>
        <w:adjustRightInd/>
        <w:spacing w:line="360" w:lineRule="auto"/>
        <w:rPr>
          <w:rFonts w:hint="eastAsia" w:ascii="宋体" w:hAnsi="宋体" w:cs="宋体"/>
          <w:bCs/>
          <w:color w:val="auto"/>
          <w:kern w:val="2"/>
          <w:highlight w:val="none"/>
        </w:rPr>
      </w:pPr>
      <w:r>
        <w:rPr>
          <w:rFonts w:hint="eastAsia" w:ascii="宋体" w:hAnsi="宋体" w:cs="宋体"/>
          <w:bCs/>
          <w:color w:val="auto"/>
          <w:kern w:val="2"/>
          <w:highlight w:val="none"/>
        </w:rPr>
        <w:t>资产配置策略</w:t>
      </w:r>
    </w:p>
    <w:p>
      <w:pPr>
        <w:pStyle w:val="17"/>
        <w:adjustRightInd/>
        <w:spacing w:line="360" w:lineRule="auto"/>
        <w:rPr>
          <w:rFonts w:ascii="宋体" w:cs="宋体"/>
          <w:sz w:val="21"/>
          <w:szCs w:val="21"/>
          <w:highlight w:val="none"/>
        </w:rPr>
      </w:pPr>
      <w:r>
        <w:rPr>
          <w:rFonts w:hint="eastAsia" w:ascii="宋体" w:hAnsi="宋体" w:cs="宋体"/>
          <w:bCs/>
          <w:color w:val="auto"/>
          <w:kern w:val="2"/>
          <w:highlight w:val="none"/>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债券投资策略</w:t>
      </w:r>
    </w:p>
    <w:p>
      <w:pPr>
        <w:pStyle w:val="17"/>
        <w:adjustRightInd/>
        <w:spacing w:line="360" w:lineRule="auto"/>
        <w:ind w:firstLine="480" w:firstLineChars="200"/>
        <w:rPr>
          <w:rFonts w:hint="eastAsia" w:ascii="宋体" w:hAnsi="宋体" w:cs="宋体"/>
          <w:bCs/>
          <w:highlight w:val="none"/>
        </w:rPr>
      </w:pPr>
      <w:r>
        <w:rPr>
          <w:rFonts w:hint="eastAsia" w:ascii="宋体" w:hAnsi="宋体" w:cs="宋体"/>
          <w:bCs/>
          <w:color w:val="auto"/>
          <w:kern w:val="2"/>
          <w:highlight w:val="none"/>
        </w:rPr>
        <w:t>管理人本着稳健投资的理念，在研究债券市场宏观环境和利率走势的基础上，严格评估信用风险，通过久期策略、骑乘策略、杠杆策略和交易策略等，配置固定收益资产及资产管理产品，力争获取稳定收益。</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非标准化债权类资产投资策略</w:t>
      </w:r>
    </w:p>
    <w:p>
      <w:pPr>
        <w:spacing w:line="360" w:lineRule="auto"/>
        <w:ind w:firstLine="480" w:firstLineChars="200"/>
        <w:jc w:val="left"/>
        <w:rPr>
          <w:rFonts w:hint="eastAsia" w:ascii="宋体" w:hAnsi="宋体" w:cs="宋体"/>
          <w:bCs/>
          <w:color w:val="auto"/>
          <w:kern w:val="2"/>
          <w:highlight w:val="none"/>
        </w:rPr>
      </w:pPr>
      <w:r>
        <w:rPr>
          <w:rFonts w:hint="eastAsia" w:ascii="宋体" w:hAnsi="宋体" w:cs="宋体"/>
          <w:bCs/>
          <w:sz w:val="24"/>
          <w:highlight w:val="none"/>
        </w:rPr>
        <w:t>管理人发挥自身能力优势，在合规前提下开展风险可控、期限匹配的非标准化债权类资产投资，力争获取稳定收益</w:t>
      </w:r>
      <w:r>
        <w:rPr>
          <w:rFonts w:hint="eastAsia" w:ascii="宋体" w:hAnsi="宋体" w:cs="宋体"/>
          <w:bCs/>
          <w:color w:val="auto"/>
          <w:kern w:val="2"/>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2"/>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本理财计划直接投资于流动性受限资产的市值在开放日不得超过该理财计划资产净值的15%。</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b</w:t>
      </w:r>
      <w:r>
        <w:rPr>
          <w:rFonts w:hint="eastAsia" w:ascii="宋体" w:hAnsi="宋体" w:cs="宋体"/>
          <w:bCs/>
          <w:color w:val="000000"/>
          <w:sz w:val="24"/>
          <w:highlight w:val="none"/>
        </w:rPr>
        <w:t>】</w:t>
      </w:r>
    </w:p>
    <w:p>
      <w:pPr>
        <w:numPr>
          <w:ilvl w:val="0"/>
          <w:numId w:val="21"/>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21"/>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1"/>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20"/>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托管人名称</w:t>
            </w:r>
          </w:p>
        </w:tc>
        <w:tc>
          <w:tcPr>
            <w:tcW w:w="5790" w:type="dxa"/>
            <w:noWrap w:val="0"/>
            <w:vAlign w:val="top"/>
          </w:tcPr>
          <w:p>
            <w:pPr>
              <w:widowControl w:val="0"/>
              <w:spacing w:line="360" w:lineRule="auto"/>
              <w:jc w:val="left"/>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托管人住所</w:t>
            </w:r>
          </w:p>
        </w:tc>
        <w:tc>
          <w:tcPr>
            <w:tcW w:w="5790" w:type="dxa"/>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托管人职责</w:t>
            </w:r>
          </w:p>
        </w:tc>
        <w:tc>
          <w:tcPr>
            <w:tcW w:w="5790" w:type="dxa"/>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主要提供包括账户开立、资金保管、资金结算、估值核对等理财产品托管服务。</w:t>
            </w:r>
          </w:p>
        </w:tc>
      </w:tr>
    </w:tbl>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9" w:type="dxa"/>
        <w:tblInd w:w="3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2714"/>
        <w:gridCol w:w="1252"/>
        <w:gridCol w:w="2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723" w:type="dxa"/>
            <w:vMerge w:val="restart"/>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销售机构信息</w:t>
            </w:r>
          </w:p>
        </w:tc>
        <w:tc>
          <w:tcPr>
            <w:tcW w:w="2714" w:type="dxa"/>
            <w:vMerge w:val="restart"/>
            <w:noWrap w:val="0"/>
            <w:vAlign w:val="center"/>
          </w:tcPr>
          <w:p>
            <w:pPr>
              <w:widowControl w:val="0"/>
              <w:spacing w:line="24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杭州银行股份有限公司</w:t>
            </w:r>
          </w:p>
        </w:tc>
        <w:tc>
          <w:tcPr>
            <w:tcW w:w="1252"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住所</w:t>
            </w:r>
          </w:p>
        </w:tc>
        <w:tc>
          <w:tcPr>
            <w:tcW w:w="2870"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23" w:type="dxa"/>
            <w:vMerge w:val="continue"/>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p>
        </w:tc>
        <w:tc>
          <w:tcPr>
            <w:tcW w:w="2714" w:type="dxa"/>
            <w:vMerge w:val="continue"/>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p>
        </w:tc>
        <w:tc>
          <w:tcPr>
            <w:tcW w:w="1252"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客服热线</w:t>
            </w:r>
          </w:p>
        </w:tc>
        <w:tc>
          <w:tcPr>
            <w:tcW w:w="2870"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3" w:type="dxa"/>
            <w:vMerge w:val="continue"/>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p>
        </w:tc>
        <w:tc>
          <w:tcPr>
            <w:tcW w:w="2714" w:type="dxa"/>
            <w:vMerge w:val="restart"/>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杭银理财有限责任公司</w:t>
            </w:r>
          </w:p>
        </w:tc>
        <w:tc>
          <w:tcPr>
            <w:tcW w:w="1252"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住所</w:t>
            </w:r>
          </w:p>
        </w:tc>
        <w:tc>
          <w:tcPr>
            <w:tcW w:w="2870"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723" w:type="dxa"/>
            <w:vMerge w:val="continue"/>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p>
        </w:tc>
        <w:tc>
          <w:tcPr>
            <w:tcW w:w="2714" w:type="dxa"/>
            <w:vMerge w:val="continue"/>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p>
        </w:tc>
        <w:tc>
          <w:tcPr>
            <w:tcW w:w="1252"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客服热线</w:t>
            </w:r>
          </w:p>
        </w:tc>
        <w:tc>
          <w:tcPr>
            <w:tcW w:w="2870"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723" w:type="dxa"/>
            <w:vMerge w:val="continue"/>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p>
        </w:tc>
        <w:tc>
          <w:tcPr>
            <w:tcW w:w="2714" w:type="dxa"/>
            <w:vMerge w:val="restart"/>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ascii="宋体" w:hAnsi="宋体" w:eastAsia="宋体" w:cs="宋体"/>
                <w:kern w:val="2"/>
                <w:sz w:val="24"/>
                <w:szCs w:val="24"/>
                <w:lang w:val="en-US" w:eastAsia="zh-CN" w:bidi="ar-SA"/>
              </w:rPr>
              <w:t>汉口银行股份有限公司</w:t>
            </w:r>
          </w:p>
        </w:tc>
        <w:tc>
          <w:tcPr>
            <w:tcW w:w="1252"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住所</w:t>
            </w:r>
          </w:p>
        </w:tc>
        <w:tc>
          <w:tcPr>
            <w:tcW w:w="2870"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ascii="宋体" w:hAnsi="宋体" w:eastAsia="宋体" w:cs="宋体"/>
                <w:kern w:val="2"/>
                <w:sz w:val="24"/>
                <w:szCs w:val="24"/>
                <w:lang w:val="en-US" w:eastAsia="zh-CN" w:bidi="ar-SA"/>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723" w:type="dxa"/>
            <w:vMerge w:val="continue"/>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p>
        </w:tc>
        <w:tc>
          <w:tcPr>
            <w:tcW w:w="2714" w:type="dxa"/>
            <w:vMerge w:val="continue"/>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p>
        </w:tc>
        <w:tc>
          <w:tcPr>
            <w:tcW w:w="1252"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客服热线</w:t>
            </w:r>
          </w:p>
        </w:tc>
        <w:tc>
          <w:tcPr>
            <w:tcW w:w="2870"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ascii="宋体" w:hAnsi="宋体" w:eastAsia="宋体" w:cs="宋体"/>
                <w:kern w:val="2"/>
                <w:sz w:val="24"/>
                <w:szCs w:val="24"/>
                <w:lang w:val="en-US" w:eastAsia="zh-CN" w:bidi="ar-SA"/>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3"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销售机构职责</w:t>
            </w:r>
          </w:p>
        </w:tc>
        <w:tc>
          <w:tcPr>
            <w:tcW w:w="6836" w:type="dxa"/>
            <w:gridSpan w:val="3"/>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主要负责理财计划推广、投资者风险承受能力评估、投资者适当性管理、理财计划份额认购、申购及赎回办理。</w:t>
            </w:r>
          </w:p>
          <w:p>
            <w:pPr>
              <w:widowControl w:val="0"/>
              <w:spacing w:line="360" w:lineRule="auto"/>
              <w:jc w:val="left"/>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协助管理人负责与投资者签订理财计划合同、与投资者沟通及进行信息披露、接受投资者咨询和维护等销售服务。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理财计划财产A份额的年化销售服务费率为〖0.30%〗, B份额的年化销售服务费率为〖0.20%〗, H份额的年化销售服务费率为〖0.15%〗, L份额的年化销售服务费率为〖0.10%〗, 以〖A份额〗为例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bCs/>
          <w:color w:val="000000"/>
          <w:sz w:val="24"/>
          <w:highlight w:val="none"/>
          <w:lang w:val="en-US" w:eastAsia="zh-CN"/>
        </w:rPr>
        <w:t>0.30%</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szCs w:val="21"/>
          <w:highlight w:val="none"/>
          <w:lang w:val="en-US" w:eastAsia="zh-CN"/>
        </w:rPr>
      </w:pPr>
      <w:r>
        <w:rPr>
          <w:rFonts w:hint="eastAsia" w:ascii="宋体" w:hAnsi="宋体" w:cs="宋体"/>
          <w:bCs/>
          <w:color w:val="000000"/>
          <w:sz w:val="24"/>
          <w:highlight w:val="none"/>
        </w:rPr>
        <w:t>理财计划财产的年</w:t>
      </w:r>
      <w:r>
        <w:rPr>
          <w:rFonts w:hint="eastAsia" w:ascii="宋体" w:hAnsi="宋体" w:cs="宋体"/>
          <w:szCs w:val="21"/>
          <w:highlight w:val="none"/>
          <w:lang w:val="en-US" w:eastAsia="zh-CN"/>
        </w:rPr>
        <w:t>化托管费为〖</w:t>
      </w:r>
      <w:r>
        <w:rPr>
          <w:rFonts w:hint="eastAsia" w:ascii="宋体" w:hAnsi="宋体" w:cs="宋体"/>
          <w:bCs/>
          <w:color w:val="000000"/>
          <w:sz w:val="24"/>
          <w:highlight w:val="none"/>
          <w:lang w:val="en-US" w:eastAsia="zh-CN"/>
        </w:rPr>
        <w:t>0.025</w:t>
      </w:r>
      <w:r>
        <w:rPr>
          <w:rFonts w:hint="eastAsia" w:ascii="宋体" w:hAnsi="宋体" w:cs="宋体"/>
          <w:szCs w:val="21"/>
          <w:highlight w:val="none"/>
          <w:lang w:val="en-US" w:eastAsia="zh-CN"/>
        </w:rPr>
        <w:t>%〗，计算方法如下：</w:t>
      </w:r>
    </w:p>
    <w:p>
      <w:pPr>
        <w:spacing w:line="360" w:lineRule="auto"/>
        <w:ind w:firstLine="480" w:firstLineChars="200"/>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H＝E×〖</w:t>
      </w:r>
      <w:r>
        <w:rPr>
          <w:rFonts w:hint="eastAsia" w:ascii="宋体" w:hAnsi="宋体" w:cs="宋体"/>
          <w:bCs/>
          <w:color w:val="000000"/>
          <w:sz w:val="24"/>
          <w:highlight w:val="none"/>
          <w:lang w:val="en-US" w:eastAsia="zh-CN"/>
        </w:rPr>
        <w:t>0.025</w:t>
      </w:r>
      <w:r>
        <w:rPr>
          <w:rFonts w:hint="eastAsia" w:ascii="宋体" w:hAnsi="宋体" w:cs="宋体"/>
          <w:szCs w:val="21"/>
          <w:highlight w:val="none"/>
          <w:lang w:val="en-US" w:eastAsia="zh-CN"/>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理财计划财产A份额的年化固定管理费率为〖0.20%〗, B份额的年化固定管理费率为〖0.20%〗, H份额的年化固定管理费率为〖0.20%〗, L份额的年化固定管理费率为〖0.20%〗, 以〖A份额〗为例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bCs/>
          <w:color w:val="000000"/>
          <w:sz w:val="24"/>
          <w:highlight w:val="none"/>
        </w:rPr>
        <w:t>0.20%</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，如理财计划实际运作结果不达业绩比较基准下限时，管理人有权减免固定管理费。</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3"/>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33"/>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r>
        <w:rPr>
          <w:rFonts w:hint="eastAsia" w:ascii="宋体" w:hAnsi="宋体" w:cs="宋体"/>
          <w:b/>
          <w:sz w:val="24"/>
          <w:highlight w:val="none"/>
          <w:lang w:val="en-US" w:eastAsia="zh-CN"/>
        </w:rPr>
        <w:t xml:space="preserve"> </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理财管理人根据理财计划投资情况计算浮动管理费，浮动管理费原则上按估值日计提，每个投资周期结束后收取。</w:t>
      </w: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（1）若本理财计划</w:t>
      </w:r>
      <w:r>
        <w:rPr>
          <w:rFonts w:hint="eastAsia" w:ascii="宋体" w:hAnsi="宋体" w:cs="宋体"/>
          <w:bCs/>
          <w:color w:val="000000"/>
          <w:sz w:val="24"/>
          <w:highlight w:val="none"/>
          <w:lang w:val="en-US" w:eastAsia="zh-CN"/>
        </w:rPr>
        <w:t>份额</w:t>
      </w:r>
      <w:r>
        <w:rPr>
          <w:rFonts w:hint="eastAsia" w:ascii="宋体" w:hAnsi="宋体" w:cs="宋体"/>
          <w:bCs/>
          <w:highlight w:val="none"/>
        </w:rPr>
        <w:t>投资周期</w:t>
      </w:r>
      <w:r>
        <w:rPr>
          <w:rFonts w:hint="eastAsia" w:ascii="宋体" w:hAnsi="宋体" w:cs="宋体"/>
          <w:bCs/>
          <w:color w:val="000000"/>
          <w:sz w:val="24"/>
          <w:highlight w:val="none"/>
        </w:rPr>
        <w:t>的折合年化收益率超过业绩比较基准下限但未达到业绩比较基准上限，则超过业绩比较基准下限的部分管理人收取〖</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H=E×NAV0×（K-S)×〖</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（2）若本理财计划</w:t>
      </w:r>
      <w:r>
        <w:rPr>
          <w:rFonts w:hint="eastAsia" w:ascii="宋体" w:hAnsi="宋体" w:cs="宋体"/>
          <w:bCs/>
          <w:color w:val="000000"/>
          <w:sz w:val="24"/>
          <w:highlight w:val="none"/>
          <w:lang w:val="en-US" w:eastAsia="zh-CN"/>
        </w:rPr>
        <w:t>份额</w:t>
      </w:r>
      <w:r>
        <w:rPr>
          <w:rFonts w:hint="eastAsia" w:ascii="宋体" w:hAnsi="宋体" w:cs="宋体"/>
          <w:bCs/>
          <w:highlight w:val="none"/>
        </w:rPr>
        <w:t>投资周期</w:t>
      </w:r>
      <w:r>
        <w:rPr>
          <w:rFonts w:hint="eastAsia" w:ascii="宋体" w:hAnsi="宋体" w:cs="宋体"/>
          <w:bCs/>
          <w:color w:val="000000"/>
          <w:sz w:val="24"/>
          <w:highlight w:val="none"/>
        </w:rPr>
        <w:t>的折合年化收益率超过业绩比较基准上限，则〖业绩比较基准下限(含)至上限(含)〗的部分管理人收取〖</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%〗作为浮动管理费，超过〖业绩比较基准上限〗的部分管理人收取〖</w:t>
      </w:r>
      <w:r>
        <w:rPr>
          <w:rFonts w:hint="eastAsia" w:ascii="宋体" w:hAnsi="宋体" w:eastAsia="宋体" w:cs="宋体"/>
          <w:b w:val="0"/>
          <w:bCs/>
          <w:color w:val="000000"/>
          <w:kern w:val="2"/>
          <w:sz w:val="24"/>
          <w:szCs w:val="24"/>
          <w:highlight w:val="none"/>
          <w:lang w:val="en-US" w:eastAsia="zh-CN" w:bidi="ar-SA"/>
        </w:rPr>
        <w:t>80</w:t>
      </w:r>
      <w:r>
        <w:rPr>
          <w:rFonts w:hint="eastAsia" w:ascii="宋体" w:hAnsi="宋体" w:cs="宋体"/>
          <w:bCs/>
          <w:color w:val="000000"/>
          <w:sz w:val="24"/>
          <w:highlight w:val="none"/>
        </w:rPr>
        <w:t>%〗作为浮动管理费，即：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eastAsia="宋体" w:cs="宋体"/>
          <w:b w:val="0"/>
          <w:bCs/>
          <w:color w:val="000000"/>
          <w:kern w:val="2"/>
          <w:sz w:val="24"/>
          <w:szCs w:val="24"/>
          <w:highlight w:val="none"/>
          <w:lang w:val="en-US" w:eastAsia="zh-CN" w:bidi="ar-SA"/>
        </w:rPr>
        <w:t>80</w:t>
      </w:r>
      <w:r>
        <w:rPr>
          <w:rFonts w:hint="eastAsia" w:ascii="宋体" w:hAnsi="宋体" w:cs="宋体"/>
          <w:bCs/>
          <w:color w:val="000000"/>
          <w:sz w:val="24"/>
          <w:highlight w:val="none"/>
        </w:rPr>
        <w:t>%〗+(R-S)×〖</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H为产品〖</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w:t>
      </w:r>
      <w:r>
        <w:rPr>
          <w:rFonts w:hint="eastAsia" w:ascii="宋体" w:hAnsi="宋体" w:cs="宋体"/>
          <w:bCs/>
          <w:highlight w:val="none"/>
        </w:rPr>
        <w:t>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E为投资者持有份额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K为〖</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〗收取浮动管理费前投资者持有份额对应持有区间折合年化收益率</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〗当前投资周期内每单位份额的实际分红金额的合计（如有）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R为产品〖</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S为产品〖</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〗业绩比较基准下限</w:t>
      </w:r>
    </w:p>
    <w:p>
      <w:pPr>
        <w:numPr>
          <w:ilvl w:val="0"/>
          <w:numId w:val="3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8"/>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8"/>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9"/>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业绩比较基准为4.0%-5.0%，投资收益率在业绩比较基准下限（含）至上限（含）的部分,管理人提取50%作为浮动管理费,在超过业绩比较基准上限的部分,管理人提取80%作为浮动管理费。</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理财产品赎回</w:t>
      </w:r>
      <w:r>
        <w:rPr>
          <w:rFonts w:hint="eastAsia" w:ascii="宋体" w:hAnsi="宋体" w:cs="宋体"/>
          <w:bCs/>
          <w:color w:val="000000"/>
          <w:sz w:val="24"/>
          <w:highlight w:val="none"/>
        </w:rPr>
        <w:t>时扣除托管费、固定管理费、销售服务费（如有）后，如理财计划未扣除浮动管理费前的</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净值为1.0615，此时，(1.0615/1.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00-1)×365/362=6.20%&gt;5.00%，即</w:t>
      </w:r>
      <w:r>
        <w:rPr>
          <w:rFonts w:hint="eastAsia" w:ascii="宋体" w:hAnsi="宋体" w:cs="宋体"/>
          <w:bCs/>
          <w:color w:val="000000"/>
          <w:sz w:val="24"/>
          <w:highlight w:val="none"/>
          <w:lang w:val="en-US" w:eastAsia="zh-CN"/>
        </w:rPr>
        <w:t>在</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4.00%-5.00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部分的</w:t>
      </w:r>
      <w:r>
        <w:rPr>
          <w:rFonts w:hint="eastAsia" w:ascii="宋体" w:hAnsi="宋体" w:cs="宋体"/>
          <w:bCs/>
          <w:color w:val="000000"/>
          <w:sz w:val="24"/>
          <w:highlight w:val="none"/>
        </w:rPr>
        <w:t>投资收益</w:t>
      </w:r>
      <w:r>
        <w:rPr>
          <w:rFonts w:hint="eastAsia" w:ascii="宋体" w:hAnsi="宋体" w:cs="宋体"/>
          <w:bCs/>
          <w:color w:val="000000"/>
          <w:sz w:val="24"/>
          <w:highlight w:val="none"/>
          <w:lang w:val="en-US" w:eastAsia="zh-CN"/>
        </w:rPr>
        <w:t>管理人收取50%作为浮动管理费，</w:t>
      </w:r>
      <w:r>
        <w:rPr>
          <w:rFonts w:hint="eastAsia" w:ascii="宋体" w:hAnsi="宋体" w:cs="宋体"/>
          <w:bCs/>
          <w:color w:val="000000"/>
          <w:sz w:val="24"/>
          <w:highlight w:val="none"/>
        </w:rPr>
        <w:t>超过〖5.00%〗</w:t>
      </w:r>
      <w:r>
        <w:rPr>
          <w:rFonts w:hint="eastAsia" w:ascii="宋体" w:hAnsi="宋体" w:cs="宋体"/>
          <w:bCs/>
          <w:color w:val="000000"/>
          <w:sz w:val="24"/>
          <w:highlight w:val="none"/>
          <w:lang w:val="en-US" w:eastAsia="zh-CN"/>
        </w:rPr>
        <w:t>部分的</w:t>
      </w:r>
      <w:r>
        <w:rPr>
          <w:rFonts w:hint="eastAsia" w:ascii="宋体" w:hAnsi="宋体" w:cs="宋体"/>
          <w:bCs/>
          <w:color w:val="000000"/>
          <w:sz w:val="24"/>
          <w:highlight w:val="none"/>
        </w:rPr>
        <w:t>投资</w:t>
      </w:r>
      <w:r>
        <w:rPr>
          <w:rFonts w:hint="eastAsia" w:ascii="宋体" w:hAnsi="宋体" w:cs="宋体"/>
          <w:bCs/>
          <w:color w:val="000000"/>
          <w:sz w:val="24"/>
          <w:highlight w:val="none"/>
          <w:lang w:val="en-US" w:eastAsia="zh-CN"/>
        </w:rPr>
        <w:t>收益管理人收取80%作为</w:t>
      </w:r>
      <w:r>
        <w:rPr>
          <w:rFonts w:hint="eastAsia" w:ascii="宋体" w:hAnsi="宋体" w:cs="宋体"/>
          <w:bCs/>
          <w:color w:val="000000"/>
          <w:sz w:val="24"/>
          <w:highlight w:val="none"/>
        </w:rPr>
        <w:t>浮动管理费，浮动管理费为：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1.0615</w:t>
      </w:r>
      <w:r>
        <w:rPr>
          <w:rFonts w:hint="eastAsia" w:ascii="宋体" w:hAnsi="宋体" w:cs="宋体"/>
          <w:bCs/>
          <w:color w:val="000000"/>
          <w:sz w:val="24"/>
          <w:highlight w:val="none"/>
          <w:lang w:val="en-US" w:eastAsia="zh-CN"/>
        </w:rPr>
        <w:t>/1.0000-1</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365/362-5.00%]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80</w:t>
      </w:r>
      <w:r>
        <w:rPr>
          <w:rFonts w:hint="eastAsia" w:ascii="宋体" w:hAnsi="宋体" w:cs="宋体"/>
          <w:bCs/>
          <w:color w:val="000000"/>
          <w:sz w:val="24"/>
          <w:highlight w:val="none"/>
        </w:rPr>
        <w:t>%+(5</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%-4</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×362/365=</w:t>
      </w:r>
      <w:r>
        <w:rPr>
          <w:rFonts w:hint="eastAsia" w:ascii="宋体" w:hAnsi="宋体" w:cs="宋体"/>
          <w:bCs/>
          <w:color w:val="000000"/>
          <w:sz w:val="24"/>
          <w:highlight w:val="none"/>
          <w:lang w:val="en-US" w:eastAsia="zh-CN"/>
        </w:rPr>
        <w:t>1,448.77</w:t>
      </w:r>
      <w:r>
        <w:rPr>
          <w:rFonts w:hint="eastAsia" w:ascii="宋体" w:hAnsi="宋体" w:cs="宋体"/>
          <w:bCs/>
          <w:color w:val="000000"/>
          <w:sz w:val="24"/>
          <w:highlight w:val="none"/>
        </w:rPr>
        <w:t>（元）</w:t>
      </w:r>
    </w:p>
    <w:p>
      <w:pPr>
        <w:spacing w:line="360" w:lineRule="auto"/>
        <w:ind w:firstLine="480" w:firstLineChars="200"/>
        <w:jc w:val="left"/>
        <w:rPr>
          <w:rFonts w:hint="default" w:ascii="宋体" w:hAnsi="宋体" w:cs="宋体"/>
          <w:bCs/>
          <w:highlight w:val="none"/>
          <w:lang w:val="en-US" w:eastAsia="zh-CN"/>
        </w:rPr>
      </w:pPr>
      <w:r>
        <w:rPr>
          <w:rFonts w:hint="eastAsia" w:ascii="宋体" w:hAnsi="宋体" w:cs="宋体"/>
          <w:bCs/>
          <w:highlight w:val="none"/>
        </w:rPr>
        <w:t>扣除浮动管理费后，</w:t>
      </w:r>
      <w:r>
        <w:rPr>
          <w:rFonts w:hint="eastAsia" w:ascii="宋体" w:hAnsi="宋体" w:cs="宋体"/>
          <w:bCs/>
          <w:highlight w:val="none"/>
          <w:lang w:val="en-US" w:eastAsia="zh-CN"/>
        </w:rPr>
        <w:t>理财计划的单位净值大于1，故理财计划进行现金分红，分红金额为</w:t>
      </w:r>
      <w:r>
        <w:rPr>
          <w:rFonts w:hint="eastAsia" w:ascii="宋体" w:hAnsi="宋体" w:cs="宋体"/>
          <w:bCs/>
          <w:color w:val="000000"/>
          <w:sz w:val="24"/>
          <w:highlight w:val="none"/>
          <w:lang w:val="en-US" w:eastAsia="zh-CN"/>
        </w:rPr>
        <w:t>4,701.23</w:t>
      </w:r>
      <w:r>
        <w:rPr>
          <w:rFonts w:hint="eastAsia" w:ascii="宋体" w:hAnsi="宋体" w:cs="宋体"/>
          <w:bCs/>
          <w:highlight w:val="none"/>
          <w:lang w:val="en-US" w:eastAsia="zh-CN"/>
        </w:rPr>
        <w:t>元，分红后产品的单位净值为1.0000。</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highlight w:val="none"/>
        </w:rPr>
        <w:t>投资者最终收益为：100,000.00×（1.</w:t>
      </w:r>
      <w:r>
        <w:rPr>
          <w:rFonts w:hint="eastAsia" w:ascii="宋体" w:hAnsi="宋体" w:cs="宋体"/>
          <w:bCs/>
          <w:highlight w:val="none"/>
          <w:lang w:val="en-US" w:eastAsia="zh-CN"/>
        </w:rPr>
        <w:t>0000</w:t>
      </w:r>
      <w:r>
        <w:rPr>
          <w:rFonts w:hint="eastAsia" w:ascii="宋体" w:hAnsi="宋体" w:cs="宋体"/>
          <w:bCs/>
          <w:highlight w:val="none"/>
        </w:rPr>
        <w:t>-1.0</w:t>
      </w:r>
      <w:r>
        <w:rPr>
          <w:rFonts w:hint="eastAsia" w:ascii="宋体" w:hAnsi="宋体" w:cs="宋体"/>
          <w:bCs/>
          <w:highlight w:val="none"/>
          <w:lang w:val="en-US" w:eastAsia="zh-CN"/>
        </w:rPr>
        <w:t>00</w:t>
      </w:r>
      <w:r>
        <w:rPr>
          <w:rFonts w:hint="eastAsia" w:ascii="宋体" w:hAnsi="宋体" w:cs="宋体"/>
          <w:bCs/>
          <w:highlight w:val="none"/>
        </w:rPr>
        <w:t>0）</w:t>
      </w:r>
      <w:r>
        <w:rPr>
          <w:rFonts w:hint="eastAsia" w:ascii="宋体" w:hAnsi="宋体" w:cs="宋体"/>
          <w:bCs/>
          <w:highlight w:val="none"/>
          <w:lang w:val="en-US" w:eastAsia="zh-CN"/>
        </w:rPr>
        <w:t>+</w:t>
      </w:r>
      <w:r>
        <w:rPr>
          <w:rFonts w:hint="eastAsia" w:ascii="宋体" w:hAnsi="宋体" w:cs="宋体"/>
          <w:bCs/>
          <w:color w:val="000000"/>
          <w:sz w:val="24"/>
          <w:highlight w:val="none"/>
          <w:lang w:val="en-US" w:eastAsia="zh-CN"/>
        </w:rPr>
        <w:t>4,701.23</w:t>
      </w:r>
      <w:r>
        <w:rPr>
          <w:rFonts w:hint="eastAsia" w:ascii="宋体" w:hAnsi="宋体" w:cs="宋体"/>
          <w:bCs/>
          <w:highlight w:val="none"/>
        </w:rPr>
        <w:t>=</w:t>
      </w:r>
      <w:r>
        <w:rPr>
          <w:rFonts w:hint="eastAsia" w:ascii="宋体" w:hAnsi="宋体" w:cs="宋体"/>
          <w:bCs/>
          <w:color w:val="000000"/>
          <w:sz w:val="24"/>
          <w:highlight w:val="none"/>
          <w:lang w:val="en-US" w:eastAsia="zh-CN"/>
        </w:rPr>
        <w:t>4,701.23</w:t>
      </w:r>
      <w:r>
        <w:rPr>
          <w:rFonts w:hint="eastAsia" w:ascii="宋体" w:hAnsi="宋体" w:cs="宋体"/>
          <w:bCs/>
          <w:highlight w:val="none"/>
        </w:rPr>
        <w:t>（元），理财计划赎回时</w:t>
      </w:r>
      <w:r>
        <w:rPr>
          <w:rFonts w:hint="eastAsia" w:ascii="宋体" w:hAnsi="宋体" w:cs="宋体"/>
          <w:bCs/>
          <w:color w:val="000000"/>
          <w:sz w:val="24"/>
          <w:highlight w:val="none"/>
        </w:rPr>
        <w:t>，投资者获得的实际收益相当于达到年化收益率水平为：</w:t>
      </w:r>
      <w:r>
        <w:rPr>
          <w:rFonts w:hint="eastAsia" w:ascii="宋体" w:hAnsi="宋体" w:cs="宋体"/>
          <w:bCs/>
          <w:color w:val="000000"/>
          <w:sz w:val="24"/>
          <w:highlight w:val="none"/>
          <w:lang w:val="en-US" w:eastAsia="zh-CN"/>
        </w:rPr>
        <w:t>4,701.23</w:t>
      </w:r>
      <w:r>
        <w:rPr>
          <w:rFonts w:hint="eastAsia" w:ascii="宋体" w:hAnsi="宋体" w:cs="宋体"/>
          <w:bCs/>
          <w:color w:val="000000"/>
          <w:sz w:val="24"/>
          <w:highlight w:val="none"/>
        </w:rPr>
        <w:t>/100,000.00×365/362=</w:t>
      </w:r>
      <w:r>
        <w:rPr>
          <w:rFonts w:hint="eastAsia" w:ascii="宋体" w:hAnsi="宋体" w:cs="宋体"/>
          <w:bCs/>
          <w:color w:val="000000"/>
          <w:sz w:val="24"/>
          <w:highlight w:val="none"/>
          <w:lang w:val="en-US" w:eastAsia="zh-CN"/>
        </w:rPr>
        <w:t>4.74</w:t>
      </w:r>
      <w:r>
        <w:rPr>
          <w:rFonts w:hint="eastAsia" w:ascii="宋体" w:hAnsi="宋体" w:cs="宋体"/>
          <w:bCs/>
          <w:color w:val="000000"/>
          <w:sz w:val="24"/>
          <w:highlight w:val="none"/>
        </w:rPr>
        <w:t>%。</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w:t>
      </w:r>
      <w:r>
        <w:rPr>
          <w:rFonts w:hint="eastAsia" w:ascii="宋体" w:hAnsi="宋体" w:cs="宋体"/>
          <w:b/>
          <w:color w:val="000000"/>
          <w:sz w:val="24"/>
          <w:highlight w:val="none"/>
          <w:lang w:val="en-US" w:eastAsia="zh-CN"/>
        </w:rPr>
        <w:t>超过业绩比较基准下限</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但未达到业绩比较基准上限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eastAsia="宋体" w:cs="宋体"/>
          <w:bCs/>
          <w:color w:val="000000"/>
          <w:sz w:val="24"/>
          <w:highlight w:val="none"/>
          <w:lang w:val="en-US" w:eastAsia="zh-CN"/>
        </w:rPr>
      </w:pPr>
      <w:r>
        <w:rPr>
          <w:rFonts w:hint="eastAsia" w:ascii="宋体" w:hAnsi="宋体" w:cs="宋体"/>
          <w:bCs/>
          <w:color w:val="000000"/>
          <w:sz w:val="24"/>
          <w:highlight w:val="none"/>
        </w:rPr>
        <w:t>以某投资者投资10万元为例，假设购买时理财计划</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业绩比较基准为4.0%-5.0%，投资收益率在业绩比较基准下限（含）至上限（含）的部分,管理人提取50%作为浮动管理费,在超过业绩比较基准上限的部分,管理人提取80%作为浮动管理费</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理财产品赎回</w:t>
      </w:r>
      <w:r>
        <w:rPr>
          <w:rFonts w:hint="eastAsia" w:ascii="宋体" w:hAnsi="宋体" w:cs="宋体"/>
          <w:bCs/>
          <w:color w:val="000000"/>
          <w:sz w:val="24"/>
          <w:highlight w:val="none"/>
        </w:rPr>
        <w:t>时扣除托管费、固定管理费、销售服务费（如有）后</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如</w:t>
      </w:r>
      <w:r>
        <w:rPr>
          <w:rFonts w:hint="eastAsia" w:ascii="宋体" w:hAnsi="宋体" w:cs="宋体"/>
          <w:bCs/>
          <w:color w:val="000000"/>
          <w:sz w:val="24"/>
          <w:highlight w:val="none"/>
        </w:rPr>
        <w:t>理财计划未扣除浮动管理费前的</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净值为1.0415，此时，(1.0</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00-1)×365/362=4.18%，即投资收益超过〖4.00%〗</w:t>
      </w:r>
      <w:r>
        <w:rPr>
          <w:rFonts w:hint="eastAsia" w:ascii="宋体" w:hAnsi="宋体" w:cs="宋体"/>
          <w:bCs/>
          <w:color w:val="000000"/>
          <w:sz w:val="24"/>
          <w:highlight w:val="none"/>
          <w:lang w:val="en-US" w:eastAsia="zh-CN"/>
        </w:rPr>
        <w:t>但未达到</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.00%〗，则超过〖4.00%〗部分</w:t>
      </w:r>
      <w:r>
        <w:rPr>
          <w:rFonts w:hint="eastAsia" w:ascii="宋体" w:hAnsi="宋体" w:cs="宋体"/>
          <w:bCs/>
          <w:color w:val="000000"/>
          <w:sz w:val="24"/>
          <w:highlight w:val="none"/>
          <w:lang w:val="en-US" w:eastAsia="zh-CN"/>
        </w:rPr>
        <w:t>的</w:t>
      </w:r>
      <w:r>
        <w:rPr>
          <w:rFonts w:hint="eastAsia" w:ascii="宋体" w:hAnsi="宋体" w:cs="宋体"/>
          <w:bCs/>
          <w:color w:val="000000"/>
          <w:sz w:val="24"/>
          <w:highlight w:val="none"/>
        </w:rPr>
        <w:t>投资收益管理人收取</w:t>
      </w:r>
      <w:r>
        <w:rPr>
          <w:rFonts w:hint="eastAsia" w:ascii="宋体" w:hAnsi="宋体" w:cs="宋体"/>
          <w:bCs/>
          <w:color w:val="000000"/>
          <w:sz w:val="24"/>
          <w:highlight w:val="none"/>
          <w:lang w:val="en-US" w:eastAsia="zh-CN"/>
        </w:rPr>
        <w:t>50%作为</w:t>
      </w:r>
      <w:r>
        <w:rPr>
          <w:rFonts w:hint="eastAsia" w:ascii="宋体" w:hAnsi="宋体" w:cs="宋体"/>
          <w:bCs/>
          <w:color w:val="000000"/>
          <w:sz w:val="24"/>
          <w:highlight w:val="none"/>
        </w:rPr>
        <w:t>浮动管理费，浮动管理费为：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1.0415</w:t>
      </w:r>
      <w:r>
        <w:rPr>
          <w:rFonts w:hint="eastAsia" w:ascii="宋体" w:hAnsi="宋体" w:cs="宋体"/>
          <w:bCs/>
          <w:color w:val="000000"/>
          <w:sz w:val="24"/>
          <w:highlight w:val="none"/>
          <w:lang w:val="en-US" w:eastAsia="zh-CN"/>
        </w:rPr>
        <w:t>/1.0000-1)</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365/362-4.00%]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w:t>
      </w:r>
      <w:r>
        <w:rPr>
          <w:rFonts w:hint="eastAsia" w:ascii="宋体" w:hAnsi="宋体" w:cs="宋体"/>
          <w:bCs/>
          <w:color w:val="000000"/>
          <w:sz w:val="24"/>
          <w:highlight w:val="none"/>
        </w:rPr>
        <w:t>365=</w:t>
      </w:r>
      <w:r>
        <w:rPr>
          <w:rFonts w:hint="eastAsia" w:ascii="宋体" w:hAnsi="宋体" w:cs="宋体"/>
          <w:bCs/>
          <w:color w:val="000000"/>
          <w:sz w:val="24"/>
          <w:highlight w:val="none"/>
          <w:lang w:val="en-US" w:eastAsia="zh-CN"/>
        </w:rPr>
        <w:t>91.44</w:t>
      </w:r>
      <w:r>
        <w:rPr>
          <w:rFonts w:hint="eastAsia" w:ascii="宋体" w:hAnsi="宋体" w:cs="宋体"/>
          <w:bCs/>
          <w:color w:val="000000"/>
          <w:sz w:val="24"/>
          <w:highlight w:val="none"/>
        </w:rPr>
        <w:t>（元）</w:t>
      </w:r>
    </w:p>
    <w:p>
      <w:pPr>
        <w:spacing w:line="360" w:lineRule="auto"/>
        <w:ind w:firstLine="480" w:firstLineChars="200"/>
        <w:jc w:val="left"/>
        <w:rPr>
          <w:rFonts w:hint="default" w:ascii="宋体" w:hAnsi="宋体" w:cs="宋体"/>
          <w:bCs/>
          <w:highlight w:val="none"/>
          <w:lang w:val="en-US" w:eastAsia="zh-CN"/>
        </w:rPr>
      </w:pPr>
      <w:r>
        <w:rPr>
          <w:rFonts w:hint="eastAsia" w:ascii="宋体" w:hAnsi="宋体" w:cs="宋体"/>
          <w:bCs/>
          <w:highlight w:val="none"/>
        </w:rPr>
        <w:t>扣除浮动管理费后，</w:t>
      </w:r>
      <w:r>
        <w:rPr>
          <w:rFonts w:hint="eastAsia" w:ascii="宋体" w:hAnsi="宋体" w:cs="宋体"/>
          <w:bCs/>
          <w:highlight w:val="none"/>
          <w:lang w:val="en-US" w:eastAsia="zh-CN"/>
        </w:rPr>
        <w:t>理财计划的单位净值大于1，故理财计划进行现金分红，分红金额为</w:t>
      </w:r>
      <w:r>
        <w:rPr>
          <w:rFonts w:hint="eastAsia" w:ascii="宋体" w:hAnsi="宋体" w:cs="宋体"/>
          <w:bCs/>
          <w:color w:val="000000"/>
          <w:sz w:val="24"/>
          <w:highlight w:val="none"/>
        </w:rPr>
        <w:t>40</w:t>
      </w:r>
      <w:r>
        <w:rPr>
          <w:rFonts w:hint="eastAsia" w:ascii="宋体" w:hAnsi="宋体" w:cs="宋体"/>
          <w:bCs/>
          <w:color w:val="000000"/>
          <w:sz w:val="24"/>
          <w:highlight w:val="none"/>
          <w:lang w:val="en-US" w:eastAsia="zh-CN"/>
        </w:rPr>
        <w:t>58.56</w:t>
      </w:r>
      <w:r>
        <w:rPr>
          <w:rFonts w:hint="eastAsia" w:ascii="宋体" w:hAnsi="宋体" w:cs="宋体"/>
          <w:bCs/>
          <w:highlight w:val="none"/>
          <w:lang w:val="en-US" w:eastAsia="zh-CN"/>
        </w:rPr>
        <w:t>元，分红后产品的单位净值为1.0000。</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40</w:t>
      </w:r>
      <w:r>
        <w:rPr>
          <w:rFonts w:hint="eastAsia" w:ascii="宋体" w:hAnsi="宋体" w:cs="宋体"/>
          <w:bCs/>
          <w:color w:val="000000"/>
          <w:sz w:val="24"/>
          <w:highlight w:val="none"/>
          <w:lang w:val="en-US" w:eastAsia="zh-CN"/>
        </w:rPr>
        <w:t>58.56</w:t>
      </w:r>
      <w:r>
        <w:rPr>
          <w:rFonts w:hint="eastAsia" w:ascii="宋体" w:hAnsi="宋体" w:cs="宋体"/>
          <w:bCs/>
          <w:color w:val="000000"/>
          <w:sz w:val="24"/>
          <w:highlight w:val="none"/>
        </w:rPr>
        <w:t xml:space="preserve"> =40</w:t>
      </w:r>
      <w:r>
        <w:rPr>
          <w:rFonts w:hint="eastAsia" w:ascii="宋体" w:hAnsi="宋体" w:cs="宋体"/>
          <w:bCs/>
          <w:color w:val="000000"/>
          <w:sz w:val="24"/>
          <w:highlight w:val="none"/>
          <w:lang w:val="en-US" w:eastAsia="zh-CN"/>
        </w:rPr>
        <w:t>58.56</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时，投资者获得的实际收益相当于达到年化收益率水平为：40</w:t>
      </w:r>
      <w:r>
        <w:rPr>
          <w:rFonts w:hint="eastAsia" w:ascii="宋体" w:hAnsi="宋体" w:cs="宋体"/>
          <w:bCs/>
          <w:color w:val="000000"/>
          <w:sz w:val="24"/>
          <w:highlight w:val="none"/>
          <w:lang w:val="en-US" w:eastAsia="zh-CN"/>
        </w:rPr>
        <w:t>58.56</w:t>
      </w:r>
      <w:r>
        <w:rPr>
          <w:rFonts w:hint="eastAsia" w:ascii="宋体" w:hAnsi="宋体" w:cs="宋体"/>
          <w:bCs/>
          <w:color w:val="000000"/>
          <w:sz w:val="24"/>
          <w:highlight w:val="none"/>
        </w:rPr>
        <w:t>/100,000.00×365/362=4.0</w:t>
      </w:r>
      <w:r>
        <w:rPr>
          <w:rFonts w:hint="eastAsia" w:ascii="宋体" w:hAnsi="宋体" w:cs="宋体"/>
          <w:bCs/>
          <w:color w:val="000000"/>
          <w:sz w:val="24"/>
          <w:highlight w:val="none"/>
          <w:lang w:val="en-US" w:eastAsia="zh-CN"/>
        </w:rPr>
        <w:t>9</w:t>
      </w:r>
      <w:r>
        <w:rPr>
          <w:rFonts w:hint="eastAsia" w:ascii="宋体" w:hAnsi="宋体" w:cs="宋体"/>
          <w:bCs/>
          <w:color w:val="000000"/>
          <w:sz w:val="24"/>
          <w:highlight w:val="none"/>
        </w:rPr>
        <w:t>%。</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（如有）后，投资发生未达到〖</w:t>
      </w:r>
      <w:r>
        <w:rPr>
          <w:rFonts w:hint="eastAsia" w:ascii="宋体" w:hAnsi="宋体" w:cs="宋体"/>
          <w:b/>
          <w:color w:val="000000"/>
          <w:sz w:val="24"/>
          <w:highlight w:val="none"/>
          <w:lang w:val="en-US" w:eastAsia="zh-CN"/>
        </w:rPr>
        <w:t>业绩比较基准下限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rPr>
        <w:t>以某投资者投资10万元为例，假设购买时理财计划</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业绩比较基准为4.0%-5.0%，投资收益率在业绩比较基准下限（含）至上限（含）的部分,管理人提取50%作为浮动管理费,在超过业绩比较基准上限的部分,管理人提取80%作为浮动管理费</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理财产品赎回</w:t>
      </w:r>
      <w:r>
        <w:rPr>
          <w:rFonts w:hint="eastAsia" w:ascii="宋体" w:hAnsi="宋体" w:cs="宋体"/>
          <w:bCs/>
          <w:color w:val="000000"/>
          <w:sz w:val="24"/>
          <w:highlight w:val="none"/>
        </w:rPr>
        <w:t>时扣除托管费、固定管理费、销售服务费（如有）后</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如</w:t>
      </w:r>
      <w:r>
        <w:rPr>
          <w:rFonts w:hint="eastAsia" w:ascii="宋体" w:hAnsi="宋体" w:cs="宋体"/>
          <w:bCs/>
          <w:color w:val="000000"/>
          <w:sz w:val="24"/>
          <w:highlight w:val="none"/>
        </w:rPr>
        <w:t>理财计划未扣除浮动管理费前的</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净值为1.0362，此时，(1.0362/1.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00-1)×365/362=3.65%&lt;</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.00%，即投资收益未达到〖4.00%〗，则投资管理人不收取浮动管理费</w:t>
      </w:r>
      <w:r>
        <w:rPr>
          <w:rFonts w:hint="eastAsia" w:ascii="宋体" w:hAnsi="宋体" w:cs="宋体"/>
          <w:bCs/>
          <w:color w:val="000000"/>
          <w:sz w:val="24"/>
          <w:highlight w:val="none"/>
          <w:lang w:eastAsia="zh-CN"/>
        </w:rPr>
        <w:t>。</w:t>
      </w:r>
    </w:p>
    <w:p>
      <w:pPr>
        <w:spacing w:line="360" w:lineRule="auto"/>
        <w:ind w:firstLine="480" w:firstLineChars="200"/>
        <w:jc w:val="left"/>
        <w:rPr>
          <w:rFonts w:hint="default" w:ascii="宋体" w:hAnsi="宋体" w:cs="宋体"/>
          <w:bCs/>
          <w:highlight w:val="none"/>
          <w:lang w:val="en-US" w:eastAsia="zh-CN"/>
        </w:rPr>
      </w:pPr>
      <w:r>
        <w:rPr>
          <w:rFonts w:hint="eastAsia" w:ascii="宋体" w:hAnsi="宋体" w:cs="宋体"/>
          <w:bCs/>
          <w:highlight w:val="none"/>
          <w:lang w:val="en-US" w:eastAsia="zh-CN"/>
        </w:rPr>
        <w:t>理财计划的单位净值大于1，故理财计划进行现金分红，分红金额为</w:t>
      </w:r>
      <w:r>
        <w:rPr>
          <w:rFonts w:hint="eastAsia" w:ascii="宋体" w:hAnsi="宋体" w:cs="宋体"/>
          <w:bCs/>
          <w:color w:val="000000"/>
          <w:sz w:val="24"/>
          <w:highlight w:val="none"/>
        </w:rPr>
        <w:t>3,650.00</w:t>
      </w:r>
      <w:r>
        <w:rPr>
          <w:rFonts w:hint="eastAsia" w:ascii="宋体" w:hAnsi="宋体" w:cs="宋体"/>
          <w:bCs/>
          <w:highlight w:val="none"/>
          <w:lang w:val="en-US" w:eastAsia="zh-CN"/>
        </w:rPr>
        <w:t>元，分红后产品的单位净值为1.0000。</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3,650.00 =3,650.00（元），理财计划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时，投资者获得的实际收益相当于达到年化收益率水平为：3,650.00/100,000.00×365/362=</w:t>
      </w:r>
      <w:r>
        <w:rPr>
          <w:rFonts w:hint="eastAsia" w:ascii="宋体" w:hAnsi="宋体" w:cs="宋体"/>
          <w:bCs/>
          <w:color w:val="000000"/>
          <w:sz w:val="24"/>
          <w:highlight w:val="none"/>
          <w:lang w:val="en-US" w:eastAsia="zh-CN"/>
        </w:rPr>
        <w:t>3.68</w:t>
      </w:r>
      <w:r>
        <w:rPr>
          <w:rFonts w:hint="eastAsia" w:ascii="宋体" w:hAnsi="宋体" w:cs="宋体"/>
          <w:bCs/>
          <w:color w:val="000000"/>
          <w:sz w:val="24"/>
          <w:highlight w:val="none"/>
        </w:rPr>
        <w:t>%。</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四</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业绩比较基准为4.0%-5.0%，投资收益率在业绩比较基准下限（含）至上限（含）的部分,管理人提取50%作为浮动管理费,在超过业绩比较基准上限的部分,管理人提取80%作为浮动管理费</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理财产品赎回</w:t>
      </w:r>
      <w:r>
        <w:rPr>
          <w:rFonts w:hint="eastAsia" w:ascii="宋体" w:hAnsi="宋体" w:cs="宋体"/>
          <w:bCs/>
          <w:color w:val="000000"/>
          <w:sz w:val="24"/>
          <w:highlight w:val="none"/>
        </w:rPr>
        <w:t>时扣除托管费、固定管理费、销售服务费（如有）后</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如理财计划未扣除浮动管理费前的</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净值为0.9975，则投资管理人不收取浮动管理费，</w:t>
      </w:r>
      <w:r>
        <w:rPr>
          <w:rFonts w:hint="eastAsia" w:ascii="宋体" w:hAnsi="宋体" w:cs="宋体"/>
          <w:bCs/>
          <w:color w:val="000000"/>
          <w:sz w:val="24"/>
          <w:highlight w:val="none"/>
          <w:lang w:val="en-US" w:eastAsia="zh-CN"/>
        </w:rPr>
        <w:t>理财计划不分红，</w:t>
      </w:r>
      <w:r>
        <w:rPr>
          <w:rFonts w:hint="eastAsia" w:ascii="宋体" w:hAnsi="宋体" w:cs="宋体"/>
          <w:bCs/>
          <w:color w:val="000000"/>
          <w:sz w:val="24"/>
          <w:highlight w:val="none"/>
        </w:rPr>
        <w:t>投资者最终收益为：100,000.00×（0.9975-1.00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）=-250.00（元）。</w:t>
      </w:r>
    </w:p>
    <w:p>
      <w:pPr>
        <w:numPr>
          <w:ilvl w:val="0"/>
          <w:numId w:val="3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43"/>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3"/>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本理财计划在每个申购开放期的开放日工作时间可进行申购，申购申请将在申购确认日进行确认，即申购开放期后的第〖1〗个工作日进行确认。</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本理财计划在每个赎回开放期的开放日工作时间可进行赎回，赎回申请将在赎回确认日进行确认，即赎回开放期后的第〖1〗个工作日进行确认。</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赎回资金确认后，理财</w:t>
      </w:r>
      <w:r>
        <w:rPr>
          <w:rFonts w:hint="eastAsia" w:ascii="宋体" w:hAnsi="宋体" w:cs="宋体"/>
          <w:bCs/>
          <w:sz w:val="24"/>
          <w:highlight w:val="none"/>
          <w:lang w:val="en-US" w:eastAsia="zh-CN"/>
        </w:rPr>
        <w:t>计划</w:t>
      </w:r>
      <w:r>
        <w:rPr>
          <w:rFonts w:hint="eastAsia" w:ascii="宋体" w:hAnsi="宋体" w:cs="宋体"/>
          <w:bCs/>
          <w:sz w:val="24"/>
          <w:highlight w:val="none"/>
        </w:rPr>
        <w:t>资金最快</w:t>
      </w:r>
      <w:r>
        <w:rPr>
          <w:rFonts w:hint="eastAsia" w:ascii="宋体" w:hAnsi="宋体" w:cs="宋体"/>
          <w:bCs/>
          <w:sz w:val="24"/>
          <w:highlight w:val="none"/>
          <w:lang w:val="en-US" w:eastAsia="zh-CN"/>
        </w:rPr>
        <w:t>于</w:t>
      </w:r>
      <w:r>
        <w:rPr>
          <w:rFonts w:hint="eastAsia" w:ascii="宋体" w:hAnsi="宋体" w:cs="宋体"/>
          <w:bCs/>
          <w:sz w:val="24"/>
          <w:highlight w:val="none"/>
        </w:rPr>
        <w:t>〖</w:t>
      </w:r>
      <w:r>
        <w:rPr>
          <w:rFonts w:hint="eastAsia" w:ascii="宋体" w:hAnsi="宋体" w:cs="宋体"/>
          <w:bCs/>
          <w:sz w:val="24"/>
          <w:highlight w:val="none"/>
          <w:lang w:val="en-US" w:eastAsia="zh-CN"/>
        </w:rPr>
        <w:t>确认日当日</w:t>
      </w:r>
      <w:r>
        <w:rPr>
          <w:rFonts w:hint="eastAsia" w:ascii="宋体" w:hAnsi="宋体" w:cs="宋体"/>
          <w:bCs/>
          <w:sz w:val="24"/>
          <w:highlight w:val="none"/>
        </w:rPr>
        <w:t>〗，最晚</w:t>
      </w:r>
      <w:r>
        <w:rPr>
          <w:rFonts w:hint="eastAsia" w:ascii="宋体" w:hAnsi="宋体" w:cs="宋体"/>
          <w:bCs/>
          <w:sz w:val="24"/>
          <w:highlight w:val="none"/>
          <w:lang w:val="en-US" w:eastAsia="zh-CN"/>
        </w:rPr>
        <w:t>于确认日后</w:t>
      </w:r>
      <w:r>
        <w:rPr>
          <w:rFonts w:hint="eastAsia" w:ascii="宋体" w:hAnsi="宋体" w:cs="宋体"/>
          <w:bCs/>
          <w:sz w:val="24"/>
          <w:highlight w:val="none"/>
        </w:rPr>
        <w:t>〖</w:t>
      </w:r>
      <w:r>
        <w:rPr>
          <w:rFonts w:hint="eastAsia" w:ascii="宋体" w:hAnsi="宋体" w:cs="宋体"/>
          <w:bCs/>
          <w:sz w:val="24"/>
          <w:highlight w:val="none"/>
          <w:lang w:val="en-US" w:eastAsia="zh-CN"/>
        </w:rPr>
        <w:t>2</w:t>
      </w:r>
      <w:r>
        <w:rPr>
          <w:rFonts w:hint="eastAsia" w:ascii="宋体" w:hAnsi="宋体" w:cs="宋体"/>
          <w:bCs/>
          <w:sz w:val="24"/>
          <w:highlight w:val="none"/>
        </w:rPr>
        <w:t>〗个〖工作日〗内（遇节假日顺延）支付。如遇资金在途或法定工作日调整，实际资金到账日以公告为准。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sz w:val="24"/>
          <w:highlight w:val="none"/>
        </w:rPr>
        <w:t>2</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6"/>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6"/>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2">
    <w:nsid w:val="85460E80"/>
    <w:multiLevelType w:val="singleLevel"/>
    <w:tmpl w:val="85460E80"/>
    <w:lvl w:ilvl="0" w:tentative="0">
      <w:start w:val="1"/>
      <w:numFmt w:val="decimal"/>
      <w:suff w:val="nothing"/>
      <w:lvlText w:val="（%1）"/>
      <w:lvlJc w:val="left"/>
      <w:rPr>
        <w:rFonts w:hint="default"/>
        <w:b w:val="0"/>
        <w:bCs w:val="0"/>
      </w:rPr>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4">
    <w:nsid w:val="8906C252"/>
    <w:multiLevelType w:val="singleLevel"/>
    <w:tmpl w:val="8906C252"/>
    <w:lvl w:ilvl="0" w:tentative="0">
      <w:start w:val="1"/>
      <w:numFmt w:val="decimal"/>
      <w:suff w:val="nothing"/>
      <w:lvlText w:val="（%1）"/>
      <w:lvlJc w:val="left"/>
      <w:rPr>
        <w:rFonts w:hint="default"/>
        <w:b w:val="0"/>
        <w:bCs w:val="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7">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8">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9">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10">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1">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2">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3">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4">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5">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6">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7">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8">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9">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20">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1">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2">
    <w:nsid w:val="D8D75090"/>
    <w:multiLevelType w:val="singleLevel"/>
    <w:tmpl w:val="D8D75090"/>
    <w:lvl w:ilvl="0" w:tentative="0">
      <w:start w:val="1"/>
      <w:numFmt w:val="decimal"/>
      <w:suff w:val="nothing"/>
      <w:lvlText w:val="（%1）"/>
      <w:lvlJc w:val="left"/>
      <w:rPr>
        <w:rFonts w:hint="default"/>
        <w:b w:val="0"/>
        <w:bCs w:val="0"/>
      </w:rPr>
    </w:lvl>
  </w:abstractNum>
  <w:abstractNum w:abstractNumId="23">
    <w:nsid w:val="DD2251DF"/>
    <w:multiLevelType w:val="singleLevel"/>
    <w:tmpl w:val="DD2251DF"/>
    <w:lvl w:ilvl="0" w:tentative="0">
      <w:start w:val="1"/>
      <w:numFmt w:val="decimal"/>
      <w:suff w:val="nothing"/>
      <w:lvlText w:val="（%1）"/>
      <w:lvlJc w:val="left"/>
      <w:rPr>
        <w:rFonts w:hint="default"/>
        <w:b w:val="0"/>
        <w:bCs w:val="0"/>
      </w:rPr>
    </w:lvl>
  </w:abstractNum>
  <w:abstractNum w:abstractNumId="24">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5">
    <w:nsid w:val="E70DF796"/>
    <w:multiLevelType w:val="singleLevel"/>
    <w:tmpl w:val="E70DF796"/>
    <w:lvl w:ilvl="0" w:tentative="0">
      <w:start w:val="1"/>
      <w:numFmt w:val="decimal"/>
      <w:suff w:val="nothing"/>
      <w:lvlText w:val="（%1）"/>
      <w:lvlJc w:val="left"/>
    </w:lvl>
  </w:abstractNum>
  <w:abstractNum w:abstractNumId="26">
    <w:nsid w:val="EFF37F09"/>
    <w:multiLevelType w:val="singleLevel"/>
    <w:tmpl w:val="EFF37F09"/>
    <w:lvl w:ilvl="0" w:tentative="0">
      <w:start w:val="1"/>
      <w:numFmt w:val="decimal"/>
      <w:suff w:val="nothing"/>
      <w:lvlText w:val="（%1）"/>
      <w:lvlJc w:val="left"/>
      <w:rPr>
        <w:rFonts w:hint="default"/>
        <w:b w:val="0"/>
        <w:bCs w:val="0"/>
      </w:rPr>
    </w:lvl>
  </w:abstractNum>
  <w:abstractNum w:abstractNumId="27">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9">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30">
    <w:nsid w:val="F574F5B6"/>
    <w:multiLevelType w:val="singleLevel"/>
    <w:tmpl w:val="F574F5B6"/>
    <w:lvl w:ilvl="0" w:tentative="0">
      <w:start w:val="1"/>
      <w:numFmt w:val="decimal"/>
      <w:suff w:val="nothing"/>
      <w:lvlText w:val="（%1）"/>
      <w:lvlJc w:val="left"/>
    </w:lvl>
  </w:abstractNum>
  <w:abstractNum w:abstractNumId="31">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2">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3">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4">
    <w:nsid w:val="084A6179"/>
    <w:multiLevelType w:val="singleLevel"/>
    <w:tmpl w:val="084A6179"/>
    <w:lvl w:ilvl="0" w:tentative="0">
      <w:start w:val="1"/>
      <w:numFmt w:val="decimal"/>
      <w:suff w:val="nothing"/>
      <w:lvlText w:val="（%1）"/>
      <w:lvlJc w:val="left"/>
      <w:rPr>
        <w:rFonts w:hint="default"/>
        <w:highlight w:val="none"/>
      </w:rPr>
    </w:lvl>
  </w:abstractNum>
  <w:abstractNum w:abstractNumId="35">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7">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8">
    <w:nsid w:val="167B0BB4"/>
    <w:multiLevelType w:val="singleLevel"/>
    <w:tmpl w:val="167B0BB4"/>
    <w:lvl w:ilvl="0" w:tentative="0">
      <w:start w:val="1"/>
      <w:numFmt w:val="decimal"/>
      <w:suff w:val="nothing"/>
      <w:lvlText w:val="（%1）"/>
      <w:lvlJc w:val="left"/>
    </w:lvl>
  </w:abstractNum>
  <w:abstractNum w:abstractNumId="39">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40">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41">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2">
    <w:nsid w:val="2CB63BE6"/>
    <w:multiLevelType w:val="singleLevel"/>
    <w:tmpl w:val="2CB63BE6"/>
    <w:lvl w:ilvl="0" w:tentative="0">
      <w:start w:val="1"/>
      <w:numFmt w:val="decimal"/>
      <w:suff w:val="nothing"/>
      <w:lvlText w:val="（%1）"/>
      <w:lvlJc w:val="left"/>
      <w:rPr>
        <w:rFonts w:hint="default"/>
        <w:b w:val="0"/>
        <w:bCs w:val="0"/>
      </w:rPr>
    </w:lvl>
  </w:abstractNum>
  <w:abstractNum w:abstractNumId="43">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4">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5">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6">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7">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8">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9">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50">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51">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2">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3">
    <w:nsid w:val="5BA91325"/>
    <w:multiLevelType w:val="singleLevel"/>
    <w:tmpl w:val="5BA91325"/>
    <w:lvl w:ilvl="0" w:tentative="0">
      <w:start w:val="1"/>
      <w:numFmt w:val="decimal"/>
      <w:suff w:val="nothing"/>
      <w:lvlText w:val="（%1）"/>
      <w:lvlJc w:val="left"/>
    </w:lvl>
  </w:abstractNum>
  <w:abstractNum w:abstractNumId="54">
    <w:nsid w:val="61F30F62"/>
    <w:multiLevelType w:val="singleLevel"/>
    <w:tmpl w:val="61F30F62"/>
    <w:lvl w:ilvl="0" w:tentative="0">
      <w:start w:val="1"/>
      <w:numFmt w:val="decimal"/>
      <w:suff w:val="nothing"/>
      <w:lvlText w:val="（%1）"/>
      <w:lvlJc w:val="left"/>
      <w:rPr>
        <w:rFonts w:hint="default"/>
        <w:b w:val="0"/>
        <w:bCs w:val="0"/>
      </w:rPr>
    </w:lvl>
  </w:abstractNum>
  <w:abstractNum w:abstractNumId="55">
    <w:nsid w:val="69C07A9C"/>
    <w:multiLevelType w:val="singleLevel"/>
    <w:tmpl w:val="69C07A9C"/>
    <w:lvl w:ilvl="0" w:tentative="0">
      <w:start w:val="1"/>
      <w:numFmt w:val="lowerLetter"/>
      <w:suff w:val="space"/>
      <w:lvlText w:val="%1."/>
      <w:lvlJc w:val="left"/>
    </w:lvl>
  </w:abstractNum>
  <w:abstractNum w:abstractNumId="56">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51"/>
  </w:num>
  <w:num w:numId="2">
    <w:abstractNumId w:val="47"/>
  </w:num>
  <w:num w:numId="3">
    <w:abstractNumId w:val="31"/>
  </w:num>
  <w:num w:numId="4">
    <w:abstractNumId w:val="28"/>
  </w:num>
  <w:num w:numId="5">
    <w:abstractNumId w:val="36"/>
  </w:num>
  <w:num w:numId="6">
    <w:abstractNumId w:val="27"/>
  </w:num>
  <w:num w:numId="7">
    <w:abstractNumId w:val="19"/>
  </w:num>
  <w:num w:numId="8">
    <w:abstractNumId w:val="12"/>
  </w:num>
  <w:num w:numId="9">
    <w:abstractNumId w:val="16"/>
  </w:num>
  <w:num w:numId="10">
    <w:abstractNumId w:val="9"/>
  </w:num>
  <w:num w:numId="11">
    <w:abstractNumId w:val="10"/>
  </w:num>
  <w:num w:numId="12">
    <w:abstractNumId w:val="8"/>
  </w:num>
  <w:num w:numId="13">
    <w:abstractNumId w:val="35"/>
  </w:num>
  <w:num w:numId="14">
    <w:abstractNumId w:val="32"/>
  </w:num>
  <w:num w:numId="15">
    <w:abstractNumId w:val="6"/>
  </w:num>
  <w:num w:numId="16">
    <w:abstractNumId w:val="1"/>
  </w:num>
  <w:num w:numId="17">
    <w:abstractNumId w:val="46"/>
  </w:num>
  <w:num w:numId="18">
    <w:abstractNumId w:val="30"/>
  </w:num>
  <w:num w:numId="19">
    <w:abstractNumId w:val="48"/>
  </w:num>
  <w:num w:numId="20">
    <w:abstractNumId w:val="53"/>
  </w:num>
  <w:num w:numId="21">
    <w:abstractNumId w:val="55"/>
  </w:num>
  <w:num w:numId="22">
    <w:abstractNumId w:val="41"/>
  </w:num>
  <w:num w:numId="23">
    <w:abstractNumId w:val="18"/>
  </w:num>
  <w:num w:numId="24">
    <w:abstractNumId w:val="40"/>
  </w:num>
  <w:num w:numId="25">
    <w:abstractNumId w:val="21"/>
  </w:num>
  <w:num w:numId="26">
    <w:abstractNumId w:val="7"/>
  </w:num>
  <w:num w:numId="27">
    <w:abstractNumId w:val="50"/>
  </w:num>
  <w:num w:numId="28">
    <w:abstractNumId w:val="5"/>
  </w:num>
  <w:num w:numId="29">
    <w:abstractNumId w:val="34"/>
  </w:num>
  <w:num w:numId="30">
    <w:abstractNumId w:val="39"/>
  </w:num>
  <w:num w:numId="31">
    <w:abstractNumId w:val="56"/>
  </w:num>
  <w:num w:numId="32">
    <w:abstractNumId w:val="33"/>
  </w:num>
  <w:num w:numId="33">
    <w:abstractNumId w:val="20"/>
  </w:num>
  <w:num w:numId="34">
    <w:abstractNumId w:val="43"/>
  </w:num>
  <w:num w:numId="35">
    <w:abstractNumId w:val="0"/>
  </w:num>
  <w:num w:numId="36">
    <w:abstractNumId w:val="23"/>
  </w:num>
  <w:num w:numId="37">
    <w:abstractNumId w:val="45"/>
  </w:num>
  <w:num w:numId="38">
    <w:abstractNumId w:val="3"/>
  </w:num>
  <w:num w:numId="39">
    <w:abstractNumId w:val="24"/>
  </w:num>
  <w:num w:numId="40">
    <w:abstractNumId w:val="15"/>
  </w:num>
  <w:num w:numId="41">
    <w:abstractNumId w:val="49"/>
  </w:num>
  <w:num w:numId="42">
    <w:abstractNumId w:val="37"/>
  </w:num>
  <w:num w:numId="43">
    <w:abstractNumId w:val="17"/>
  </w:num>
  <w:num w:numId="44">
    <w:abstractNumId w:val="29"/>
  </w:num>
  <w:num w:numId="45">
    <w:abstractNumId w:val="25"/>
  </w:num>
  <w:num w:numId="46">
    <w:abstractNumId w:val="26"/>
  </w:num>
  <w:num w:numId="47">
    <w:abstractNumId w:val="54"/>
  </w:num>
  <w:num w:numId="48">
    <w:abstractNumId w:val="42"/>
  </w:num>
  <w:num w:numId="49">
    <w:abstractNumId w:val="2"/>
  </w:num>
  <w:num w:numId="50">
    <w:abstractNumId w:val="52"/>
  </w:num>
  <w:num w:numId="51">
    <w:abstractNumId w:val="13"/>
  </w:num>
  <w:num w:numId="52">
    <w:abstractNumId w:val="11"/>
  </w:num>
  <w:num w:numId="53">
    <w:abstractNumId w:val="14"/>
  </w:num>
  <w:num w:numId="54">
    <w:abstractNumId w:val="38"/>
  </w:num>
  <w:num w:numId="55">
    <w:abstractNumId w:val="22"/>
  </w:num>
  <w:num w:numId="56">
    <w:abstractNumId w:val="4"/>
  </w:num>
  <w:num w:numId="5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ZjE0NjdiOGU5MjM3YmE2OGEzNGJiZDhhYjg1NzYifQ=="/>
    <w:docVar w:name="KSO_WPS_MARK_KEY" w:val="ab8c09fc-ebb4-4f15-b49e-3b6144cc8e86"/>
  </w:docVars>
  <w:rsids>
    <w:rsidRoot w:val="00172A27"/>
    <w:rsid w:val="004A3A51"/>
    <w:rsid w:val="012C2B17"/>
    <w:rsid w:val="01364432"/>
    <w:rsid w:val="01523B8E"/>
    <w:rsid w:val="01E60817"/>
    <w:rsid w:val="033261E2"/>
    <w:rsid w:val="036B5FEB"/>
    <w:rsid w:val="040B79D9"/>
    <w:rsid w:val="0449537A"/>
    <w:rsid w:val="046F2BFF"/>
    <w:rsid w:val="04A52A8E"/>
    <w:rsid w:val="04A74955"/>
    <w:rsid w:val="050A18A0"/>
    <w:rsid w:val="05C21734"/>
    <w:rsid w:val="05E05E4D"/>
    <w:rsid w:val="06420CFA"/>
    <w:rsid w:val="06503B59"/>
    <w:rsid w:val="06592D9B"/>
    <w:rsid w:val="0752555A"/>
    <w:rsid w:val="07E45984"/>
    <w:rsid w:val="081B7D56"/>
    <w:rsid w:val="0828699A"/>
    <w:rsid w:val="082B58DC"/>
    <w:rsid w:val="08E37254"/>
    <w:rsid w:val="096D780F"/>
    <w:rsid w:val="097E3F67"/>
    <w:rsid w:val="09851159"/>
    <w:rsid w:val="09B01B43"/>
    <w:rsid w:val="09D777D8"/>
    <w:rsid w:val="0A1347F5"/>
    <w:rsid w:val="0A2A32B9"/>
    <w:rsid w:val="0A5E7E25"/>
    <w:rsid w:val="0A5F546C"/>
    <w:rsid w:val="0B8E27E3"/>
    <w:rsid w:val="0BF71AE2"/>
    <w:rsid w:val="0CA6603D"/>
    <w:rsid w:val="0D0B1B00"/>
    <w:rsid w:val="0E4A4B6F"/>
    <w:rsid w:val="0EAE473F"/>
    <w:rsid w:val="0EF65480"/>
    <w:rsid w:val="10593F50"/>
    <w:rsid w:val="10E7087B"/>
    <w:rsid w:val="10FA5463"/>
    <w:rsid w:val="11BA058F"/>
    <w:rsid w:val="11C23A9E"/>
    <w:rsid w:val="12046DA7"/>
    <w:rsid w:val="12081858"/>
    <w:rsid w:val="127D7C55"/>
    <w:rsid w:val="12B62B3B"/>
    <w:rsid w:val="13031153"/>
    <w:rsid w:val="13181417"/>
    <w:rsid w:val="13D3452B"/>
    <w:rsid w:val="142A3D0A"/>
    <w:rsid w:val="146D615D"/>
    <w:rsid w:val="14C57FED"/>
    <w:rsid w:val="150C5665"/>
    <w:rsid w:val="159302CA"/>
    <w:rsid w:val="15C56302"/>
    <w:rsid w:val="15D419A2"/>
    <w:rsid w:val="160940BB"/>
    <w:rsid w:val="1659752C"/>
    <w:rsid w:val="169F376F"/>
    <w:rsid w:val="16B845ED"/>
    <w:rsid w:val="16E43A7F"/>
    <w:rsid w:val="185A3DA1"/>
    <w:rsid w:val="18E6578A"/>
    <w:rsid w:val="18F22962"/>
    <w:rsid w:val="198C4B50"/>
    <w:rsid w:val="19DA666D"/>
    <w:rsid w:val="19F13F4F"/>
    <w:rsid w:val="1A102675"/>
    <w:rsid w:val="1B280245"/>
    <w:rsid w:val="1BBE4697"/>
    <w:rsid w:val="1BEE4FD6"/>
    <w:rsid w:val="1C1147C7"/>
    <w:rsid w:val="1C3F1BB8"/>
    <w:rsid w:val="1D3C4AE8"/>
    <w:rsid w:val="1D552DD9"/>
    <w:rsid w:val="1DAB6D83"/>
    <w:rsid w:val="1DD76500"/>
    <w:rsid w:val="1DFD293B"/>
    <w:rsid w:val="1E3173A3"/>
    <w:rsid w:val="1E410106"/>
    <w:rsid w:val="1ED938B7"/>
    <w:rsid w:val="1F0F5A19"/>
    <w:rsid w:val="1F1D6E1F"/>
    <w:rsid w:val="1F3E7F7D"/>
    <w:rsid w:val="1F51312D"/>
    <w:rsid w:val="1FC9553A"/>
    <w:rsid w:val="1FE3536C"/>
    <w:rsid w:val="1FFB1A16"/>
    <w:rsid w:val="1FFEB843"/>
    <w:rsid w:val="20137C57"/>
    <w:rsid w:val="204D3B12"/>
    <w:rsid w:val="205A2AB3"/>
    <w:rsid w:val="20B6224D"/>
    <w:rsid w:val="21025026"/>
    <w:rsid w:val="21B93623"/>
    <w:rsid w:val="21C22F06"/>
    <w:rsid w:val="22A04AF7"/>
    <w:rsid w:val="22D32481"/>
    <w:rsid w:val="22D3594B"/>
    <w:rsid w:val="22F12819"/>
    <w:rsid w:val="23393314"/>
    <w:rsid w:val="23753F06"/>
    <w:rsid w:val="238E1AAE"/>
    <w:rsid w:val="24345B9A"/>
    <w:rsid w:val="2483647E"/>
    <w:rsid w:val="256F076F"/>
    <w:rsid w:val="2610340F"/>
    <w:rsid w:val="26820AF7"/>
    <w:rsid w:val="26966D40"/>
    <w:rsid w:val="272A311F"/>
    <w:rsid w:val="28677578"/>
    <w:rsid w:val="292668E3"/>
    <w:rsid w:val="2A1B5D68"/>
    <w:rsid w:val="2A5975B6"/>
    <w:rsid w:val="2A991D32"/>
    <w:rsid w:val="2AB92324"/>
    <w:rsid w:val="2AD6555A"/>
    <w:rsid w:val="2B1902F3"/>
    <w:rsid w:val="2B1C6E29"/>
    <w:rsid w:val="2B376BE0"/>
    <w:rsid w:val="2BD223E7"/>
    <w:rsid w:val="2C1B1E9D"/>
    <w:rsid w:val="2CAB68C5"/>
    <w:rsid w:val="2DEF6CE6"/>
    <w:rsid w:val="2E45409C"/>
    <w:rsid w:val="2EBC6D03"/>
    <w:rsid w:val="2F1F666C"/>
    <w:rsid w:val="2F802D62"/>
    <w:rsid w:val="2FD32A37"/>
    <w:rsid w:val="304F5466"/>
    <w:rsid w:val="30551FFC"/>
    <w:rsid w:val="311F702A"/>
    <w:rsid w:val="31A82883"/>
    <w:rsid w:val="320E3E15"/>
    <w:rsid w:val="32C937E9"/>
    <w:rsid w:val="32FB01FE"/>
    <w:rsid w:val="333F6AA7"/>
    <w:rsid w:val="33F7523E"/>
    <w:rsid w:val="3480359E"/>
    <w:rsid w:val="34BE4ED5"/>
    <w:rsid w:val="35476F5E"/>
    <w:rsid w:val="3563318D"/>
    <w:rsid w:val="3602513D"/>
    <w:rsid w:val="36631FD8"/>
    <w:rsid w:val="366A0F47"/>
    <w:rsid w:val="36B64AFC"/>
    <w:rsid w:val="36E72D9B"/>
    <w:rsid w:val="379F2ED6"/>
    <w:rsid w:val="37CA172C"/>
    <w:rsid w:val="37CB10A0"/>
    <w:rsid w:val="37EE9B5C"/>
    <w:rsid w:val="38071350"/>
    <w:rsid w:val="38224FD0"/>
    <w:rsid w:val="38696564"/>
    <w:rsid w:val="38BC5508"/>
    <w:rsid w:val="3A26630A"/>
    <w:rsid w:val="3A3E2041"/>
    <w:rsid w:val="3A57501E"/>
    <w:rsid w:val="3B131EF6"/>
    <w:rsid w:val="3B490D86"/>
    <w:rsid w:val="3C2F2290"/>
    <w:rsid w:val="3D8434FB"/>
    <w:rsid w:val="3EA67C14"/>
    <w:rsid w:val="3EAD1B36"/>
    <w:rsid w:val="3F056B9E"/>
    <w:rsid w:val="3F2521B4"/>
    <w:rsid w:val="3F253779"/>
    <w:rsid w:val="3F354A62"/>
    <w:rsid w:val="3FF54C55"/>
    <w:rsid w:val="3FFD787A"/>
    <w:rsid w:val="406370BC"/>
    <w:rsid w:val="40FB7670"/>
    <w:rsid w:val="41627E6A"/>
    <w:rsid w:val="41B60000"/>
    <w:rsid w:val="41C74B6C"/>
    <w:rsid w:val="4220746F"/>
    <w:rsid w:val="423C06E2"/>
    <w:rsid w:val="424239CB"/>
    <w:rsid w:val="42815397"/>
    <w:rsid w:val="42C94634"/>
    <w:rsid w:val="433F12EE"/>
    <w:rsid w:val="43423D19"/>
    <w:rsid w:val="4399327E"/>
    <w:rsid w:val="44FC77BE"/>
    <w:rsid w:val="45540446"/>
    <w:rsid w:val="45BB5620"/>
    <w:rsid w:val="45F127ED"/>
    <w:rsid w:val="46263D02"/>
    <w:rsid w:val="46CD66A0"/>
    <w:rsid w:val="46F85BFB"/>
    <w:rsid w:val="472803B7"/>
    <w:rsid w:val="48267AA2"/>
    <w:rsid w:val="488B59A4"/>
    <w:rsid w:val="48DB39C6"/>
    <w:rsid w:val="494502E1"/>
    <w:rsid w:val="49943680"/>
    <w:rsid w:val="49A948D7"/>
    <w:rsid w:val="4A1D5AD2"/>
    <w:rsid w:val="4A3D69E6"/>
    <w:rsid w:val="4A4D47B1"/>
    <w:rsid w:val="4A6F7B99"/>
    <w:rsid w:val="4A7F0ADF"/>
    <w:rsid w:val="4AA612F0"/>
    <w:rsid w:val="4B0D3113"/>
    <w:rsid w:val="4C215473"/>
    <w:rsid w:val="4C6B0DDA"/>
    <w:rsid w:val="4C6E1306"/>
    <w:rsid w:val="4D4E6461"/>
    <w:rsid w:val="4DEE1021"/>
    <w:rsid w:val="4E186164"/>
    <w:rsid w:val="4E2F1033"/>
    <w:rsid w:val="4E8274B0"/>
    <w:rsid w:val="4E8E16CB"/>
    <w:rsid w:val="4EC40AC5"/>
    <w:rsid w:val="4EFC1B31"/>
    <w:rsid w:val="4F2836A5"/>
    <w:rsid w:val="4FF363B3"/>
    <w:rsid w:val="501216FC"/>
    <w:rsid w:val="50B73634"/>
    <w:rsid w:val="50D8608E"/>
    <w:rsid w:val="511164BD"/>
    <w:rsid w:val="51504FE6"/>
    <w:rsid w:val="51907961"/>
    <w:rsid w:val="530D2324"/>
    <w:rsid w:val="53F5113F"/>
    <w:rsid w:val="53FE3DB0"/>
    <w:rsid w:val="54E91D9C"/>
    <w:rsid w:val="551553FD"/>
    <w:rsid w:val="552247DE"/>
    <w:rsid w:val="552C3ED5"/>
    <w:rsid w:val="55903A38"/>
    <w:rsid w:val="55A0734E"/>
    <w:rsid w:val="55A47BB4"/>
    <w:rsid w:val="56804A86"/>
    <w:rsid w:val="56872658"/>
    <w:rsid w:val="56B03B30"/>
    <w:rsid w:val="571D2E14"/>
    <w:rsid w:val="576C4461"/>
    <w:rsid w:val="5790790A"/>
    <w:rsid w:val="57BB6218"/>
    <w:rsid w:val="57FF3AAA"/>
    <w:rsid w:val="58DD2EEE"/>
    <w:rsid w:val="58E96C7A"/>
    <w:rsid w:val="59AD3C67"/>
    <w:rsid w:val="59CC6D6F"/>
    <w:rsid w:val="5A0B1AF2"/>
    <w:rsid w:val="5B0D630F"/>
    <w:rsid w:val="5B264E92"/>
    <w:rsid w:val="5B5D608F"/>
    <w:rsid w:val="5BBF5529"/>
    <w:rsid w:val="5C013B47"/>
    <w:rsid w:val="5C3C3DDC"/>
    <w:rsid w:val="5D160516"/>
    <w:rsid w:val="5D7D0F36"/>
    <w:rsid w:val="5DB61BFF"/>
    <w:rsid w:val="5DEF454B"/>
    <w:rsid w:val="5DFF1D1D"/>
    <w:rsid w:val="5E5A6C63"/>
    <w:rsid w:val="5EF478B5"/>
    <w:rsid w:val="5EFF0EC6"/>
    <w:rsid w:val="5F0D3289"/>
    <w:rsid w:val="5F3C6712"/>
    <w:rsid w:val="5F4B58F3"/>
    <w:rsid w:val="5F8C5613"/>
    <w:rsid w:val="5FD55F7B"/>
    <w:rsid w:val="6053481F"/>
    <w:rsid w:val="606E0DED"/>
    <w:rsid w:val="60AB2000"/>
    <w:rsid w:val="60C04AFA"/>
    <w:rsid w:val="610129B1"/>
    <w:rsid w:val="61AE53BE"/>
    <w:rsid w:val="61D85325"/>
    <w:rsid w:val="62860AAA"/>
    <w:rsid w:val="628B7CEE"/>
    <w:rsid w:val="629D5796"/>
    <w:rsid w:val="63415003"/>
    <w:rsid w:val="64340620"/>
    <w:rsid w:val="657A160B"/>
    <w:rsid w:val="65D25F29"/>
    <w:rsid w:val="67182835"/>
    <w:rsid w:val="671E2162"/>
    <w:rsid w:val="68D8721E"/>
    <w:rsid w:val="69C56DDC"/>
    <w:rsid w:val="6B3A5BD0"/>
    <w:rsid w:val="6B3C7023"/>
    <w:rsid w:val="6B610D05"/>
    <w:rsid w:val="6B767560"/>
    <w:rsid w:val="6BAC21D5"/>
    <w:rsid w:val="6BDE7617"/>
    <w:rsid w:val="6C1D42E9"/>
    <w:rsid w:val="6C3B62C3"/>
    <w:rsid w:val="6C3E5296"/>
    <w:rsid w:val="6C97174C"/>
    <w:rsid w:val="6CED1CB3"/>
    <w:rsid w:val="6D3B42C3"/>
    <w:rsid w:val="6DDE0D10"/>
    <w:rsid w:val="6E5969DC"/>
    <w:rsid w:val="6E7B6A0F"/>
    <w:rsid w:val="6E7E575F"/>
    <w:rsid w:val="6EF15941"/>
    <w:rsid w:val="6EFD7143"/>
    <w:rsid w:val="6F6861E1"/>
    <w:rsid w:val="6F9921A1"/>
    <w:rsid w:val="6FB83EF3"/>
    <w:rsid w:val="6FFAE0A6"/>
    <w:rsid w:val="70272715"/>
    <w:rsid w:val="70AC6E8A"/>
    <w:rsid w:val="732E7FA6"/>
    <w:rsid w:val="73407EBD"/>
    <w:rsid w:val="73EF4563"/>
    <w:rsid w:val="74175679"/>
    <w:rsid w:val="744124AA"/>
    <w:rsid w:val="745E0741"/>
    <w:rsid w:val="74664F47"/>
    <w:rsid w:val="74733B2E"/>
    <w:rsid w:val="774B5512"/>
    <w:rsid w:val="77E0572E"/>
    <w:rsid w:val="77ED4104"/>
    <w:rsid w:val="77FB3F74"/>
    <w:rsid w:val="789508C5"/>
    <w:rsid w:val="78E55A6A"/>
    <w:rsid w:val="78EF4372"/>
    <w:rsid w:val="795026DF"/>
    <w:rsid w:val="79554B55"/>
    <w:rsid w:val="79771B00"/>
    <w:rsid w:val="7980282D"/>
    <w:rsid w:val="798F6426"/>
    <w:rsid w:val="79E60E88"/>
    <w:rsid w:val="7ACA272A"/>
    <w:rsid w:val="7B0E7C70"/>
    <w:rsid w:val="7B2F5D22"/>
    <w:rsid w:val="7C8B1B8E"/>
    <w:rsid w:val="7CB79A73"/>
    <w:rsid w:val="7DEFBF68"/>
    <w:rsid w:val="7E6F339A"/>
    <w:rsid w:val="7E810662"/>
    <w:rsid w:val="7EBFCCEE"/>
    <w:rsid w:val="7F590AE3"/>
    <w:rsid w:val="7F72DFA6"/>
    <w:rsid w:val="7F7EC362"/>
    <w:rsid w:val="7FC44D8E"/>
    <w:rsid w:val="7FCFC145"/>
    <w:rsid w:val="7FE83D34"/>
    <w:rsid w:val="8FAF8AD8"/>
    <w:rsid w:val="B997A5AD"/>
    <w:rsid w:val="BBBDC055"/>
    <w:rsid w:val="BBFF2937"/>
    <w:rsid w:val="BFFBBC98"/>
    <w:rsid w:val="D37CAFE9"/>
    <w:rsid w:val="D73F82B2"/>
    <w:rsid w:val="D7BD226C"/>
    <w:rsid w:val="DA7FC5B8"/>
    <w:rsid w:val="DFF7DC7D"/>
    <w:rsid w:val="DFFD8E57"/>
    <w:rsid w:val="E3E076BE"/>
    <w:rsid w:val="EFDB6580"/>
    <w:rsid w:val="EFDE941D"/>
    <w:rsid w:val="F4F64487"/>
    <w:rsid w:val="F7EEBBDF"/>
    <w:rsid w:val="F7EFB835"/>
    <w:rsid w:val="F92C5A21"/>
    <w:rsid w:val="F97B95C2"/>
    <w:rsid w:val="F9F71591"/>
    <w:rsid w:val="FB7FF2A7"/>
    <w:rsid w:val="FCDE1A5D"/>
    <w:rsid w:val="FDBF3995"/>
    <w:rsid w:val="FEF37BDB"/>
    <w:rsid w:val="FFFFF3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4"/>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19"/>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2"/>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0"/>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1"/>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2 Char"/>
    <w:link w:val="3"/>
    <w:uiPriority w:val="0"/>
    <w:rPr>
      <w:rFonts w:ascii="Arial" w:hAnsi="Arial" w:eastAsia="宋体"/>
      <w:b/>
      <w:sz w:val="24"/>
    </w:rPr>
  </w:style>
  <w:style w:type="character" w:customStyle="1" w:styleId="20">
    <w:name w:val="批注文字 Char"/>
    <w:link w:val="5"/>
    <w:uiPriority w:val="0"/>
    <w:rPr>
      <w:rFonts w:ascii="Calibri" w:hAnsi="Calibri" w:cs="黑体"/>
      <w:kern w:val="2"/>
      <w:sz w:val="21"/>
      <w:szCs w:val="24"/>
    </w:rPr>
  </w:style>
  <w:style w:type="character" w:customStyle="1" w:styleId="21">
    <w:name w:val="批注主题 Char"/>
    <w:link w:val="10"/>
    <w:uiPriority w:val="0"/>
    <w:rPr>
      <w:rFonts w:ascii="Calibri" w:hAnsi="Calibri" w:cs="黑体"/>
      <w:b/>
      <w:bCs/>
      <w:kern w:val="2"/>
      <w:sz w:val="21"/>
      <w:szCs w:val="24"/>
    </w:rPr>
  </w:style>
  <w:style w:type="character" w:customStyle="1" w:styleId="22">
    <w:name w:val="标题 3 Char"/>
    <w:link w:val="4"/>
    <w:uiPriority w:val="0"/>
    <w:rPr>
      <w:rFonts w:hAnsi="Calibri" w:eastAsia="宋体"/>
      <w:b/>
      <w:sz w:val="24"/>
    </w:rPr>
  </w:style>
  <w:style w:type="character" w:customStyle="1" w:styleId="23">
    <w:name w:val="批注框文本 Char"/>
    <w:link w:val="6"/>
    <w:uiPriority w:val="0"/>
    <w:rPr>
      <w:rFonts w:ascii="Calibri" w:hAnsi="Calibri" w:cs="黑体"/>
      <w:kern w:val="2"/>
      <w:sz w:val="18"/>
      <w:szCs w:val="18"/>
    </w:rPr>
  </w:style>
  <w:style w:type="character" w:customStyle="1" w:styleId="24">
    <w:name w:val="标题 1 Char"/>
    <w:link w:val="2"/>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37740</Words>
  <Characters>40212</Characters>
  <Lines>210</Lines>
  <Paragraphs>59</Paragraphs>
  <TotalTime>1</TotalTime>
  <ScaleCrop>false</ScaleCrop>
  <LinksUpToDate>false</LinksUpToDate>
  <CharactersWithSpaces>40471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hccb</cp:lastModifiedBy>
  <dcterms:modified xsi:type="dcterms:W3CDTF">2025-09-18T06:01:48Z</dcterms:modified>
  <dc:title>杭银理财幸福99XXXX理财计划合同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