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outlineLvl w:val="0"/>
        <w:rPr>
          <w:rFonts w:hint="eastAsia" w:ascii="宋体" w:hAnsi="宋体" w:cs="宋体"/>
          <w:b/>
          <w:bCs/>
          <w:sz w:val="44"/>
          <w:szCs w:val="44"/>
          <w:highlight w:val="none"/>
        </w:rPr>
      </w:pPr>
      <w:r>
        <w:rPr>
          <w:rFonts w:hint="eastAsia" w:ascii="宋体" w:hAnsi="宋体" w:cs="宋体"/>
          <w:b/>
          <w:bCs/>
          <w:sz w:val="44"/>
          <w:szCs w:val="44"/>
          <w:highlight w:val="none"/>
        </w:rPr>
        <w:t>幸福99丰裕固收762天25184期理财产品说明书</w:t>
      </w:r>
      <w:bookmarkStart w:id="0" w:name="_GoBack"/>
      <w:bookmarkEnd w:id="0"/>
    </w:p>
    <w:p>
      <w:pPr>
        <w:jc w:val="center"/>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202502版</w:t>
      </w:r>
      <w:r>
        <w:rPr>
          <w:rFonts w:hint="eastAsia" w:ascii="宋体" w:hAnsi="宋体" w:cs="宋体"/>
          <w:sz w:val="28"/>
          <w:szCs w:val="28"/>
          <w:highlight w:val="none"/>
        </w:rPr>
        <w:t>）</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sz w:val="24"/>
          <w:highlight w:val="none"/>
        </w:rPr>
        <w:t>:</w:t>
      </w:r>
      <w:r>
        <w:rPr>
          <w:rFonts w:hint="eastAsia" w:ascii="宋体" w:hAnsi="宋体" w:cs="宋体"/>
          <w:bCs/>
          <w:sz w:val="24"/>
          <w:highlight w:val="none"/>
        </w:rPr>
        <w:t>〖</w:t>
      </w:r>
      <w:r>
        <w:rPr>
          <w:rFonts w:hint="eastAsia" w:ascii="宋体" w:hAnsi="宋体" w:cs="宋体"/>
          <w:color w:val="000000"/>
          <w:sz w:val="24"/>
          <w:highlight w:val="none"/>
        </w:rPr>
        <w:t>Z7002225000342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理财计划投资协议书》《风险揭示书》《投资者权益须知》《理财计划销售协议书》，将共同构成投资者与管理人之间的理财计划销售文件。</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在本理财计划存续期内，如因监管政策或法律法规发生变化，在不损害投资者利益的前提下，管理人有权对因上述变化导致的本理财计划说明书条款变化进行修订。</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spacing w:line="360" w:lineRule="auto"/>
        <w:jc w:val="left"/>
        <w:rPr>
          <w:rFonts w:hint="eastAsia" w:ascii="宋体" w:hAnsi="宋体" w:cs="宋体"/>
          <w:bCs/>
          <w:sz w:val="24"/>
          <w:highlight w:val="none"/>
        </w:rPr>
      </w:pPr>
    </w:p>
    <w:p>
      <w:pPr>
        <w:numPr>
          <w:ilvl w:val="0"/>
          <w:numId w:val="3"/>
        </w:numPr>
        <w:spacing w:line="360" w:lineRule="auto"/>
        <w:jc w:val="left"/>
        <w:outlineLvl w:val="1"/>
        <w:rPr>
          <w:rFonts w:ascii="宋体" w:hAnsi="宋体" w:cs="宋体"/>
          <w:b/>
          <w:sz w:val="24"/>
          <w:highlight w:val="none"/>
        </w:rPr>
      </w:pPr>
      <w:r>
        <w:rPr>
          <w:rFonts w:hint="eastAsia" w:ascii="宋体" w:hAnsi="宋体" w:cs="宋体"/>
          <w:b/>
          <w:sz w:val="24"/>
          <w:highlight w:val="none"/>
        </w:rPr>
        <w:t>释义</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指杭银理财有限责任公司，主要从事面向不特定社会公众公开发行理财产品、面向合格投资者非公开发行理财产品、理财顾问和咨询服务等相关业务。杭银理财有限责任公司简称杭银理财，官网网站为</w:t>
      </w:r>
      <w:r>
        <w:rPr>
          <w:rFonts w:hint="eastAsia" w:ascii="宋体" w:hAnsi="宋体" w:cs="宋体"/>
          <w:bCs/>
          <w:color w:val="auto"/>
          <w:kern w:val="2"/>
          <w:highlight w:val="none"/>
          <w:u w:val="single"/>
        </w:rPr>
        <w:t>https://www.hzbankwealth.com.cn。</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fldChar w:fldCharType="begin"/>
      </w:r>
      <w:r>
        <w:rPr>
          <w:rFonts w:hint="eastAsia" w:ascii="宋体" w:hAnsi="宋体" w:cs="宋体"/>
          <w:bCs/>
          <w:color w:val="auto"/>
          <w:kern w:val="2"/>
          <w:highlight w:val="none"/>
          <w:u w:val="single"/>
        </w:rPr>
        <w:instrText xml:space="preserve"> HYPERLINK "http://www.hzbank.com.cn" </w:instrText>
      </w:r>
      <w:r>
        <w:fldChar w:fldCharType="separate"/>
      </w:r>
      <w:r>
        <w:rPr>
          <w:rFonts w:hint="eastAsia" w:ascii="宋体" w:hAnsi="宋体" w:cs="宋体"/>
          <w:bCs/>
          <w:color w:val="auto"/>
          <w:kern w:val="2"/>
          <w:highlight w:val="none"/>
          <w:u w:val="single"/>
        </w:rPr>
        <w:t>www.hzbank.com.cn</w:t>
      </w:r>
      <w:r>
        <w:fldChar w:fldCharType="end"/>
      </w:r>
      <w:r>
        <w:rPr>
          <w:rFonts w:hint="eastAsia" w:ascii="宋体" w:hAnsi="宋体" w:cs="宋体"/>
          <w:bCs/>
          <w:color w:val="auto"/>
          <w:kern w:val="2"/>
          <w:highlight w:val="none"/>
        </w:rPr>
        <w:t>，客服热线为95398。</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highlight w:val="none"/>
        </w:rPr>
        <w:t>〖</w:t>
      </w:r>
      <w:r>
        <w:rPr>
          <w:rFonts w:hint="eastAsia" w:ascii="宋体" w:hAnsi="宋体" w:cs="宋体"/>
          <w:bCs/>
          <w:color w:val="auto"/>
          <w:kern w:val="2"/>
          <w:highlight w:val="none"/>
        </w:rPr>
        <w:t>杭州银行股份有限公司</w:t>
      </w:r>
      <w:r>
        <w:rPr>
          <w:rFonts w:hint="eastAsia" w:ascii="宋体" w:hAnsi="宋体" w:cs="宋体"/>
          <w:highlight w:val="none"/>
        </w:rPr>
        <w:t>〗</w:t>
      </w:r>
      <w:r>
        <w:rPr>
          <w:rFonts w:hint="eastAsia" w:ascii="宋体" w:hAnsi="宋体" w:cs="宋体"/>
          <w:bCs/>
          <w:color w:val="auto"/>
          <w:kern w:val="2"/>
          <w:highlight w:val="none"/>
        </w:rPr>
        <w:t>。</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4"/>
        <w:numPr>
          <w:ilvl w:val="0"/>
          <w:numId w:val="5"/>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国家金融监督管理总局、中国证券监督管理委员会、外汇管理局、银行业理财登记托管中心等。</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指《幸福99丰裕固收762天25184期理财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指作为幸福99丰裕固收762天25184期理财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指作为幸福99丰裕固收762天25184期理财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指作为幸福99丰裕固收762天25184期理财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理财计划销售协议书：</w:t>
      </w:r>
      <w:r>
        <w:rPr>
          <w:rFonts w:hint="eastAsia" w:ascii="宋体" w:hAnsi="宋体" w:cs="宋体"/>
          <w:bCs/>
          <w:color w:val="auto"/>
          <w:kern w:val="2"/>
          <w:highlight w:val="none"/>
        </w:rPr>
        <w:t>指作为幸福99丰裕固收762天25184期理财合同不可分割组成部分的理财计划销售协议书，以及对该文件的有效修改与补充。</w:t>
      </w:r>
    </w:p>
    <w:p>
      <w:pPr>
        <w:pStyle w:val="14"/>
        <w:numPr>
          <w:ilvl w:val="0"/>
          <w:numId w:val="6"/>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指《理财计划风险揭示书》《理财计划产品说明书》《投资者权益须知》《理财计划投资协议书》《理财计划销售协议书》五个部分。</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指幸福99丰裕固收762天25184期理财</w:t>
      </w:r>
      <w:r>
        <w:rPr>
          <w:rFonts w:hint="eastAsia" w:ascii="宋体" w:hAnsi="宋体" w:cs="宋体"/>
          <w:bCs/>
          <w:highlight w:val="none"/>
        </w:rPr>
        <w:t>。</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4"/>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4"/>
        <w:numPr>
          <w:ilvl w:val="0"/>
          <w:numId w:val="7"/>
        </w:numPr>
        <w:adjustRightInd/>
        <w:spacing w:line="360" w:lineRule="auto"/>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指〖上海证券交易所、深圳证券交易所〗的正常交易日。如涉及到监管条例部分，统一以监管条例表述替代。</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指理财计划成立后，理财计划不接受投资者申购赎回的时间。</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如因国家相关主管部门临时调整节假日安排，导致原定成立日、到期日、估值日等日期安排发生变化的，原则上采用顺延方式对原定日期进行调整，如有特殊安排，以管理人对外披露的公告为准。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销售服务费、托管人收取的托管费、交易费用、执行费用等相关费用，具体以实际发生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其他费用：</w:t>
      </w:r>
      <w:r>
        <w:rPr>
          <w:rFonts w:hint="eastAsia" w:ascii="宋体" w:hAnsi="宋体" w:cs="宋体"/>
          <w:bCs/>
          <w:highlight w:val="none"/>
        </w:rPr>
        <w:t>指除理财计划费用以外，理财计划涉及的其他相关费用，包括但不限于认购费、申购费、赎回费、投顾费等，具体以本说明书第八条约定为准。</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4"/>
        <w:numPr>
          <w:ilvl w:val="0"/>
          <w:numId w:val="7"/>
        </w:numPr>
        <w:adjustRightInd/>
        <w:spacing w:line="360" w:lineRule="auto"/>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4"/>
        <w:numPr>
          <w:ilvl w:val="0"/>
          <w:numId w:val="7"/>
        </w:numPr>
        <w:adjustRightInd/>
        <w:spacing w:line="360" w:lineRule="auto"/>
        <w:ind w:left="0" w:firstLine="0"/>
        <w:rPr>
          <w:rFonts w:hint="eastAsia" w:ascii="宋体" w:hAnsi="宋体" w:cs="宋体"/>
          <w:b/>
          <w:color w:val="auto"/>
          <w:kern w:val="2"/>
          <w:highlight w:val="none"/>
        </w:rPr>
      </w:pPr>
      <w:r>
        <w:rPr>
          <w:rFonts w:hint="eastAsia" w:ascii="宋体" w:hAnsi="宋体" w:cs="宋体"/>
          <w:b/>
          <w:bCs w:val="0"/>
          <w:color w:val="auto"/>
          <w:kern w:val="2"/>
          <w:highlight w:val="none"/>
          <w:lang w:val="en-US" w:eastAsia="zh-CN"/>
        </w:rPr>
        <w:t>流动性</w:t>
      </w:r>
      <w:r>
        <w:rPr>
          <w:rFonts w:hint="eastAsia"/>
          <w:b/>
          <w:bCs w:val="0"/>
          <w:highlight w:val="none"/>
          <w:lang w:val="en-US" w:eastAsia="zh-CN"/>
        </w:rPr>
        <w:t>受限资产：</w:t>
      </w:r>
      <w:r>
        <w:rPr>
          <w:rFonts w:hint="eastAsia"/>
          <w:highlight w:val="none"/>
          <w:lang w:val="en-US" w:eastAsia="zh-CN"/>
        </w:rPr>
        <w:t>是指由于法律法规、监管、合同或操作障碍等原因无法以合理价格予以变现的资产，包括到期日在</w:t>
      </w:r>
      <w:r>
        <w:rPr>
          <w:rFonts w:hint="eastAsia" w:ascii="宋体" w:hAnsi="宋体" w:eastAsia="宋体" w:cs="宋体"/>
          <w:highlight w:val="none"/>
          <w:lang w:val="en-US" w:eastAsia="zh-CN"/>
        </w:rPr>
        <w:t>10</w:t>
      </w:r>
      <w:r>
        <w:rPr>
          <w:rFonts w:hint="eastAsia"/>
          <w:highlight w:val="none"/>
          <w:lang w:val="en-US" w:eastAsia="zh-CN"/>
        </w:rPr>
        <w:t>个交易日以上的逆回购与银行定期存款（含协议约定有条件提前支取的银行存款）、距可赎回日在</w:t>
      </w:r>
      <w:r>
        <w:rPr>
          <w:rFonts w:hint="eastAsia" w:ascii="宋体" w:hAnsi="宋体" w:eastAsia="宋体" w:cs="宋体"/>
          <w:highlight w:val="none"/>
          <w:lang w:val="en-US" w:eastAsia="zh-CN"/>
        </w:rPr>
        <w:t>10</w:t>
      </w:r>
      <w:r>
        <w:rPr>
          <w:rFonts w:hint="eastAsia"/>
          <w:highlight w:val="none"/>
          <w:lang w:val="en-US" w:eastAsia="zh-CN"/>
        </w:rPr>
        <w:t>个交易日以上的资产管理产品、停牌股票、流通受限的新股及非公开发行股票、资产支持证券（票据），因发行人债务违约无法进行转让或交易的债券和非金融企业债务融资工具，以及其他流动性受限资产。</w:t>
      </w:r>
    </w:p>
    <w:p>
      <w:pPr>
        <w:pStyle w:val="14"/>
        <w:numPr>
          <w:ilvl w:val="0"/>
          <w:numId w:val="7"/>
        </w:numPr>
        <w:adjustRightInd/>
        <w:spacing w:line="360" w:lineRule="auto"/>
        <w:ind w:left="0" w:firstLine="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14"/>
        <w:numPr>
          <w:ilvl w:val="0"/>
          <w:numId w:val="4"/>
        </w:numPr>
        <w:adjustRightInd/>
        <w:spacing w:line="360" w:lineRule="auto"/>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4"/>
        <w:numPr>
          <w:ilvl w:val="0"/>
          <w:numId w:val="8"/>
        </w:numPr>
        <w:adjustRightInd/>
        <w:spacing w:line="360" w:lineRule="auto"/>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4"/>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4"/>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4"/>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14"/>
        <w:numPr>
          <w:ilvl w:val="0"/>
          <w:numId w:val="9"/>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14"/>
        <w:adjustRightInd/>
        <w:spacing w:line="360" w:lineRule="auto"/>
        <w:rPr>
          <w:rFonts w:hint="eastAsia" w:ascii="宋体" w:hAnsi="宋体" w:cs="宋体"/>
          <w:bCs/>
          <w:color w:val="auto"/>
          <w:kern w:val="2"/>
          <w:highlight w:val="none"/>
        </w:rPr>
      </w:pPr>
    </w:p>
    <w:p>
      <w:pPr>
        <w:pStyle w:val="1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4"/>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cs="宋体"/>
          <w:b/>
          <w:highlight w:val="none"/>
        </w:rPr>
        <w:t>R2</w:t>
      </w:r>
      <w:r>
        <w:rPr>
          <w:rFonts w:hint="eastAsia" w:ascii="宋体" w:hAnsi="宋体" w:cs="宋体"/>
          <w:b/>
          <w:color w:val="auto"/>
          <w:kern w:val="2"/>
          <w:highlight w:val="none"/>
        </w:rPr>
        <w:t>〗，〖</w:t>
      </w:r>
      <w:r>
        <w:rPr>
          <w:rFonts w:hint="eastAsia" w:ascii="宋体" w:hAnsi="宋体" w:cs="宋体"/>
          <w:b/>
          <w:highlight w:val="none"/>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8"/>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7"/>
        <w:gridCol w:w="1502"/>
        <w:gridCol w:w="5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内部风险评级</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风险程度</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R1</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低</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保守型、稳健型、平衡型、成长型、进取型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R2</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中低</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稳健型、平衡型、成长型、进取型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R3</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平衡型、成长型、进取型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R4</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中高</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857"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R5</w:t>
            </w:r>
          </w:p>
        </w:tc>
        <w:tc>
          <w:tcPr>
            <w:tcW w:w="1502"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高</w:t>
            </w:r>
          </w:p>
        </w:tc>
        <w:tc>
          <w:tcPr>
            <w:tcW w:w="5163" w:type="dxa"/>
            <w:noWrap w:val="0"/>
            <w:vAlign w:val="top"/>
          </w:tcPr>
          <w:p>
            <w:pPr>
              <w:pStyle w:val="14"/>
              <w:widowControl w:val="0"/>
              <w:autoSpaceDE w:val="0"/>
              <w:autoSpaceDN w:val="0"/>
              <w:adjustRightInd/>
              <w:spacing w:line="360" w:lineRule="auto"/>
              <w:jc w:val="center"/>
              <w:rPr>
                <w:rFonts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进取型</w:t>
            </w:r>
          </w:p>
        </w:tc>
      </w:tr>
    </w:tbl>
    <w:p>
      <w:pPr>
        <w:pStyle w:val="14"/>
        <w:adjustRightInd/>
        <w:spacing w:line="360" w:lineRule="auto"/>
        <w:ind w:firstLine="480" w:firstLineChars="200"/>
        <w:rPr>
          <w:rFonts w:ascii="宋体" w:hAnsi="宋体" w:cs="宋体"/>
          <w:bCs/>
          <w:color w:val="auto"/>
          <w:kern w:val="2"/>
          <w:highlight w:val="none"/>
        </w:rPr>
      </w:pPr>
      <w:r>
        <w:rPr>
          <w:rFonts w:hint="eastAsia" w:ascii="宋体" w:hAnsi="宋体" w:cs="宋体"/>
          <w:bCs/>
          <w:color w:val="auto"/>
          <w:kern w:val="2"/>
          <w:highlight w:val="none"/>
        </w:rPr>
        <w:t>投资者风险承受能力评级水平以销售机构评估为准。</w:t>
      </w:r>
    </w:p>
    <w:p>
      <w:pPr>
        <w:pStyle w:val="14"/>
        <w:adjustRightInd/>
        <w:spacing w:line="360" w:lineRule="auto"/>
        <w:rPr>
          <w:rFonts w:hint="eastAsia" w:ascii="宋体" w:hAnsi="宋体" w:cs="宋体"/>
          <w:bCs/>
          <w:color w:val="auto"/>
          <w:kern w:val="2"/>
          <w:highlight w:val="none"/>
        </w:rPr>
      </w:pPr>
    </w:p>
    <w:p>
      <w:pPr>
        <w:pStyle w:val="14"/>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8"/>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产品名称</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幸福99丰裕固收762天25184期理财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产品简称</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丰裕固收25184期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产品编号</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〖FYG25184〗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登记编码</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本理财计划在全国银行业理财信息登记系统的登记编码是〖Z7002225000342〗，投资者可依据该编码在“中国理财网（www.chinawealth.com.cn）”查询本理财计划信息。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发行对象</w:t>
            </w:r>
          </w:p>
        </w:tc>
        <w:tc>
          <w:tcPr>
            <w:tcW w:w="7185" w:type="dxa"/>
            <w:noWrap w:val="0"/>
            <w:vAlign w:val="center"/>
          </w:tcPr>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本理财计划适合</w:t>
            </w:r>
            <w:r>
              <w:rPr>
                <w:rFonts w:hint="eastAsia" w:ascii="宋体" w:hAnsi="宋体" w:eastAsia="宋体" w:cs="宋体"/>
                <w:b/>
                <w:kern w:val="2"/>
                <w:sz w:val="21"/>
                <w:szCs w:val="21"/>
                <w:highlight w:val="none"/>
                <w:lang w:val="en-US" w:eastAsia="zh-CN" w:bidi="ar-SA"/>
              </w:rPr>
              <w:t>〖</w:t>
            </w:r>
            <w:r>
              <w:rPr>
                <w:rFonts w:hint="eastAsia" w:ascii="宋体" w:hAnsi="宋体" w:eastAsia="宋体" w:cs="宋体"/>
                <w:b/>
                <w:color w:val="000000"/>
                <w:kern w:val="2"/>
                <w:sz w:val="21"/>
                <w:szCs w:val="21"/>
                <w:highlight w:val="none"/>
                <w:lang w:val="en-US" w:eastAsia="zh-CN" w:bidi="ar-SA"/>
              </w:rPr>
              <w:t>机构投资者〗以及〖稳健型、平衡型、成长型、进取型〗的个人投资者。</w:t>
            </w:r>
            <w:r>
              <w:rPr>
                <w:rFonts w:hint="eastAsia" w:ascii="宋体" w:hAnsi="宋体" w:eastAsia="宋体" w:cs="宋体"/>
                <w:bCs/>
                <w:kern w:val="2"/>
                <w:sz w:val="21"/>
                <w:szCs w:val="24"/>
                <w:highlight w:val="none"/>
                <w:lang w:val="en-US" w:eastAsia="zh-CN" w:bidi="ar-SA"/>
              </w:rPr>
              <w:t>投资者风险承受能力评级水平以销售机构评估为准。</w:t>
            </w:r>
          </w:p>
          <w:p>
            <w:pPr>
              <w:widowControl/>
              <w:spacing w:line="300" w:lineRule="auto"/>
              <w:contextualSpacing/>
              <w:jc w:val="both"/>
              <w:rPr>
                <w:rFonts w:hint="eastAsia" w:ascii="宋体" w:hAnsi="宋体" w:eastAsia="宋体" w:cs="黑体"/>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其中：</w:t>
            </w:r>
            <w:r>
              <w:rPr>
                <w:rFonts w:hint="eastAsia" w:ascii="宋体" w:hAnsi="宋体" w:eastAsia="宋体" w:cs="黑体"/>
                <w:color w:val="000000"/>
                <w:kern w:val="2"/>
                <w:sz w:val="21"/>
                <w:szCs w:val="21"/>
                <w:highlight w:val="none"/>
                <w:lang w:val="en-US" w:eastAsia="zh-CN" w:bidi="ar-SA"/>
              </w:rPr>
              <w:t xml:space="preserve"> </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bCs/>
                <w:color w:val="000000"/>
                <w:kern w:val="2"/>
                <w:sz w:val="21"/>
                <w:szCs w:val="21"/>
                <w:highlight w:val="none"/>
                <w:lang w:val="en-US" w:eastAsia="zh-CN" w:bidi="ar-SA"/>
              </w:rPr>
              <w:t>A份额（销售代码〖FYG25184A〗）：普通个人投资者和机构客户。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B份额（销售代码〖FYG25184B〗）：普通个人投资者和机构客户。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C份额（销售代码〖FYG25184C〗）：普通个人投资者和机构客户。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D份额（销售代码〖FYG25184D〗）：普通个人投资者和机构客户。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E份额（幸福金桂行庆专属）（销售代码〖FYG25184E〗）：普通个人投资者和机构客户。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F份额（幸福金桂行庆专属）（销售代码〖FYG25184F〗）：普通个人投资者和机构客户。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H份额（汉口银行专属）（销售代码〖FYG25184H〗）：普通个人投资者和机构客户。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I份额（爽盈优选）（销售代码〖FYG25184I〗）：普通个人投资者和机构客户。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P份额（芙蓉锦程·优选）（销售代码〖FYG25184P〗）：普通个人投资者和机构客户。</w:t>
            </w:r>
            <w:r>
              <w:rPr>
                <w:rFonts w:hint="eastAsia" w:ascii="宋体" w:hAnsi="宋体" w:eastAsia="宋体" w:cs="宋体"/>
                <w:bCs/>
                <w:color w:val="000000"/>
                <w:kern w:val="2"/>
                <w:sz w:val="21"/>
                <w:szCs w:val="21"/>
                <w:highlight w:val="none"/>
                <w:lang w:val="en-US" w:eastAsia="zh-CN" w:bidi="ar-SA"/>
              </w:rPr>
              <w:br w:type="textWrapping"/>
            </w:r>
            <w:r>
              <w:rPr>
                <w:rFonts w:hint="eastAsia" w:ascii="宋体" w:hAnsi="宋体" w:eastAsia="宋体" w:cs="宋体"/>
                <w:bCs/>
                <w:color w:val="000000"/>
                <w:kern w:val="2"/>
                <w:sz w:val="21"/>
                <w:szCs w:val="21"/>
                <w:highlight w:val="none"/>
                <w:lang w:val="en-US" w:eastAsia="zh-CN" w:bidi="ar-SA"/>
              </w:rPr>
              <w:t>Q份额（芙蓉锦程·优选-尊享款）（销售代码〖FYG25184Q〗）：普通个人投资者和机构客户。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产品类型</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〖固定收益类〗</w:t>
            </w:r>
            <w:r>
              <w:rPr>
                <w:rFonts w:hint="eastAsia" w:ascii="宋体" w:hAnsi="宋体" w:eastAsia="宋体" w:cs="宋体"/>
                <w:color w:val="000000"/>
                <w:kern w:val="2"/>
                <w:sz w:val="21"/>
                <w:szCs w:val="21"/>
                <w:highlight w:val="none"/>
                <w:lang w:val="en-US" w:eastAsia="zh-CN" w:bidi="ar-SA"/>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运作模式</w:t>
            </w:r>
          </w:p>
        </w:tc>
        <w:tc>
          <w:tcPr>
            <w:tcW w:w="7185" w:type="dxa"/>
            <w:noWrap w:val="0"/>
            <w:vAlign w:val="center"/>
          </w:tcPr>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封闭式净值型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分级产品</w:t>
            </w:r>
          </w:p>
        </w:tc>
        <w:tc>
          <w:tcPr>
            <w:tcW w:w="7185" w:type="dxa"/>
            <w:noWrap w:val="0"/>
            <w:vAlign w:val="center"/>
          </w:tcPr>
          <w:p>
            <w:pPr>
              <w:widowControl/>
              <w:spacing w:line="360" w:lineRule="auto"/>
              <w:contextualSpacing/>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销售范围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全国</w:t>
            </w:r>
            <w:r>
              <w:rPr>
                <w:rFonts w:hint="eastAsia" w:ascii="宋体" w:hAnsi="宋体" w:eastAsia="宋体" w:cs="宋体"/>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可通过杭银理财直销渠道和代理销售机构的</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营业网点、网上银行、手机银行</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等渠道购买，通过代理销售机构购买的，具体销售渠道以代理销售机构披露为准。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交易币种</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发行规模上限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〖2025〗年〖9〗月〖25〗日-〖2025〗年〖10〗月〖9〗日</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认购时间</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认购期首日〖9：00〗至认购结束日〖17：00〗</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成立日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〖2025〗年〖10〗月〖10〗日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到期日</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〖2027〗年〖11〗月〖11〗日，若到期日为非工作日则顺延至下一个工作日。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理财期限</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〖762〗天（实际理财期限受制于管理人提前终止权等条款）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认购起点金额</w:t>
            </w:r>
          </w:p>
        </w:tc>
        <w:tc>
          <w:tcPr>
            <w:tcW w:w="7185" w:type="dxa"/>
            <w:noWrap w:val="0"/>
            <w:vAlign w:val="center"/>
          </w:tcPr>
          <w:p>
            <w:pPr>
              <w:widowControl/>
              <w:spacing w:line="360" w:lineRule="auto"/>
              <w:contextualSpacing/>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〖A份额〗起点〖1〗元整，超过认购起点部分，应为〖1〗元的整数倍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〖B份额〗起点〖1〗元整，超过认购起点部分，应为〖1〗元的整数倍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〖C份额〗起点〖1〗元整，超过认购起点部分，应为〖1〗元的整数倍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〖D份额〗起点〖1〗元整，超过认购起点部分，应为〖1〗元的整数倍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〖E份额〗起点〖1〗元整，超过认购起点部分，应为〖1〗元的整数倍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〖F份额〗起点〖1〗元整，超过认购起点部分，应为〖1〗元的整数倍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〖H份额〗起点〖1〗元整，超过认购起点部分，应为〖1〗元的整数倍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〖I份额〗起点〖1〗元整，超过认购起点部分，应为〖1〗元的整数倍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〖P份额〗起点〖1〗元整，超过认购起点部分，应为〖1〗元的整数倍</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〖Q份额〗起点〖1〗元整，超过认购起点部分，应为〖1〗元的整数倍</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产品成立</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kern w:val="2"/>
                <w:sz w:val="21"/>
                <w:szCs w:val="21"/>
                <w:highlight w:val="none"/>
                <w:lang w:val="en-US" w:eastAsia="zh-CN" w:bidi="ar-SA"/>
              </w:rPr>
              <w:t>〖3000〗</w:t>
            </w:r>
            <w:r>
              <w:rPr>
                <w:rFonts w:hint="eastAsia" w:ascii="宋体" w:hAnsi="宋体" w:eastAsia="宋体" w:cs="宋体"/>
                <w:color w:val="000000"/>
                <w:kern w:val="2"/>
                <w:sz w:val="21"/>
                <w:szCs w:val="21"/>
                <w:highlight w:val="none"/>
                <w:lang w:val="en-US" w:eastAsia="zh-CN" w:bidi="ar-SA"/>
              </w:rPr>
              <w:t>万元，则管理人可宣布本理财计划不成立并在原定理财计划成立日后</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2</w:t>
            </w:r>
            <w:r>
              <w:rPr>
                <w:rFonts w:hint="eastAsia" w:ascii="宋体" w:hAnsi="宋体" w:eastAsia="宋体" w:cs="宋体"/>
                <w:kern w:val="2"/>
                <w:sz w:val="21"/>
                <w:szCs w:val="21"/>
                <w:highlight w:val="none"/>
                <w:lang w:val="en-US" w:eastAsia="zh-CN" w:bidi="ar-SA"/>
              </w:rPr>
              <w:t>〗</w:t>
            </w:r>
            <w:r>
              <w:rPr>
                <w:rFonts w:hint="eastAsia" w:ascii="宋体" w:hAnsi="宋体" w:eastAsia="宋体" w:cs="宋体"/>
                <w:color w:val="000000"/>
                <w:kern w:val="2"/>
                <w:sz w:val="21"/>
                <w:szCs w:val="21"/>
                <w:highlight w:val="none"/>
                <w:lang w:val="en-US" w:eastAsia="zh-CN" w:bidi="ar-SA"/>
              </w:rPr>
              <w:t>个工作日内通过管理人或销售机构发布不成立信息，投资者购买的理财资金将在原定成立日后2个工作日内划转至投资者指定理财账户，</w:t>
            </w:r>
            <w:r>
              <w:rPr>
                <w:rFonts w:hint="eastAsia" w:ascii="宋体" w:hAnsi="宋体" w:eastAsia="宋体" w:cs="宋体"/>
                <w:b/>
                <w:color w:val="000000"/>
                <w:kern w:val="2"/>
                <w:sz w:val="21"/>
                <w:szCs w:val="21"/>
                <w:highlight w:val="none"/>
                <w:lang w:val="en-US" w:eastAsia="zh-CN" w:bidi="ar-SA"/>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单户限额</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单户持有份额不得超过理财计划总份额的50%。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单位净值=理财计划估值日理财计划总净值÷理财计划总份额，单位净值保留小数点后四位，四舍五入。</w:t>
            </w:r>
          </w:p>
          <w:p>
            <w:pPr>
              <w:widowControl/>
              <w:spacing w:line="360" w:lineRule="auto"/>
              <w:contextualSpacing/>
              <w:jc w:val="both"/>
              <w:rPr>
                <w:rFonts w:hint="eastAsia" w:ascii="宋体" w:hAnsi="宋体" w:eastAsia="宋体" w:cs="宋体"/>
                <w:b/>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理财计划总净值=理财计划认购总额+理财计划所获总收益-理财计划总费用（包括但不限于固定管理费、托管费、销售服务费、浮动管理费等）。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资金与收益支付方式</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理财计划到期后，最快</w:t>
            </w:r>
            <w:r>
              <w:rPr>
                <w:rFonts w:hint="eastAsia" w:ascii="宋体" w:hAnsi="宋体" w:eastAsia="宋体" w:cs="宋体"/>
                <w:kern w:val="2"/>
                <w:sz w:val="21"/>
                <w:szCs w:val="21"/>
                <w:highlight w:val="none"/>
                <w:lang w:val="en-US" w:eastAsia="zh-CN" w:bidi="ar-SA"/>
              </w:rPr>
              <w:t>〖1〗</w:t>
            </w:r>
            <w:r>
              <w:rPr>
                <w:rFonts w:hint="eastAsia" w:ascii="宋体" w:hAnsi="宋体" w:eastAsia="宋体" w:cs="宋体"/>
                <w:color w:val="000000"/>
                <w:kern w:val="2"/>
                <w:sz w:val="21"/>
                <w:szCs w:val="21"/>
                <w:highlight w:val="none"/>
                <w:lang w:val="en-US" w:eastAsia="zh-CN" w:bidi="ar-SA"/>
              </w:rPr>
              <w:t>个工作日，最晚</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color w:val="000000"/>
                <w:kern w:val="2"/>
                <w:sz w:val="21"/>
                <w:szCs w:val="21"/>
                <w:highlight w:val="none"/>
                <w:lang w:val="en-US" w:eastAsia="zh-CN" w:bidi="ar-SA"/>
              </w:rPr>
              <w:t>个工作日内（遇节假日顺延）支付。如遇资金在途或法定工作日调整，实际资金到账日以公告为准。</w:t>
            </w:r>
            <w:r>
              <w:rPr>
                <w:rFonts w:hint="eastAsia" w:ascii="宋体" w:hAnsi="宋体" w:eastAsia="宋体" w:cs="宋体"/>
                <w:color w:val="000000"/>
                <w:kern w:val="0"/>
                <w:sz w:val="21"/>
                <w:szCs w:val="21"/>
                <w:highlight w:val="none"/>
                <w:lang w:val="en-US" w:eastAsia="zh-CN" w:bidi="ar-SA"/>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业绩比较基准</w:t>
            </w:r>
          </w:p>
        </w:tc>
        <w:tc>
          <w:tcPr>
            <w:tcW w:w="7185" w:type="dxa"/>
            <w:noWrap w:val="0"/>
            <w:vAlign w:val="center"/>
          </w:tcPr>
          <w:p>
            <w:pPr>
              <w:widowControl/>
              <w:spacing w:line="360" w:lineRule="auto"/>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本理财计划〖A份额〗业绩比较基准为〖2.75%-3.05%〗（年化）。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本理财计划〖B份额〗业绩比较基准为〖2.85%-3.15%〗（年化）。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本理财计划〖C份额〗业绩比较基准为〖2.95%-3.25%〗（年化）。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本理财计划〖D份额〗业绩比较基准为〖2.90%-3.20%〗（年化）。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本理财计划〖E份额〗业绩比较基准为〖2.85%-3.15%〗（年化）。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本理财计划〖F份额〗业绩比较基准为〖2.90%-3.20%〗（年化）。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本理财计划〖H份额〗业绩比较基准为〖2.80%-3.10%〗（年化）。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本理财计划〖I份额〗业绩比较基准为〖2.75%-3.05%〗（年化）。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本理财计划〖P份额〗业绩比较基准为〖2.90%-3.20%〗（年化）。</w:t>
            </w:r>
            <w:r>
              <w:rPr>
                <w:rFonts w:hint="eastAsia" w:ascii="宋体" w:hAnsi="宋体" w:eastAsia="宋体" w:cs="宋体"/>
                <w:kern w:val="2"/>
                <w:sz w:val="21"/>
                <w:szCs w:val="21"/>
                <w:highlight w:val="none"/>
                <w:lang w:val="en-US" w:eastAsia="zh-CN" w:bidi="ar-SA"/>
              </w:rPr>
              <w:br w:type="textWrapping"/>
            </w:r>
            <w:r>
              <w:rPr>
                <w:rFonts w:hint="eastAsia" w:ascii="宋体" w:hAnsi="宋体" w:eastAsia="宋体" w:cs="宋体"/>
                <w:kern w:val="2"/>
                <w:sz w:val="21"/>
                <w:szCs w:val="21"/>
                <w:highlight w:val="none"/>
                <w:lang w:val="en-US" w:eastAsia="zh-CN" w:bidi="ar-SA"/>
              </w:rPr>
              <w:t>本理财计划〖Q份额〗业绩比较基准为〖3.00%-3.30%〗（年化）。</w:t>
            </w:r>
          </w:p>
          <w:p>
            <w:pPr>
              <w:widowControl/>
              <w:spacing w:line="360" w:lineRule="auto"/>
              <w:jc w:val="left"/>
              <w:rPr>
                <w:rFonts w:hint="eastAsia" w:ascii="宋体" w:hAnsi="宋体" w:eastAsia="宋体" w:cs="宋体"/>
                <w:b/>
                <w:bCs/>
                <w:kern w:val="2"/>
                <w:sz w:val="21"/>
                <w:szCs w:val="21"/>
                <w:highlight w:val="none"/>
                <w:lang w:val="en-US" w:eastAsia="zh-CN" w:bidi="ar-SA"/>
              </w:rPr>
            </w:pPr>
            <w:r>
              <w:rPr>
                <w:rFonts w:hint="eastAsia" w:ascii="宋体" w:hAnsi="宋体" w:eastAsia="宋体" w:cs="宋体"/>
                <w:b/>
                <w:bCs/>
                <w:kern w:val="2"/>
                <w:sz w:val="21"/>
                <w:szCs w:val="21"/>
                <w:highlight w:val="none"/>
                <w:lang w:val="en-US" w:eastAsia="zh-CN" w:bidi="ar-SA"/>
              </w:rPr>
              <w:t>业绩基准测算依据：本理财计划重点投资于货币市场工具、债券、非标准化债权类资产等资产，管理人根据固定收益市场历史表现，结合当前利率水平、资产配比及市场同类型产品情况，经综合判断得出。</w:t>
            </w:r>
          </w:p>
          <w:p>
            <w:pPr>
              <w:widowControl/>
              <w:spacing w:line="360" w:lineRule="auto"/>
              <w:jc w:val="left"/>
              <w:rPr>
                <w:rFonts w:hint="eastAsia" w:ascii="宋体" w:hAnsi="宋体" w:eastAsia="宋体" w:cs="宋体"/>
                <w:b/>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管理人有权根据市场情况及理财计划运作情况调整业绩基准，并至少于新业绩基准启用前</w:t>
            </w:r>
            <w:r>
              <w:rPr>
                <w:rFonts w:hint="eastAsia" w:ascii="宋体" w:hAnsi="宋体" w:eastAsia="宋体" w:cs="宋体"/>
                <w:kern w:val="0"/>
                <w:sz w:val="21"/>
                <w:szCs w:val="24"/>
                <w:highlight w:val="none"/>
                <w:lang w:val="en-US" w:eastAsia="zh-CN" w:bidi="ar-SA"/>
              </w:rPr>
              <w:t>〖2〗</w:t>
            </w:r>
            <w:r>
              <w:rPr>
                <w:rFonts w:hint="eastAsia" w:ascii="宋体" w:hAnsi="宋体" w:eastAsia="宋体" w:cs="宋体"/>
                <w:kern w:val="2"/>
                <w:sz w:val="21"/>
                <w:szCs w:val="21"/>
                <w:highlight w:val="none"/>
                <w:lang w:val="en-US" w:eastAsia="zh-CN" w:bidi="ar-SA"/>
              </w:rPr>
              <w:t>个工作日公告。</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kern w:val="2"/>
                <w:sz w:val="21"/>
                <w:szCs w:val="21"/>
                <w:highlight w:val="none"/>
                <w:lang w:val="en-US" w:eastAsia="zh-CN" w:bidi="ar-SA"/>
              </w:rPr>
              <w:t>本理财计划为净值型理财产品，其业绩表现将随市场波动具有不确定性。本公司提醒投资者关注，业绩比较基准不是预期收益率，并不代表理财计划的未来表现和实际收益率，不构成对理财计划收益的承诺。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产品费用</w:t>
            </w:r>
          </w:p>
        </w:tc>
        <w:tc>
          <w:tcPr>
            <w:tcW w:w="7185" w:type="dxa"/>
            <w:noWrap w:val="0"/>
            <w:vAlign w:val="center"/>
          </w:tcPr>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1.销售服务费：〖A份额〗收取年化〖0.30%〗的销售服务费, 〖B份额〗收取年化〖0.20%〗的销售服务费, 〖C份额〗收取年化〖0.10%〗的销售服务费, 〖D份额〗收取年化〖0.15%〗的销售服务费, 〖E份额〗收取年化〖0.20%〗的销售服务费, 〖F份额〗收取年化〖0.15%〗的销售服务费, 〖H份额〗收取年化〖0.25%〗的销售服务费, 〖I份额〗收取年化〖0.30%〗的销售服务费, 〖P份额〗收取年化〖0.15%〗的销售服务费, 〖Q份额〗收取年化〖0.05%〗的销售服务费。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2.托管费：收取年化</w:t>
            </w:r>
            <w:r>
              <w:rPr>
                <w:rFonts w:hint="eastAsia" w:ascii="宋体" w:hAnsi="宋体" w:eastAsia="宋体" w:cs="宋体"/>
                <w:kern w:val="2"/>
                <w:sz w:val="21"/>
                <w:szCs w:val="21"/>
                <w:highlight w:val="none"/>
                <w:lang w:val="en-US" w:eastAsia="zh-CN" w:bidi="ar-SA"/>
              </w:rPr>
              <w:t>〖0.025%〗</w:t>
            </w:r>
            <w:r>
              <w:rPr>
                <w:rFonts w:hint="eastAsia" w:ascii="宋体" w:hAnsi="宋体" w:eastAsia="宋体" w:cs="宋体"/>
                <w:color w:val="000000"/>
                <w:kern w:val="2"/>
                <w:sz w:val="21"/>
                <w:szCs w:val="21"/>
                <w:highlight w:val="none"/>
                <w:lang w:val="en-US" w:eastAsia="zh-CN" w:bidi="ar-SA"/>
              </w:rPr>
              <w:t>的托管费。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3.固定管理费：〖A份额〗收取年化〖0.05%〗的固定管理费, 〖B份额〗收取年化〖0.05%〗的固定管理费, 〖C份额〗收取年化〖0.05%〗的固定管理费, 〖D份额〗收取年化〖0.05%〗的固定管理费, 〖E份额〗收取年化〖0.05%〗的固定管理费, 〖F份额〗收取年化〖0.05%〗的固定管理费, 〖H份额〗收取年化〖0.05%〗的固定管理费, 〖I份额〗收取年化〖0.05%〗的固定管理费, 〖P份额〗收取年化〖0.05%〗的固定管理费, 〖Q份额〗收取年化〖0.05%〗的固定管理费。</w:t>
            </w:r>
          </w:p>
          <w:p>
            <w:pPr>
              <w:widowControl/>
              <w:spacing w:line="360" w:lineRule="auto"/>
              <w:contextualSpacing/>
              <w:jc w:val="both"/>
              <w:rPr>
                <w:rFonts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4.认购费：本理财计划免除认购费。</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5.浮动管理费：管理人根据理财计划投资情况计算浮动管理费，本理财计划份额到期日（提前终止日）的折合年化收益率在〖业绩比较基准下限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至上限</w:t>
            </w:r>
            <w:r>
              <w:rPr>
                <w:rFonts w:hint="eastAsia" w:ascii="宋体" w:hAnsi="宋体" w:eastAsia="宋体" w:cs="宋体"/>
                <w:kern w:val="2"/>
                <w:sz w:val="21"/>
                <w:szCs w:val="21"/>
                <w:highlight w:val="none"/>
                <w:lang w:val="en-US" w:eastAsia="zh-CN" w:bidi="ar-SA"/>
              </w:rPr>
              <w:t>（含）</w:t>
            </w:r>
            <w:r>
              <w:rPr>
                <w:rFonts w:hint="eastAsia" w:ascii="宋体" w:hAnsi="宋体" w:eastAsia="宋体" w:cs="宋体"/>
                <w:color w:val="000000"/>
                <w:kern w:val="2"/>
                <w:sz w:val="21"/>
                <w:szCs w:val="21"/>
                <w:highlight w:val="none"/>
                <w:lang w:val="en-US" w:eastAsia="zh-CN" w:bidi="ar-SA"/>
              </w:rPr>
              <w:t>〗的部分,</w:t>
            </w:r>
            <w:r>
              <w:rPr>
                <w:rFonts w:hint="eastAsia" w:ascii="宋体" w:hAnsi="宋体" w:eastAsia="宋体" w:cs="宋体"/>
                <w:b/>
                <w:color w:val="000000"/>
                <w:kern w:val="2"/>
                <w:sz w:val="21"/>
                <w:szCs w:val="21"/>
                <w:highlight w:val="none"/>
                <w:lang w:val="en-US" w:eastAsia="zh-CN" w:bidi="ar-SA"/>
              </w:rPr>
              <w:t>管理人提取</w:t>
            </w:r>
            <w:r>
              <w:rPr>
                <w:rFonts w:hint="eastAsia" w:ascii="宋体" w:hAnsi="宋体" w:eastAsia="宋体" w:cs="宋体"/>
                <w:b/>
                <w:kern w:val="2"/>
                <w:sz w:val="21"/>
                <w:szCs w:val="21"/>
                <w:highlight w:val="none"/>
                <w:lang w:val="en-US" w:eastAsia="zh-CN" w:bidi="ar-SA"/>
              </w:rPr>
              <w:t>〖50%〗</w:t>
            </w:r>
            <w:r>
              <w:rPr>
                <w:rFonts w:hint="eastAsia" w:ascii="宋体" w:hAnsi="宋体" w:eastAsia="宋体" w:cs="宋体"/>
                <w:b/>
                <w:color w:val="000000"/>
                <w:kern w:val="2"/>
                <w:sz w:val="21"/>
                <w:szCs w:val="21"/>
                <w:highlight w:val="none"/>
                <w:lang w:val="en-US" w:eastAsia="zh-CN" w:bidi="ar-SA"/>
              </w:rPr>
              <w:t>作为浮动管理费</w:t>
            </w:r>
            <w:r>
              <w:rPr>
                <w:rFonts w:hint="eastAsia" w:ascii="宋体" w:hAnsi="宋体" w:eastAsia="宋体" w:cs="宋体"/>
                <w:bCs/>
                <w:color w:val="000000"/>
                <w:kern w:val="2"/>
                <w:sz w:val="21"/>
                <w:szCs w:val="21"/>
                <w:highlight w:val="none"/>
                <w:lang w:val="en-US" w:eastAsia="zh-CN" w:bidi="ar-SA"/>
              </w:rPr>
              <w:t>,在超过〖</w:t>
            </w:r>
            <w:r>
              <w:rPr>
                <w:rFonts w:hint="eastAsia" w:ascii="宋体" w:hAnsi="宋体" w:eastAsia="宋体" w:cs="宋体"/>
                <w:bCs/>
                <w:kern w:val="2"/>
                <w:sz w:val="21"/>
                <w:szCs w:val="21"/>
                <w:highlight w:val="none"/>
                <w:lang w:val="en-US" w:eastAsia="zh-CN" w:bidi="ar-SA"/>
              </w:rPr>
              <w:t>业绩比较基准上限</w:t>
            </w:r>
            <w:r>
              <w:rPr>
                <w:rFonts w:hint="eastAsia" w:ascii="宋体" w:hAnsi="宋体" w:eastAsia="宋体" w:cs="宋体"/>
                <w:bCs/>
                <w:color w:val="000000"/>
                <w:kern w:val="2"/>
                <w:sz w:val="21"/>
                <w:szCs w:val="21"/>
                <w:highlight w:val="none"/>
                <w:lang w:val="en-US" w:eastAsia="zh-CN" w:bidi="ar-SA"/>
              </w:rPr>
              <w:t>〗的部分,</w:t>
            </w:r>
            <w:r>
              <w:rPr>
                <w:rFonts w:hint="eastAsia" w:ascii="宋体" w:hAnsi="宋体" w:eastAsia="宋体" w:cs="宋体"/>
                <w:b/>
                <w:color w:val="000000"/>
                <w:kern w:val="2"/>
                <w:sz w:val="21"/>
                <w:szCs w:val="21"/>
                <w:highlight w:val="none"/>
                <w:lang w:val="en-US" w:eastAsia="zh-CN" w:bidi="ar-SA"/>
              </w:rPr>
              <w:t>管理人提取</w:t>
            </w:r>
            <w:r>
              <w:rPr>
                <w:rFonts w:hint="eastAsia" w:ascii="宋体" w:hAnsi="宋体" w:eastAsia="宋体" w:cs="宋体"/>
                <w:b/>
                <w:kern w:val="2"/>
                <w:sz w:val="21"/>
                <w:szCs w:val="21"/>
                <w:highlight w:val="none"/>
                <w:lang w:val="en-US" w:eastAsia="zh-CN" w:bidi="ar-SA"/>
              </w:rPr>
              <w:t>〖80%〗</w:t>
            </w:r>
            <w:r>
              <w:rPr>
                <w:rFonts w:hint="eastAsia" w:ascii="宋体" w:hAnsi="宋体" w:eastAsia="宋体" w:cs="宋体"/>
                <w:b/>
                <w:color w:val="000000"/>
                <w:kern w:val="2"/>
                <w:sz w:val="21"/>
                <w:szCs w:val="21"/>
                <w:highlight w:val="none"/>
                <w:lang w:val="en-US" w:eastAsia="zh-CN" w:bidi="ar-SA"/>
              </w:rPr>
              <w:t>作为浮动管理费</w:t>
            </w:r>
            <w:r>
              <w:rPr>
                <w:rFonts w:hint="eastAsia" w:ascii="宋体" w:hAnsi="宋体" w:eastAsia="宋体" w:cs="宋体"/>
                <w:bCs/>
                <w:color w:val="000000"/>
                <w:kern w:val="2"/>
                <w:sz w:val="21"/>
                <w:szCs w:val="21"/>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提前终止</w:t>
            </w:r>
          </w:p>
        </w:tc>
        <w:tc>
          <w:tcPr>
            <w:tcW w:w="7185" w:type="dxa"/>
            <w:noWrap w:val="0"/>
            <w:vAlign w:val="center"/>
          </w:tcPr>
          <w:p>
            <w:pPr>
              <w:widowControl/>
              <w:spacing w:line="360" w:lineRule="auto"/>
              <w:contextualSpacing/>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0"/>
                <w:sz w:val="21"/>
                <w:szCs w:val="21"/>
                <w:highlight w:val="none"/>
                <w:lang w:val="en-US" w:eastAsia="zh-CN" w:bidi="ar-SA"/>
              </w:rPr>
              <w:t>如遇国家金融政策出现重大调整并影响到本理财计划的正常运行的、市场收益率大幅波动可能或实质影响理财计划收益等情况，管理人有权提前终止本理财计划。具体参见说明书“交易规则”部分。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税费规定</w:t>
            </w:r>
          </w:p>
        </w:tc>
        <w:tc>
          <w:tcPr>
            <w:tcW w:w="7185" w:type="dxa"/>
            <w:noWrap w:val="0"/>
            <w:vAlign w:val="center"/>
          </w:tcPr>
          <w:p>
            <w:pPr>
              <w:widowControl w:val="0"/>
              <w:spacing w:line="360" w:lineRule="auto"/>
              <w:jc w:val="both"/>
              <w:outlineLvl w:val="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jc w:val="both"/>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融资服务</w:t>
            </w:r>
          </w:p>
        </w:tc>
        <w:tc>
          <w:tcPr>
            <w:tcW w:w="7185" w:type="dxa"/>
            <w:noWrap w:val="0"/>
            <w:vAlign w:val="bottom"/>
          </w:tcPr>
          <w:p>
            <w:pPr>
              <w:widowControl w:val="0"/>
              <w:spacing w:line="360" w:lineRule="auto"/>
              <w:jc w:val="both"/>
              <w:rPr>
                <w:rFonts w:hint="eastAsia" w:ascii="宋体" w:hAnsi="宋体" w:eastAsia="宋体" w:cs="宋体"/>
                <w:b/>
                <w:color w:val="000000"/>
                <w:kern w:val="0"/>
                <w:sz w:val="21"/>
                <w:szCs w:val="21"/>
                <w:highlight w:val="none"/>
                <w:lang w:val="en-US" w:eastAsia="zh-CN" w:bidi="ar-SA"/>
              </w:rPr>
            </w:pPr>
            <w:r>
              <w:rPr>
                <w:rFonts w:hint="eastAsia" w:ascii="宋体" w:hAnsi="宋体" w:eastAsia="宋体" w:cs="宋体"/>
                <w:b/>
                <w:color w:val="000000"/>
                <w:kern w:val="2"/>
                <w:sz w:val="21"/>
                <w:szCs w:val="21"/>
                <w:highlight w:val="none"/>
                <w:lang w:val="en-US" w:eastAsia="zh-CN" w:bidi="ar-SA"/>
              </w:rPr>
              <w:t>投资者在理财期限内不能提前赎回，如需质押按销售机构相关规定执行。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认购期内按照活期存款利率计息，认购期内的利息不计入认购本金份额。到期日（或理财计划实际终止日）到理财资金返还到账日为清算期，清算期内不计付利息。</w:t>
            </w:r>
            <w:r>
              <w:rPr>
                <w:rFonts w:hint="eastAsia" w:ascii="宋体" w:hAnsi="宋体" w:eastAsia="宋体" w:cs="宋体"/>
                <w:color w:val="000000"/>
                <w:kern w:val="0"/>
                <w:sz w:val="21"/>
                <w:szCs w:val="21"/>
                <w:highlight w:val="none"/>
                <w:lang w:val="en-US" w:eastAsia="zh-CN" w:bidi="ar-SA"/>
              </w:rPr>
              <w:t>（具体以销售机构规定为准）</w:t>
            </w:r>
          </w:p>
          <w:p>
            <w:pPr>
              <w:widowControl w:val="0"/>
              <w:spacing w:line="360" w:lineRule="auto"/>
              <w:jc w:val="both"/>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firstLine="480" w:firstLineChars="200"/>
        <w:jc w:val="left"/>
        <w:outlineLvl w:val="9"/>
        <w:rPr>
          <w:rFonts w:hint="eastAsia" w:ascii="宋体" w:hAnsi="宋体" w:cs="宋体"/>
          <w:b w:val="0"/>
          <w:bCs/>
          <w:color w:val="auto"/>
          <w:sz w:val="24"/>
          <w:highlight w:val="none"/>
        </w:rPr>
      </w:pPr>
      <w:r>
        <w:rPr>
          <w:rFonts w:hint="eastAsia" w:ascii="宋体" w:hAnsi="宋体" w:cs="宋体"/>
          <w:bCs/>
          <w:color w:val="auto"/>
          <w:kern w:val="2"/>
          <w:sz w:val="24"/>
          <w:highlight w:val="none"/>
        </w:rPr>
        <w:t>本理财计划自成立日起</w:t>
      </w:r>
      <w:r>
        <w:rPr>
          <w:rFonts w:hint="eastAsia" w:ascii="宋体" w:hAnsi="宋体" w:cs="宋体"/>
          <w:bCs/>
          <w:sz w:val="24"/>
          <w:highlight w:val="none"/>
        </w:rPr>
        <w:t>〖</w:t>
      </w:r>
      <w:r>
        <w:rPr>
          <w:rFonts w:hint="eastAsia" w:ascii="宋体" w:hAnsi="宋体" w:cs="宋体"/>
          <w:bCs/>
          <w:color w:val="auto"/>
          <w:kern w:val="2"/>
          <w:sz w:val="24"/>
          <w:highlight w:val="none"/>
        </w:rPr>
        <w:t>1个月</w:t>
      </w:r>
      <w:r>
        <w:rPr>
          <w:rFonts w:hint="eastAsia" w:ascii="宋体" w:hAnsi="宋体" w:cs="宋体"/>
          <w:bCs/>
          <w:sz w:val="24"/>
          <w:highlight w:val="none"/>
        </w:rPr>
        <w:t>〗</w:t>
      </w:r>
      <w:r>
        <w:rPr>
          <w:rFonts w:hint="eastAsia" w:ascii="宋体" w:hAnsi="宋体" w:cs="宋体"/>
          <w:bCs/>
          <w:color w:val="auto"/>
          <w:kern w:val="2"/>
          <w:sz w:val="24"/>
          <w:highlight w:val="none"/>
        </w:rPr>
        <w:t>为建仓期，管理人应当在建仓期结束前使各项投资比例符合约定。</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固定收益类资产：包括但不限于各类债券、存款、货币市场金融工具、债券基金、质押式及买断式回购、非标准化债权类资产，其他符合监管要求的固定收益类资产及资产管理产品。</w:t>
      </w:r>
    </w:p>
    <w:p>
      <w:pPr>
        <w:numPr>
          <w:ilvl w:val="0"/>
          <w:numId w:val="13"/>
        </w:numPr>
        <w:spacing w:line="360" w:lineRule="auto"/>
        <w:jc w:val="left"/>
        <w:rPr>
          <w:rFonts w:hint="eastAsia"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本理财计划各投资资产占总资产的配置比例如下：</w:t>
      </w:r>
      <w:r>
        <w:rPr>
          <w:rFonts w:hint="eastAsia" w:ascii="宋体" w:hAnsi="宋体" w:cs="宋体"/>
          <w:bCs/>
          <w:color w:val="FF0000"/>
          <w:sz w:val="24"/>
          <w:highlight w:val="none"/>
        </w:rPr>
        <w:t xml:space="preserve"> </w:t>
      </w:r>
    </w:p>
    <w:tbl>
      <w:tblPr>
        <w:tblStyle w:val="8"/>
        <w:tblW w:w="829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790"/>
        <w:gridCol w:w="4716"/>
        <w:gridCol w:w="179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投资资产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配置比例</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restart"/>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固定收益类资产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90%-100%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vMerge w:val="continue"/>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大类资产类型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权益类资产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0%-10%</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rPr>
          <w:trHeight w:val="470" w:hRule="atLeast"/>
        </w:trPr>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特殊资产类型</w:t>
            </w:r>
          </w:p>
        </w:tc>
        <w:tc>
          <w:tcPr>
            <w:tcW w:w="4716"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非标准化债权类资产</w:t>
            </w:r>
          </w:p>
        </w:tc>
        <w:tc>
          <w:tcPr>
            <w:tcW w:w="1790" w:type="dxa"/>
            <w:noWrap w:val="0"/>
            <w:vAlign w:val="center"/>
          </w:tcPr>
          <w:p>
            <w:pPr>
              <w:widowControl w:val="0"/>
              <w:jc w:val="center"/>
              <w:textAlignment w:val="center"/>
              <w:rPr>
                <w:rFonts w:ascii="Calibri" w:hAnsi="Calibri" w:eastAsia="宋体" w:cs="黑体"/>
                <w:kern w:val="2"/>
                <w:sz w:val="21"/>
                <w:szCs w:val="24"/>
                <w:lang w:val="en-US" w:eastAsia="zh-CN" w:bidi="ar-SA"/>
              </w:rPr>
            </w:pPr>
            <w:r>
              <w:rPr>
                <w:rFonts w:ascii="宋体" w:hAnsi="宋体" w:eastAsia="宋体" w:cs="宋体"/>
                <w:kern w:val="2"/>
                <w:sz w:val="20"/>
                <w:szCs w:val="24"/>
                <w:lang w:val="en-US" w:eastAsia="zh-CN" w:bidi="ar-SA"/>
              </w:rPr>
              <w:t>0%-50%</w:t>
            </w:r>
          </w:p>
        </w:tc>
      </w:tr>
    </w:tbl>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rPr>
        <w:t>在理财计划存续期间如遇市场变化导致各类投资品投资比例暂时超出以上范围，为保护投资者利益，管理人将在流动性受限资产可出售、可转让或者恢复交易的15个交易日内调整至上述比例范围。</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14"/>
        <w:numPr>
          <w:ilvl w:val="0"/>
          <w:numId w:val="14"/>
        </w:numPr>
        <w:adjustRightInd/>
        <w:spacing w:line="360" w:lineRule="auto"/>
        <w:ind w:firstLine="456" w:firstLineChars="19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14"/>
        <w:numPr>
          <w:ilvl w:val="0"/>
          <w:numId w:val="14"/>
        </w:numPr>
        <w:adjustRightInd/>
        <w:spacing w:line="360" w:lineRule="auto"/>
        <w:ind w:firstLine="458" w:firstLineChars="190"/>
        <w:rPr>
          <w:rFonts w:ascii="宋体" w:hAnsi="宋体" w:cs="宋体"/>
          <w:b/>
          <w:bCs w:val="0"/>
          <w:color w:val="auto"/>
          <w:kern w:val="2"/>
          <w:highlight w:val="none"/>
        </w:rPr>
      </w:pPr>
      <w:r>
        <w:rPr>
          <w:rFonts w:hint="eastAsia" w:ascii="宋体" w:hAnsi="宋体" w:cs="宋体"/>
          <w:b/>
          <w:bCs w:val="0"/>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4"/>
        <w:numPr>
          <w:ilvl w:val="0"/>
          <w:numId w:val="15"/>
        </w:numPr>
        <w:adjustRightInd/>
        <w:spacing w:line="360" w:lineRule="auto"/>
        <w:rPr>
          <w:rFonts w:hint="eastAsia" w:ascii="宋体" w:hAnsi="宋体" w:cs="宋体"/>
          <w:bCs/>
          <w:color w:val="auto"/>
          <w:kern w:val="2"/>
          <w:highlight w:val="none"/>
        </w:rPr>
      </w:pPr>
      <w:r>
        <w:rPr>
          <w:rFonts w:hint="eastAsia" w:ascii="宋体" w:hAnsi="宋体" w:cs="宋体"/>
          <w:bCs/>
          <w:color w:val="auto"/>
          <w:kern w:val="2"/>
          <w:highlight w:val="none"/>
        </w:rPr>
        <w:t>资产配置策略</w:t>
      </w:r>
    </w:p>
    <w:p>
      <w:pPr>
        <w:pStyle w:val="14"/>
        <w:adjustRightInd/>
        <w:spacing w:line="360" w:lineRule="auto"/>
        <w:rPr>
          <w:rFonts w:ascii="宋体" w:cs="宋体"/>
          <w:sz w:val="21"/>
          <w:szCs w:val="21"/>
          <w:highlight w:val="none"/>
        </w:rPr>
      </w:pPr>
      <w:r>
        <w:rPr>
          <w:rFonts w:hint="eastAsia" w:ascii="宋体" w:hAnsi="宋体" w:cs="宋体"/>
          <w:bCs/>
          <w:color w:val="auto"/>
          <w:kern w:val="2"/>
          <w:highlight w:val="none"/>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债券投资策略</w:t>
      </w:r>
    </w:p>
    <w:p>
      <w:pPr>
        <w:pStyle w:val="14"/>
        <w:adjustRightInd/>
        <w:spacing w:line="360" w:lineRule="auto"/>
        <w:ind w:firstLine="480" w:firstLineChars="200"/>
        <w:rPr>
          <w:rFonts w:hint="eastAsia" w:ascii="宋体" w:hAnsi="宋体" w:cs="宋体"/>
          <w:bCs/>
          <w:highlight w:val="none"/>
        </w:rPr>
      </w:pPr>
      <w:r>
        <w:rPr>
          <w:rFonts w:hint="eastAsia" w:ascii="宋体" w:hAnsi="宋体" w:cs="宋体"/>
          <w:bCs/>
          <w:color w:val="auto"/>
          <w:kern w:val="2"/>
          <w:highlight w:val="none"/>
        </w:rPr>
        <w:t>管理人本着稳健投资的理念，在研究债券市场宏观环境和利率走势的基础上，严格评估信用风险，通过久期策略、骑乘策略、杠杆策略和交易策略等，配置固定收益资产及资产管理产品，力争获取稳定收益。</w:t>
      </w:r>
    </w:p>
    <w:p>
      <w:pPr>
        <w:numPr>
          <w:ilvl w:val="0"/>
          <w:numId w:val="16"/>
        </w:numPr>
        <w:spacing w:line="360" w:lineRule="auto"/>
        <w:jc w:val="left"/>
        <w:rPr>
          <w:rFonts w:hint="eastAsia" w:ascii="宋体" w:hAnsi="宋体" w:cs="宋体"/>
          <w:bCs/>
          <w:sz w:val="24"/>
          <w:highlight w:val="none"/>
        </w:rPr>
      </w:pPr>
      <w:r>
        <w:rPr>
          <w:rFonts w:hint="eastAsia" w:ascii="宋体" w:hAnsi="宋体" w:cs="宋体"/>
          <w:bCs/>
          <w:sz w:val="24"/>
          <w:highlight w:val="none"/>
        </w:rPr>
        <w:t>非标准化债权类资产投资策略</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管理人发挥自身能力优势，在合规前提下开展风险可控、期限匹配的非标准化债权类资产投资，力争获取稳定收益。</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2"/>
        <w:rPr>
          <w:rFonts w:hint="eastAsia" w:ascii="宋体" w:hAnsi="宋体" w:cs="宋体"/>
          <w:b/>
          <w:sz w:val="24"/>
          <w:highlight w:val="none"/>
        </w:rPr>
      </w:pPr>
      <w:r>
        <w:rPr>
          <w:rFonts w:hint="eastAsia" w:ascii="宋体" w:hAnsi="宋体" w:cs="宋体"/>
          <w:bCs/>
          <w:color w:val="000000"/>
          <w:sz w:val="24"/>
          <w:highlight w:val="none"/>
          <w:lang w:eastAsia="zh-CN"/>
        </w:rPr>
        <w:t>投资限制中列示的资产品种不代表管理人的实际投向，本理财计划投资范围以“投资范围”章节表述为准。</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fldChar w:fldCharType="separate"/>
      </w:r>
      <w:r>
        <w:rPr>
          <w:rFonts w:ascii="宋体" w:hAnsi="宋体" w:cs="宋体"/>
          <w:bCs/>
          <w:sz w:val="24"/>
          <w:highlight w:val="none"/>
        </w:rPr>
        <w:t>证券投资基金</w:t>
      </w:r>
      <w: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本理财计划投资的非标准化债权类资产到期日不得晚于理财计划到期日。</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本理财计划的总资产不得超过净资产的200%。</w:t>
      </w:r>
    </w:p>
    <w:p>
      <w:pPr>
        <w:numPr>
          <w:ilvl w:val="0"/>
          <w:numId w:val="17"/>
        </w:numPr>
        <w:spacing w:line="360" w:lineRule="auto"/>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fldChar w:fldCharType="separate"/>
      </w:r>
      <w:r>
        <w:rPr>
          <w:rFonts w:ascii="宋体" w:hAnsi="宋体" w:cs="宋体"/>
          <w:bCs/>
          <w:sz w:val="24"/>
          <w:highlight w:val="none"/>
        </w:rPr>
        <w:t>资产支持证券</w:t>
      </w:r>
      <w: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拟投资市场、资产的流动性风险评估</w:t>
      </w:r>
    </w:p>
    <w:p>
      <w:pPr>
        <w:spacing w:line="360" w:lineRule="auto"/>
        <w:ind w:left="420"/>
        <w:jc w:val="left"/>
        <w:rPr>
          <w:rFonts w:hint="eastAsia" w:ascii="宋体" w:hAnsi="宋体" w:cs="宋体"/>
          <w:bCs/>
          <w:sz w:val="24"/>
          <w:highlight w:val="none"/>
        </w:rPr>
      </w:pPr>
      <w:r>
        <w:rPr>
          <w:rFonts w:hint="eastAsia" w:ascii="宋体" w:hAnsi="宋体" w:cs="宋体"/>
          <w:bCs/>
          <w:sz w:val="24"/>
          <w:highlight w:val="none"/>
        </w:rPr>
        <w:t>本理财计划拟投资市场可能面临的流动性风险如下：</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jc w:val="left"/>
        <w:rPr>
          <w:rFonts w:hint="eastAsia" w:ascii="宋体" w:hAnsi="宋体" w:cs="宋体"/>
          <w:bCs/>
          <w:sz w:val="24"/>
          <w:highlight w:val="none"/>
        </w:rPr>
      </w:pPr>
      <w:r>
        <w:rPr>
          <w:rFonts w:hint="eastAsia" w:ascii="宋体" w:hAnsi="宋体" w:cs="宋体"/>
          <w:bCs/>
          <w:sz w:val="24"/>
          <w:highlight w:val="none"/>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以上风险仅为列举性质，未能详尽列明拟投资市场和资产面临的全部流动性风险</w:t>
      </w:r>
      <w:r>
        <w:rPr>
          <w:rFonts w:ascii="宋体" w:hAnsi="宋体" w:cs="宋体"/>
          <w:bCs/>
          <w:sz w:val="24"/>
          <w:highlight w:val="none"/>
        </w:rPr>
        <w:t>可能导致投资者投资本金及收益损失</w:t>
      </w:r>
      <w:r>
        <w:rPr>
          <w:rFonts w:hint="eastAsia" w:ascii="宋体" w:hAnsi="宋体" w:cs="宋体"/>
          <w:bCs/>
          <w:sz w:val="24"/>
          <w:highlight w:val="none"/>
        </w:rPr>
        <w:t>或延期兑付</w:t>
      </w:r>
      <w:r>
        <w:rPr>
          <w:rFonts w:ascii="宋体" w:hAnsi="宋体" w:cs="宋体"/>
          <w:bCs/>
          <w:sz w:val="24"/>
          <w:highlight w:val="none"/>
        </w:rPr>
        <w:t>的所有因素</w:t>
      </w:r>
      <w:r>
        <w:rPr>
          <w:rFonts w:hint="eastAsia" w:ascii="宋体" w:hAnsi="宋体" w:cs="宋体"/>
          <w:bCs/>
          <w:sz w:val="24"/>
          <w:highlight w:val="none"/>
        </w:rPr>
        <w:t>。管理人会进行标的的分散化投资并结合对各类标的资产的预期流动性合理进行资产配置，最大程度防范流动性风险。</w:t>
      </w:r>
    </w:p>
    <w:p>
      <w:pPr>
        <w:spacing w:line="360" w:lineRule="auto"/>
        <w:ind w:firstLine="480" w:firstLineChars="200"/>
        <w:jc w:val="left"/>
        <w:rPr>
          <w:rFonts w:hint="eastAsia" w:ascii="宋体" w:hAnsi="宋体" w:cs="宋体"/>
          <w:bCs/>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6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托管人名称</w:t>
            </w:r>
          </w:p>
        </w:tc>
        <w:tc>
          <w:tcPr>
            <w:tcW w:w="6553" w:type="dxa"/>
            <w:noWrap w:val="0"/>
            <w:vAlign w:val="top"/>
          </w:tcPr>
          <w:p>
            <w:pPr>
              <w:widowControl w:val="0"/>
              <w:spacing w:line="360" w:lineRule="auto"/>
              <w:jc w:val="left"/>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托管人住所</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969" w:type="dxa"/>
            <w:noWrap w:val="0"/>
            <w:vAlign w:val="center"/>
          </w:tcPr>
          <w:p>
            <w:pPr>
              <w:widowControl w:val="0"/>
              <w:spacing w:line="360" w:lineRule="auto"/>
              <w:jc w:val="center"/>
              <w:rPr>
                <w:rFonts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托管人职责</w:t>
            </w:r>
          </w:p>
        </w:tc>
        <w:tc>
          <w:tcPr>
            <w:tcW w:w="6553" w:type="dxa"/>
            <w:noWrap w:val="0"/>
            <w:vAlign w:val="top"/>
          </w:tcPr>
          <w:p>
            <w:pPr>
              <w:widowControl w:val="0"/>
              <w:spacing w:line="360" w:lineRule="auto"/>
              <w:jc w:val="left"/>
              <w:rPr>
                <w:rFonts w:hint="eastAsia" w:ascii="宋体" w:hAnsi="宋体" w:eastAsia="宋体" w:cs="宋体"/>
                <w:bCs/>
                <w:kern w:val="2"/>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2"/>
        </w:numPr>
        <w:spacing w:line="360" w:lineRule="auto"/>
        <w:ind w:firstLine="482"/>
        <w:jc w:val="left"/>
        <w:outlineLvl w:val="2"/>
        <w:rPr>
          <w:rFonts w:hint="eastAsia" w:ascii="宋体" w:hAnsi="宋体" w:cs="宋体"/>
          <w:bCs/>
          <w:color w:val="000000"/>
          <w:sz w:val="24"/>
          <w:highlight w:val="none"/>
        </w:rPr>
      </w:pPr>
      <w:r>
        <w:rPr>
          <w:rFonts w:hint="eastAsia" w:ascii="宋体" w:hAnsi="宋体" w:cs="宋体"/>
          <w:b/>
          <w:sz w:val="24"/>
          <w:highlight w:val="none"/>
        </w:rPr>
        <w:t>销售机构</w:t>
      </w:r>
    </w:p>
    <w:tbl>
      <w:tblPr>
        <w:tblStyle w:val="8"/>
        <w:tblW w:w="8522" w:type="dxa"/>
        <w:tblInd w:w="0" w:type="dxa"/>
        <w:tblLayout w:type="fixed"/>
        <w:tblCellMar>
          <w:top w:w="0" w:type="dxa"/>
          <w:left w:w="108" w:type="dxa"/>
          <w:bottom w:w="0" w:type="dxa"/>
          <w:right w:w="108" w:type="dxa"/>
        </w:tblCellMar>
      </w:tblPr>
      <w:tblGrid>
        <w:gridCol w:w="675"/>
        <w:gridCol w:w="1701"/>
        <w:gridCol w:w="1718"/>
        <w:gridCol w:w="4428"/>
      </w:tblGrid>
      <w:tr>
        <w:tblPrEx>
          <w:tblLayout w:type="fixed"/>
          <w:tblCellMar>
            <w:top w:w="0" w:type="dxa"/>
            <w:left w:w="108" w:type="dxa"/>
            <w:bottom w:w="0" w:type="dxa"/>
            <w:right w:w="108" w:type="dxa"/>
          </w:tblCellMar>
        </w:tblPrEx>
        <w:trPr>
          <w:trHeight w:val="300" w:hRule="atLeast"/>
        </w:trPr>
        <w:tc>
          <w:tcPr>
            <w:tcW w:w="675" w:type="dxa"/>
            <w:vMerge w:val="restart"/>
            <w:tcBorders>
              <w:top w:val="single" w:color="auto" w:sz="4" w:space="0"/>
              <w:left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销售机构信息</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杭州银行股份有限公司</w:t>
            </w:r>
          </w:p>
        </w:tc>
        <w:tc>
          <w:tcPr>
            <w:tcW w:w="1718" w:type="dxa"/>
            <w:tcBorders>
              <w:top w:val="single" w:color="auto" w:sz="4" w:space="0"/>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single" w:color="auto" w:sz="4" w:space="0"/>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bCs/>
                <w:kern w:val="2"/>
                <w:sz w:val="21"/>
                <w:szCs w:val="21"/>
                <w:highlight w:val="none"/>
                <w:lang w:val="en-US" w:eastAsia="zh-CN" w:bidi="ar-SA"/>
              </w:rPr>
              <w:t>浙江省杭州市上城区解放东路168号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95398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苏州银行股份有限公司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江苏省苏州工业园区钟园路728号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96067</w:t>
            </w:r>
          </w:p>
        </w:tc>
      </w:tr>
      <w:tr>
        <w:tblPrEx>
          <w:tblLayout w:type="fixed"/>
          <w:tblCellMar>
            <w:top w:w="0" w:type="dxa"/>
            <w:left w:w="108" w:type="dxa"/>
            <w:bottom w:w="0" w:type="dxa"/>
            <w:right w:w="108" w:type="dxa"/>
          </w:tblCellMar>
        </w:tblPrEx>
        <w:trPr>
          <w:trHeight w:val="51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厦门银行股份有限公司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福建省厦门市思明区湖滨北路101号商业银行大厦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400-858-8888</w:t>
            </w:r>
          </w:p>
        </w:tc>
      </w:tr>
      <w:tr>
        <w:tblPrEx>
          <w:tblLayout w:type="fixed"/>
          <w:tblCellMar>
            <w:top w:w="0" w:type="dxa"/>
            <w:left w:w="108" w:type="dxa"/>
            <w:bottom w:w="0" w:type="dxa"/>
            <w:right w:w="108" w:type="dxa"/>
          </w:tblCellMar>
        </w:tblPrEx>
        <w:trPr>
          <w:trHeight w:val="30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中信银行股份有限公司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北京市朝阳区光华路10号院1号楼6-30层、32-42层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95558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齐鲁银行股份有限公司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山东省济南市历下区经十路10817号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400-609-6588</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甘肃银行股份有限公司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甘肃省兰州市城关区东岗西路525—1号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4008696666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杭银理财有限责任公司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浙江省杭州市拱墅区庆春路38号金龙财富中心</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400-8950-999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绍兴银行股份有限公司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浙江省绍兴市越城区中兴南路1号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4000896528</w:t>
            </w:r>
          </w:p>
        </w:tc>
      </w:tr>
      <w:tr>
        <w:tblPrEx>
          <w:tblLayout w:type="fixed"/>
          <w:tblCellMar>
            <w:top w:w="0" w:type="dxa"/>
            <w:left w:w="108" w:type="dxa"/>
            <w:bottom w:w="0" w:type="dxa"/>
            <w:right w:w="108" w:type="dxa"/>
          </w:tblCellMar>
        </w:tblPrEx>
        <w:trPr>
          <w:trHeight w:val="72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浙江萧山农村商业银行股份有限公司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浙江省杭州市萧山区城厢街道人民路258号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4008896596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海南银行股份有限公司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海南省海口市龙华区海秀东路31号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0898-96566</w:t>
            </w:r>
          </w:p>
        </w:tc>
      </w:tr>
      <w:tr>
        <w:tblPrEx>
          <w:tblLayout w:type="fixed"/>
          <w:tblCellMar>
            <w:top w:w="0" w:type="dxa"/>
            <w:left w:w="108" w:type="dxa"/>
            <w:bottom w:w="0" w:type="dxa"/>
            <w:right w:w="108" w:type="dxa"/>
          </w:tblCellMar>
        </w:tblPrEx>
        <w:trPr>
          <w:trHeight w:val="46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秦皇岛银行股份有限公司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河北省秦皇岛市海港区河北大街西段560号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0335-96336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温州银行股份有限公司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浙江省温州市鹿城区会展路1316号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0577-96699</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中邮邮惠万家银行有限责任公司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上海市虹口区东大名路1080号25层、26层</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95504</w:t>
            </w:r>
          </w:p>
        </w:tc>
      </w:tr>
      <w:tr>
        <w:tblPrEx>
          <w:tblLayout w:type="fixed"/>
          <w:tblCellMar>
            <w:top w:w="0" w:type="dxa"/>
            <w:left w:w="108" w:type="dxa"/>
            <w:bottom w:w="0" w:type="dxa"/>
            <w:right w:w="108" w:type="dxa"/>
          </w:tblCellMar>
        </w:tblPrEx>
        <w:trPr>
          <w:trHeight w:val="285"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nil"/>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大连农村商业银行股份有限公司</w:t>
            </w: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辽宁省大连经济技术开发区五彩城A区1栋-A1号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nil"/>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18" w:type="dxa"/>
            <w:tcBorders>
              <w:top w:val="nil"/>
              <w:left w:val="nil"/>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96689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吉林银行股份有限公司</w:t>
            </w: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经济开发区东南湖大路1817号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400-88-96666</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top w:val="single" w:color="auto" w:sz="4" w:space="0"/>
              <w:left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兰州银行股份有限公司</w:t>
            </w: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甘肃省兰州市酒泉路211号</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eastAsia="宋体" w:cs="宋体"/>
                <w:color w:val="000000"/>
                <w:kern w:val="0"/>
                <w:sz w:val="21"/>
                <w:szCs w:val="21"/>
                <w:highlight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widowControl/>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widowControl/>
              <w:jc w:val="center"/>
              <w:textAlignment w:val="center"/>
              <w:rPr>
                <w:rFonts w:hint="default"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400-88-96799</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restart"/>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汉口银行股份有限公司</w:t>
            </w:r>
          </w:p>
        </w:tc>
        <w:tc>
          <w:tcPr>
            <w:tcW w:w="171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住所</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湖北省武汉市江汉区建设大道933号武汉商业银行大厦</w:t>
            </w:r>
          </w:p>
        </w:tc>
      </w:tr>
      <w:tr>
        <w:tblPrEx>
          <w:tblLayout w:type="fixed"/>
          <w:tblCellMar>
            <w:top w:w="0" w:type="dxa"/>
            <w:left w:w="108" w:type="dxa"/>
            <w:bottom w:w="0" w:type="dxa"/>
            <w:right w:w="108" w:type="dxa"/>
          </w:tblCellMar>
        </w:tblPrEx>
        <w:trPr>
          <w:trHeight w:val="270" w:hRule="atLeast"/>
        </w:trPr>
        <w:tc>
          <w:tcPr>
            <w:tcW w:w="675" w:type="dxa"/>
            <w:vMerge w:val="continue"/>
            <w:tcBorders>
              <w:left w:val="single" w:color="auto" w:sz="4" w:space="0"/>
              <w:bottom w:val="single" w:color="auto" w:sz="4" w:space="0"/>
              <w:right w:val="single" w:color="auto" w:sz="4" w:space="0"/>
            </w:tcBorders>
            <w:noWrap w:val="0"/>
            <w:vAlign w:val="center"/>
          </w:tcPr>
          <w:p>
            <w:pPr>
              <w:widowControl w:val="0"/>
              <w:jc w:val="center"/>
              <w:rPr>
                <w:rFonts w:hint="eastAsia" w:ascii="宋体" w:hAnsi="宋体" w:eastAsia="宋体" w:cs="宋体"/>
                <w:color w:val="000000"/>
                <w:kern w:val="0"/>
                <w:sz w:val="21"/>
                <w:szCs w:val="21"/>
                <w:highlight w:val="none"/>
                <w:lang w:val="en-US" w:eastAsia="zh-CN" w:bidi="ar-SA"/>
              </w:rPr>
            </w:pPr>
          </w:p>
        </w:tc>
        <w:tc>
          <w:tcPr>
            <w:tcW w:w="1701" w:type="dxa"/>
            <w:vMerge w:val="continue"/>
            <w:tcBorders>
              <w:left w:val="single" w:color="auto" w:sz="4" w:space="0"/>
              <w:bottom w:val="single" w:color="auto" w:sz="4" w:space="0"/>
              <w:right w:val="single" w:color="auto" w:sz="4" w:space="0"/>
            </w:tcBorders>
            <w:noWrap w:val="0"/>
            <w:vAlign w:val="center"/>
          </w:tcPr>
          <w:p>
            <w:pPr>
              <w:widowControl w:val="0"/>
              <w:jc w:val="center"/>
              <w:textAlignment w:val="center"/>
              <w:rPr>
                <w:rFonts w:hint="eastAsia" w:ascii="宋体" w:hAnsi="宋体" w:eastAsia="宋体" w:cs="宋体"/>
                <w:color w:val="000000"/>
                <w:kern w:val="0"/>
                <w:sz w:val="21"/>
                <w:szCs w:val="21"/>
                <w:highlight w:val="none"/>
                <w:lang w:val="en-US" w:eastAsia="zh-CN" w:bidi="ar"/>
              </w:rPr>
            </w:pPr>
          </w:p>
        </w:tc>
        <w:tc>
          <w:tcPr>
            <w:tcW w:w="1718" w:type="dxa"/>
            <w:tcBorders>
              <w:top w:val="nil"/>
              <w:left w:val="single" w:color="auto" w:sz="4" w:space="0"/>
              <w:bottom w:val="single" w:color="auto" w:sz="4" w:space="0"/>
              <w:right w:val="single" w:color="auto" w:sz="4" w:space="0"/>
            </w:tcBorders>
            <w:noWrap w:val="0"/>
            <w:vAlign w:val="center"/>
          </w:tcPr>
          <w:p>
            <w:pPr>
              <w:keepNext w:val="0"/>
              <w:keepLines w:val="0"/>
              <w:widowControl/>
              <w:suppressLineNumbers w:val="0"/>
              <w:jc w:val="left"/>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客服热线</w:t>
            </w:r>
          </w:p>
        </w:tc>
        <w:tc>
          <w:tcPr>
            <w:tcW w:w="4428" w:type="dxa"/>
            <w:tcBorders>
              <w:top w:val="nil"/>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i w:val="0"/>
                <w:color w:val="000000"/>
                <w:kern w:val="0"/>
                <w:sz w:val="21"/>
                <w:szCs w:val="21"/>
                <w:highlight w:val="none"/>
                <w:u w:val="none"/>
                <w:lang w:val="en-US" w:eastAsia="zh-CN" w:bidi="ar"/>
              </w:rPr>
              <w:t>400-609-6558</w:t>
            </w:r>
          </w:p>
        </w:tc>
      </w:tr>
      <w:tr>
        <w:tblPrEx>
          <w:tblLayout w:type="fixed"/>
          <w:tblCellMar>
            <w:top w:w="0" w:type="dxa"/>
            <w:left w:w="108" w:type="dxa"/>
            <w:bottom w:w="0" w:type="dxa"/>
            <w:right w:w="108" w:type="dxa"/>
          </w:tblCellMar>
        </w:tblPrEx>
        <w:trPr>
          <w:trHeight w:val="1635" w:hRule="atLeast"/>
        </w:trPr>
        <w:tc>
          <w:tcPr>
            <w:tcW w:w="67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销售机构职责</w:t>
            </w:r>
          </w:p>
        </w:tc>
        <w:tc>
          <w:tcPr>
            <w:tcW w:w="7847" w:type="dxa"/>
            <w:gridSpan w:val="3"/>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主要负责理财计划推广、投资者风险承受能力评估、投资者适当性管理、理财计划份额认购、申购及赎回办理。</w:t>
            </w:r>
            <w:r>
              <w:rPr>
                <w:rFonts w:hint="eastAsia" w:ascii="宋体" w:hAnsi="宋体" w:eastAsia="宋体" w:cs="宋体"/>
                <w:color w:val="000000"/>
                <w:kern w:val="0"/>
                <w:sz w:val="21"/>
                <w:szCs w:val="21"/>
                <w:highlight w:val="none"/>
                <w:lang w:val="en-US" w:eastAsia="zh-CN" w:bidi="ar-SA"/>
              </w:rPr>
              <w:br w:type="textWrapping"/>
            </w:r>
            <w:r>
              <w:rPr>
                <w:rFonts w:hint="eastAsia" w:ascii="宋体" w:hAnsi="宋体" w:eastAsia="宋体" w:cs="宋体"/>
                <w:color w:val="000000"/>
                <w:kern w:val="0"/>
                <w:sz w:val="21"/>
                <w:szCs w:val="21"/>
                <w:highlight w:val="none"/>
                <w:lang w:val="en-US" w:eastAsia="zh-CN" w:bidi="ar-SA"/>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p>
    <w:p>
      <w:pPr>
        <w:spacing w:line="360" w:lineRule="auto"/>
        <w:ind w:firstLine="480" w:firstLineChars="200"/>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本理财计划估值日为每个工作日，定期由理财管理人和理财托管人核对估值结果并向投资者披露，具体日期以管理人公告为准。</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货币市场工具类资产</w:t>
      </w:r>
    </w:p>
    <w:p>
      <w:pPr>
        <w:pStyle w:val="14"/>
        <w:adjustRightInd/>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银行存款及回购，以本金列示，按商定利率在实际持有期间内逐日计提利息。</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债券及同业存单类资产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以收取合同现金流量为目的并持有到期的债券及同业存单类资产，按摊余成本法进行计量。其余债券及同业存单类资产，按市价法估值。市价法不能确定公允价值的，采用估值技术进行估值。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债权类资产</w:t>
      </w:r>
    </w:p>
    <w:p>
      <w:pPr>
        <w:spacing w:line="360" w:lineRule="auto"/>
        <w:rPr>
          <w:rFonts w:ascii="宋体" w:hAnsi="宋体" w:cs="宋体"/>
          <w:bCs/>
          <w:color w:val="000000"/>
          <w:sz w:val="24"/>
          <w:highlight w:val="none"/>
        </w:rPr>
      </w:pPr>
      <w:r>
        <w:rPr>
          <w:rFonts w:hint="eastAsia" w:ascii="宋体" w:hAnsi="宋体" w:cs="宋体"/>
          <w:bCs/>
          <w:color w:val="000000"/>
          <w:sz w:val="24"/>
          <w:highlight w:val="none"/>
        </w:rPr>
        <w:t xml:space="preserve">    对于符合监管要求的债权类资产，按照摊余成本法进行计量。其余债权类资产，按市价法估值。市价法不能确定其公允价值的，采用估值技术进行估值。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股权类资产</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上市流通股票按估值日其所在证券交易所的收盘价估值；估值日无交易，且最近交易日后未发生影响公允价值计量的重大事件的，以最近交易日的收盘价估值。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未上市股票的估值：</w:t>
      </w:r>
    </w:p>
    <w:p>
      <w:pPr>
        <w:spacing w:line="360" w:lineRule="auto"/>
        <w:rPr>
          <w:rFonts w:hint="eastAsia" w:ascii="宋体" w:hAnsi="宋体"/>
          <w:sz w:val="24"/>
          <w:highlight w:val="none"/>
        </w:rPr>
      </w:pPr>
      <w:r>
        <w:rPr>
          <w:rFonts w:hint="eastAsia" w:ascii="宋体" w:hAnsi="宋体" w:cs="宋体"/>
          <w:bCs/>
          <w:color w:val="000000"/>
          <w:sz w:val="24"/>
          <w:highlight w:val="none"/>
        </w:rPr>
        <w:t xml:space="preserve">      1）</w:t>
      </w:r>
      <w:r>
        <w:rPr>
          <w:rFonts w:hint="eastAsia" w:ascii="宋体" w:hAnsi="宋体"/>
          <w:sz w:val="24"/>
          <w:highlight w:val="none"/>
        </w:rPr>
        <w:t>送股、转增股、配股和公开增发新股等发行未上市的股票，按估值日在证券交易所挂牌的同一股票的市价估值；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2）首次公开发行有明确锁定期的股票，同一股票在交易所上市后，按交易所上市的同一股票的市价估值；</w:t>
      </w:r>
    </w:p>
    <w:p>
      <w:pPr>
        <w:spacing w:line="360" w:lineRule="auto"/>
        <w:rPr>
          <w:rFonts w:hint="eastAsia" w:ascii="宋体" w:hAnsi="宋体"/>
          <w:sz w:val="24"/>
          <w:highlight w:val="none"/>
        </w:rPr>
      </w:pPr>
      <w:r>
        <w:rPr>
          <w:rFonts w:hint="eastAsia" w:ascii="宋体" w:hAnsi="宋体"/>
          <w:sz w:val="24"/>
          <w:highlight w:val="none"/>
        </w:rPr>
        <w:t xml:space="preserve">      3）首次发行未上市的股票，按发行价格进行估值；</w:t>
      </w:r>
    </w:p>
    <w:p>
      <w:pPr>
        <w:spacing w:line="360" w:lineRule="auto"/>
        <w:rPr>
          <w:rFonts w:hint="eastAsia" w:ascii="宋体" w:hAnsi="宋体"/>
          <w:sz w:val="24"/>
          <w:highlight w:val="none"/>
        </w:rPr>
      </w:pPr>
      <w:r>
        <w:rPr>
          <w:rFonts w:hint="eastAsia" w:ascii="宋体" w:hAnsi="宋体"/>
          <w:sz w:val="24"/>
          <w:highlight w:val="none"/>
        </w:rPr>
        <w:t xml:space="preserve">      4）因持有股票而享有的配股权，采用估值技术确定公允价值。</w:t>
      </w:r>
    </w:p>
    <w:p>
      <w:pPr>
        <w:numPr>
          <w:ilvl w:val="0"/>
          <w:numId w:val="25"/>
        </w:numPr>
        <w:spacing w:line="360" w:lineRule="auto"/>
        <w:ind w:left="0" w:firstLine="480"/>
        <w:rPr>
          <w:rFonts w:ascii="宋体" w:hAnsi="宋体" w:cs="宋体"/>
          <w:bCs/>
          <w:color w:val="000000"/>
          <w:sz w:val="24"/>
          <w:highlight w:val="none"/>
        </w:rPr>
      </w:pPr>
      <w:r>
        <w:rPr>
          <w:rFonts w:hint="eastAsia" w:ascii="宋体" w:hAnsi="宋体" w:cs="宋体"/>
          <w:bCs/>
          <w:color w:val="000000"/>
          <w:sz w:val="24"/>
          <w:highlight w:val="none"/>
        </w:rPr>
        <w:t>非上市股权的估值：</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基金、资产管理计划类资产</w:t>
      </w:r>
    </w:p>
    <w:p>
      <w:p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4"/>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4"/>
        <w:spacing w:line="360" w:lineRule="auto"/>
        <w:ind w:firstLine="480" w:firstLineChars="200"/>
        <w:rPr>
          <w:rFonts w:hint="eastAsia" w:ascii="宋体" w:hAnsi="宋体" w:cs="宋体"/>
          <w:bCs/>
          <w:highlight w:val="none"/>
        </w:rPr>
      </w:pPr>
      <w:r>
        <w:rPr>
          <w:rFonts w:hint="eastAsia" w:ascii="宋体" w:hAnsi="宋体" w:cs="宋体"/>
          <w:bCs/>
          <w:kern w:val="2"/>
          <w:highlight w:val="none"/>
        </w:rPr>
        <w:t>以</w:t>
      </w:r>
      <w:r>
        <w:rPr>
          <w:rFonts w:hint="eastAsia" w:ascii="宋体" w:hAnsi="宋体" w:cs="宋体"/>
          <w:bCs/>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当理财计划管理人或托管人认为按上述方法对理财计划进行估值不能客观反映其公允价值的，可以在满足监管要求的前提下协商一致后，按最能反映公允价值的价格估值，并自协商一致日后执行。</w:t>
      </w:r>
    </w:p>
    <w:p>
      <w:pPr>
        <w:pStyle w:val="14"/>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理财计划投资所涉及的交易市场遇法定节假日或因其他原因暂停营业时暂停估值，该种情况理财计划估值日期提前到上一交易日。</w:t>
      </w:r>
    </w:p>
    <w:p>
      <w:pPr>
        <w:numPr>
          <w:ilvl w:val="0"/>
          <w:numId w:val="2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本理财计划涉及费用包括销售服务费、托管费、固定管理费、认购费、浮动管理费以及理财计划运作和清算中产生的其他费用等。</w:t>
      </w:r>
    </w:p>
    <w:p>
      <w:pPr>
        <w:numPr>
          <w:ilvl w:val="0"/>
          <w:numId w:val="27"/>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理财计划财产A份额的年化销售服务费率为〖0.30%〗, B份额的年化销售服务费率为〖0.20%〗, C份额的年化销售服务费率为〖0.10%〗, D份额的年化销售服务费率为〖0.15%〗, E份额的年化销售服务费率为〖0.20%〗, F份额的年化销售服务费率为〖0.15%〗, H份额的年化销售服务费率为〖0.25%〗, I份额的年化销售服务费率为〖0.30%〗, P份额的年化销售服务费率为〖0.15%〗, Q份额的年化销售服务费率为〖0.05%〗,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bCs/>
          <w:color w:val="000000"/>
          <w:sz w:val="24"/>
          <w:highlight w:val="none"/>
        </w:rPr>
        <w:t>0.30%</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rPr>
        <w:t>A</w:t>
      </w:r>
      <w:r>
        <w:rPr>
          <w:rFonts w:hint="eastAsia" w:ascii="宋体" w:hAnsi="宋体" w:cs="宋体"/>
          <w:bCs/>
          <w:color w:val="000000"/>
          <w:sz w:val="24"/>
          <w:highlight w:val="none"/>
        </w:rPr>
        <w:t>份额每日应计提的销售服务费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销售服务费原则上按日计提。</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理财计划财产的年化托管费为〖0.025%〗，计算方法如下：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H＝E×〖0.025%</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理财计划财产A份额的年化固定管理费率为〖0.05%〗, B份额的年化固定管理费率为〖0.05%〗, C份额的年化固定管理费率为〖0.05%〗, D份额的年化固定管理费率为〖0.05%〗, E份额的年化固定管理费率为〖0.05%〗, F份额的年化固定管理费率为〖0.05%〗, H份额的年化固定管理费率为〖0.05%〗, I份额的年化固定管理费率为〖0.05%〗, P份额的年化固定管理费率为〖0.05%〗, Q份额的年化固定管理费率为〖0.05%〗, 以〖A份额〗为例，计算方法如下：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H＝E×〖0.05%</w:t>
      </w:r>
      <w:r>
        <w:rPr>
          <w:rFonts w:hint="eastAsia" w:ascii="宋体" w:hAnsi="宋体" w:cs="宋体"/>
          <w:szCs w:val="21"/>
          <w:highlight w:val="none"/>
        </w:rPr>
        <w:t>〗</w:t>
      </w:r>
      <w:r>
        <w:rPr>
          <w:rFonts w:hint="eastAsia" w:ascii="宋体" w:hAnsi="宋体" w:cs="宋体"/>
          <w:bCs/>
          <w:color w:val="000000"/>
          <w:sz w:val="24"/>
          <w:szCs w:val="24"/>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sz w:val="24"/>
          <w:highlight w:val="none"/>
        </w:rPr>
        <w:t>A</w:t>
      </w:r>
      <w:r>
        <w:rPr>
          <w:rFonts w:hint="eastAsia" w:ascii="宋体" w:hAnsi="宋体" w:cs="宋体"/>
          <w:bCs/>
          <w:color w:val="000000"/>
          <w:sz w:val="24"/>
          <w:highlight w:val="none"/>
        </w:rPr>
        <w:t>份额每日应计提的固定管理费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sz w:val="24"/>
          <w:highlight w:val="none"/>
        </w:rPr>
        <w:t>A</w:t>
      </w:r>
      <w:r>
        <w:rPr>
          <w:rFonts w:hint="eastAsia" w:ascii="宋体" w:hAnsi="宋体" w:cs="宋体"/>
          <w:bCs/>
          <w:color w:val="000000"/>
          <w:sz w:val="24"/>
          <w:highlight w:val="none"/>
        </w:rPr>
        <w:t>份额前一日资产净值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固定管理费原则上按日计提，如理财计划实际运作结果不达业绩比较基准下限时，管理人有权减免固定管理费。</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本理财计划免除认购费。</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理财管理人根据理财计划投资情况计算浮动管理费，浮动管理费原则上按估值日计提，到期收取。具体计算方法如下：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（1）若本理财计划到期日（提前终止日）的折合年化收益率超过业绩比较基准下限但未达到业绩比较基准上限，则超过业绩比较基准下限的部分管理人收取〖50%〗作为浮动管理费，即：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H=E×NAV0×（K-S)×〖50%〗×N÷365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2）若本理财计划到期日（提前终止日）的折合年化收益率超过业绩比较基准上限，则〖业绩比较基准下限(含)至上限(含)〗的部分管理人收取〖50%〗作为浮动管理费，超过〖业绩比较基准上限〗的部分管理人收取〖80%〗作为浮动管理费，即：</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H=E×NAV0×[(K-R)×〖80%〗+(R-S)×〖50%〗]×N÷365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lang w:val="en-US" w:eastAsia="zh-CN"/>
        </w:rPr>
        <w:t>理财计划到期（提前终止）时应</w:t>
      </w:r>
      <w:r>
        <w:rPr>
          <w:rFonts w:hint="eastAsia" w:ascii="宋体" w:hAnsi="宋体" w:cs="宋体"/>
          <w:bCs/>
          <w:color w:val="000000"/>
          <w:sz w:val="24"/>
          <w:highlight w:val="none"/>
        </w:rPr>
        <w:t>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lang w:val="en-US" w:eastAsia="zh-CN"/>
        </w:rPr>
        <w:t>投资者持有</w:t>
      </w:r>
      <w:r>
        <w:rPr>
          <w:rFonts w:hint="eastAsia" w:ascii="宋体" w:hAnsi="宋体" w:cs="宋体"/>
          <w:bCs/>
          <w:color w:val="000000"/>
          <w:sz w:val="24"/>
          <w:highlight w:val="none"/>
        </w:rPr>
        <w:t>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K为收取浮动管理费前投资者</w:t>
      </w:r>
      <w:r>
        <w:rPr>
          <w:rFonts w:hint="eastAsia" w:ascii="宋体" w:hAnsi="宋体" w:cs="宋体"/>
          <w:bCs/>
          <w:color w:val="000000"/>
          <w:sz w:val="24"/>
          <w:highlight w:val="none"/>
          <w:lang w:val="en-US" w:eastAsia="zh-CN"/>
        </w:rPr>
        <w:t>持有</w:t>
      </w:r>
      <w:r>
        <w:rPr>
          <w:rFonts w:hint="eastAsia" w:ascii="宋体" w:hAnsi="宋体" w:cs="宋体"/>
          <w:bCs/>
          <w:color w:val="000000"/>
          <w:sz w:val="24"/>
          <w:highlight w:val="none"/>
        </w:rPr>
        <w:t>份额对应持有区间折合年化收益率</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bCs/>
          <w:color w:val="000000"/>
          <w:sz w:val="24"/>
          <w:highlight w:val="none"/>
          <w:lang w:val="en-US" w:eastAsia="zh-CN"/>
        </w:rPr>
        <w:t>理财计划成立日之初的</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bCs/>
          <w:color w:val="000000"/>
          <w:sz w:val="24"/>
          <w:highlight w:val="none"/>
          <w:lang w:val="en-US" w:eastAsia="zh-CN"/>
        </w:rPr>
        <w:t>理财计划到期日</w:t>
      </w:r>
      <w:r>
        <w:rPr>
          <w:rFonts w:hint="eastAsia" w:ascii="宋体" w:hAnsi="宋体" w:cs="宋体"/>
          <w:bCs/>
          <w:color w:val="000000"/>
          <w:sz w:val="24"/>
          <w:highlight w:val="none"/>
        </w:rPr>
        <w:t>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S为</w:t>
      </w:r>
      <w:r>
        <w:rPr>
          <w:rFonts w:hint="eastAsia" w:ascii="宋体" w:hAnsi="宋体" w:cs="宋体"/>
          <w:bCs/>
          <w:color w:val="000000"/>
          <w:sz w:val="24"/>
          <w:highlight w:val="none"/>
          <w:lang w:val="en-US" w:eastAsia="zh-CN"/>
        </w:rPr>
        <w:t>理财计划</w:t>
      </w:r>
      <w:r>
        <w:rPr>
          <w:rFonts w:hint="eastAsia" w:ascii="宋体" w:hAnsi="宋体" w:cs="宋体"/>
          <w:bCs/>
          <w:color w:val="000000"/>
          <w:sz w:val="24"/>
          <w:highlight w:val="none"/>
        </w:rPr>
        <w:t>业绩比较基准下限</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N为</w:t>
      </w:r>
      <w:r>
        <w:rPr>
          <w:rFonts w:hint="eastAsia" w:ascii="宋体" w:hAnsi="宋体" w:cs="宋体"/>
          <w:bCs/>
          <w:color w:val="000000"/>
          <w:sz w:val="24"/>
          <w:highlight w:val="none"/>
          <w:lang w:val="en-US" w:eastAsia="zh-CN"/>
        </w:rPr>
        <w:t>理财计划份额成立日（含）至估值日（含）的区间天数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w:t>
      </w:r>
      <w:r>
        <w:rPr>
          <w:rFonts w:hint="eastAsia" w:ascii="宋体" w:hAnsi="宋体" w:cs="宋体"/>
          <w:bCs/>
          <w:color w:val="000000"/>
          <w:sz w:val="24"/>
          <w:highlight w:val="none"/>
          <w:lang w:val="en-US" w:eastAsia="zh-CN"/>
        </w:rPr>
        <w:t>理财计划运作期间每单位份额的实际分红金额合计</w:t>
      </w:r>
      <w:r>
        <w:rPr>
          <w:rFonts w:hint="eastAsia" w:ascii="宋体" w:hAnsi="宋体" w:cs="宋体"/>
          <w:bCs/>
          <w:color w:val="000000"/>
          <w:sz w:val="24"/>
          <w:highlight w:val="none"/>
        </w:rPr>
        <w:t>（如有）</w:t>
      </w:r>
    </w:p>
    <w:p>
      <w:pPr>
        <w:numPr>
          <w:ilvl w:val="0"/>
          <w:numId w:val="28"/>
        </w:numPr>
        <w:spacing w:line="360" w:lineRule="auto"/>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29"/>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jc w:val="left"/>
        <w:rPr>
          <w:rFonts w:ascii="宋体" w:hAnsi="宋体" w:cs="宋体"/>
          <w:bCs/>
          <w:sz w:val="24"/>
          <w:highlight w:val="none"/>
        </w:rPr>
      </w:pPr>
      <w:r>
        <w:rPr>
          <w:rFonts w:hint="eastAsia" w:ascii="宋体" w:hAnsi="宋体" w:cs="宋体"/>
          <w:bCs/>
          <w:sz w:val="24"/>
          <w:highlight w:val="none"/>
        </w:rPr>
        <w:t xml:space="preserve">    </w:t>
      </w: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0"/>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1"/>
        </w:numPr>
        <w:spacing w:line="360" w:lineRule="auto"/>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1"/>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1"/>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投资者理财收益＝认购份额×到期日（提前终止日）单位净值+份额持有期间累计分红-认购金额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认购份额=认购金额÷1元。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到期日（提前终止日）单位净值为提取相关费用及税费后的单位理财计划份额净值。</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示例说明</w:t>
      </w:r>
    </w:p>
    <w:p>
      <w:pPr>
        <w:numPr>
          <w:ilvl w:val="0"/>
          <w:numId w:val="0"/>
        </w:numPr>
        <w:spacing w:line="360" w:lineRule="auto"/>
        <w:ind w:firstLine="480" w:firstLineChars="200"/>
        <w:jc w:val="left"/>
        <w:outlineLvl w:val="9"/>
        <w:rPr>
          <w:rFonts w:hint="eastAsia" w:ascii="宋体" w:hAnsi="宋体" w:cs="宋体"/>
          <w:b/>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净值未扣除浮动管理费前的为1.0615，此时，(1.0615÷1.0000-1)×365÷362=6.20%&gt;5.00%，即在〖4.00%-5.00%〗部分的投资收益管理人收取80%作为浮动管理费，超过〖5.00%〗部分的投资收益管理人收取100%作为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100,000×1.0000×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[（1.0615÷1.0000-1）×365÷362-5.00%]×100%+(5.00%-4.00%)×80%</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×362÷365=1,984.52（元）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100,000.00×（1.0615-1.0000）-1,984.52= 4,165.48（元）。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扣除托管费、固定管理费、销售服务费（如有）后，投资收益率超过业绩比较基准下限，但未达到业绩比较基准上限。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1.0415，此时，(1.0415÷1.0000-1)×365÷362=4.18%，即投资收益超过〖4.00%〗但未达到〖5.00%〗，则超过〖4.00%〗部分的投资收益管理人收取80%作为浮动管理费，浮动管理费为：</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100,000.00×1.0000×[(1.0415÷1.0000-1)×365÷362-4.00%]×80%×362÷365=146.30（元）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100,000.00×（1.0415-1.0000）-146.30 =4</w:t>
      </w:r>
      <w:r>
        <w:rPr>
          <w:rFonts w:hint="eastAsia" w:ascii="宋体" w:hAnsi="宋体" w:cs="宋体"/>
          <w:bCs/>
          <w:color w:val="000000"/>
          <w:sz w:val="24"/>
          <w:highlight w:val="none"/>
          <w:lang w:val="en-US" w:eastAsia="zh-CN"/>
        </w:rPr>
        <w:t>,</w:t>
      </w:r>
      <w:r>
        <w:rPr>
          <w:rFonts w:hint="eastAsia" w:ascii="宋体" w:hAnsi="宋体" w:cs="宋体"/>
          <w:bCs/>
          <w:color w:val="000000"/>
          <w:sz w:val="24"/>
          <w:highlight w:val="none"/>
        </w:rPr>
        <w:t>003.70（元）。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扣除托管费、固定管理费、销售服务费（如有）后，投资收益率未达到〖业绩比较基准下限〗。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1.0362，此时，(1.0362÷1.0000-1)×365÷362=3.65%&lt;4.00%，即投资收益未达到〖4.00%〗，则投资管理人不收取浮动管理费，投资者最终收益为：100,000.00×(1.0365-1.0000）=3,650.00（元）</w:t>
      </w:r>
    </w:p>
    <w:p>
      <w:pPr>
        <w:numPr>
          <w:ilvl w:val="0"/>
          <w:numId w:val="33"/>
        </w:numPr>
        <w:spacing w:line="360" w:lineRule="auto"/>
        <w:jc w:val="left"/>
        <w:rPr>
          <w:rFonts w:hint="eastAsia" w:ascii="宋体" w:hAnsi="宋体" w:cs="宋体"/>
          <w:b/>
          <w:sz w:val="24"/>
          <w:highlight w:val="none"/>
        </w:rPr>
      </w:pPr>
      <w:r>
        <w:rPr>
          <w:rFonts w:hint="eastAsia" w:ascii="宋体" w:hAnsi="宋体" w:cs="宋体"/>
          <w:b/>
          <w:sz w:val="24"/>
          <w:highlight w:val="none"/>
        </w:rPr>
        <w:t>示例四</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扣除托管费、固定管理费、销售服务费（如有）后，投资发生亏损。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以某投资者投资10万元为例，假设购买时理财计划净值为1.00元，折算份额为100,000.00份，假设份额成立日（含）至估值日（含）的区间天数为362天,业绩比较基准为4.0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%-5.0</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假设理财产品到期时扣除托管费、固定管理费、销售服务费（如有）后，如理财计划未扣除浮动管理费前的净值为0.9975，则投资管理人不收取浮动管理费，投资者最终收益为：100,000.00×（0.9975-1.0000）=-250.00（元）。</w:t>
      </w:r>
    </w:p>
    <w:p>
      <w:pPr>
        <w:numPr>
          <w:ilvl w:val="0"/>
          <w:numId w:val="32"/>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5"/>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如新增认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6"/>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6"/>
        </w:numPr>
        <w:spacing w:line="360" w:lineRule="auto"/>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申购及赎回</w:t>
      </w:r>
    </w:p>
    <w:p>
      <w:pPr>
        <w:spacing w:line="360" w:lineRule="auto"/>
        <w:ind w:firstLine="480" w:firstLineChars="200"/>
        <w:jc w:val="left"/>
        <w:rPr>
          <w:rFonts w:ascii="宋体" w:hAnsi="宋体" w:cs="宋体"/>
          <w:b/>
          <w:sz w:val="24"/>
          <w:highlight w:val="none"/>
        </w:rPr>
      </w:pPr>
      <w:r>
        <w:rPr>
          <w:rFonts w:hint="eastAsia" w:ascii="宋体" w:hAnsi="宋体" w:cs="宋体"/>
          <w:bCs/>
          <w:sz w:val="24"/>
          <w:highlight w:val="none"/>
        </w:rPr>
        <w:t>本理财计划封闭式运作，存续期间不开放申购和赎回。</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1〗个工作日、最晚〖3〗个工作日内（遇节假日顺延）将资金按规定的要求划入投资者授权指定的理财账户。（具体以销售机构规定为准）</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highlight w:val="none"/>
        </w:rPr>
        <w:t>〖</w:t>
      </w:r>
      <w:r>
        <w:rPr>
          <w:rFonts w:hint="eastAsia" w:ascii="宋体" w:hAnsi="宋体" w:cs="宋体"/>
          <w:bCs/>
          <w:sz w:val="24"/>
          <w:highlight w:val="none"/>
        </w:rPr>
        <w:t>2</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highlight w:val="none"/>
        </w:rPr>
        <w:t>〖</w:t>
      </w:r>
      <w:r>
        <w:rPr>
          <w:rFonts w:hint="eastAsia" w:ascii="宋体" w:hAnsi="宋体" w:cs="宋体"/>
          <w:sz w:val="24"/>
          <w:szCs w:val="24"/>
          <w:highlight w:val="none"/>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如发生以下事项时，管理人可对本理财计划行使全部或部分提前终止权：</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融资人行使提前到期或还款权利的。</w:t>
      </w:r>
    </w:p>
    <w:p>
      <w:pPr>
        <w:numPr>
          <w:ilvl w:val="0"/>
          <w:numId w:val="37"/>
        </w:numPr>
        <w:spacing w:line="360" w:lineRule="auto"/>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38"/>
        </w:numPr>
        <w:spacing w:line="360" w:lineRule="auto"/>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3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4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理财计划合同：管理人应在正式办理理财计划份额认购前披露，包括但不限于理财计划风险揭示书、理财计划产品说明书、投资者权益须知、理财计划投资协议书以及理财计划销售协议书。</w:t>
      </w:r>
    </w:p>
    <w:p>
      <w:pPr>
        <w:numPr>
          <w:ilvl w:val="0"/>
          <w:numId w:val="4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发行公告：管理人应在理财计划成立日后3个工作日内披露，包括成立日期、募集规模等信息。</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4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理财计划净值：管理人应在理财计划成立后，每周披露一次净值。</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p>
    <w:p>
      <w:pPr>
        <w:spacing w:line="360" w:lineRule="auto"/>
        <w:rPr>
          <w:rFonts w:hint="eastAsia" w:ascii="宋体" w:hAnsi="宋体" w:cs="宋体"/>
          <w:bCs/>
          <w:color w:val="000000"/>
          <w:sz w:val="24"/>
          <w:highlight w:val="none"/>
        </w:rPr>
      </w:pPr>
      <w:r>
        <w:rPr>
          <w:rFonts w:hint="eastAsia" w:ascii="宋体" w:hAnsi="宋体" w:cs="宋体"/>
          <w:bCs/>
          <w:color w:val="000000"/>
          <w:sz w:val="24"/>
          <w:highlight w:val="none"/>
        </w:rPr>
        <w:t>如本理财计划成立不足90个工作日或剩余存续期不超过90个工作日的，管理人可不编制当期的季度、半年和年度报告等运行报告。</w:t>
      </w:r>
    </w:p>
    <w:p>
      <w:pPr>
        <w:numPr>
          <w:ilvl w:val="0"/>
          <w:numId w:val="4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0"/>
        </w:numPr>
        <w:spacing w:line="360" w:lineRule="auto"/>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4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管理人应在运用收取短期赎回费、摆动定价等措施后，3个交易日内发布相关事项公告；应在运用暂停认购、延期办理巨额赎回申请、暂停接受赎回申请、延缓支付赎回款项、暂停理财产品估值等措施后，3个交易日内发布相关事项公告，说明运用相关措施的原因、拟采取的应对安排等；应在发生可能对理财计划投资者或者理财计划收益产生重大事项的事件后2个工作日内发布重大事项公告。</w:t>
      </w:r>
    </w:p>
    <w:p>
      <w:pPr>
        <w:numPr>
          <w:ilvl w:val="0"/>
          <w:numId w:val="4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临时公告：管理人应当及时披露除重大事项以外的其他信息，包括但不限于理财计划终止、更换理财计划管理人和托管人、涉及理财计划管理业务的重大诉讼、涉及费率相关事项的变动、理财计划延期兑付等。</w:t>
      </w:r>
    </w:p>
    <w:p>
      <w:pPr>
        <w:numPr>
          <w:ilvl w:val="0"/>
          <w:numId w:val="39"/>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44"/>
        </w:numPr>
        <w:tabs>
          <w:tab w:val="left" w:pos="6090"/>
        </w:tabs>
        <w:spacing w:line="360" w:lineRule="auto"/>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授权使用时限与履行相关法律法规和监管要求的必要时限一致。</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被告人所在地有管辖权的人民法院诉讼解决。</w:t>
      </w:r>
    </w:p>
    <w:p>
      <w:pPr>
        <w:numPr>
          <w:ilvl w:val="0"/>
          <w:numId w:val="44"/>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93557F"/>
    <w:multiLevelType w:val="singleLevel"/>
    <w:tmpl w:val="8493557F"/>
    <w:lvl w:ilvl="0" w:tentative="0">
      <w:start w:val="2"/>
      <w:numFmt w:val="decimal"/>
      <w:suff w:val="nothing"/>
      <w:lvlText w:val="%1．"/>
      <w:lvlJc w:val="left"/>
      <w:pPr>
        <w:ind w:left="0" w:firstLine="403"/>
      </w:pPr>
      <w:rPr>
        <w:rFonts w:hint="default" w:ascii="宋体" w:hAnsi="宋体" w:eastAsia="宋体" w:cs="宋体"/>
        <w:b w:val="0"/>
        <w:bCs w:val="0"/>
      </w:rPr>
    </w:lvl>
  </w:abstractNum>
  <w:abstractNum w:abstractNumId="1">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2">
    <w:nsid w:val="8906C252"/>
    <w:multiLevelType w:val="singleLevel"/>
    <w:tmpl w:val="8906C252"/>
    <w:lvl w:ilvl="0" w:tentative="0">
      <w:start w:val="1"/>
      <w:numFmt w:val="decimal"/>
      <w:suff w:val="nothing"/>
      <w:lvlText w:val="（%1）"/>
      <w:lvlJc w:val="left"/>
      <w:rPr>
        <w:rFonts w:hint="default"/>
        <w:b w:val="0"/>
        <w:bCs w:val="0"/>
      </w:rPr>
    </w:lvl>
  </w:abstractNum>
  <w:abstractNum w:abstractNumId="3">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8CBA9D88"/>
    <w:multiLevelType w:val="singleLevel"/>
    <w:tmpl w:val="8CBA9D88"/>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2">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3">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4">
    <w:nsid w:val="F574F5B6"/>
    <w:multiLevelType w:val="singleLevel"/>
    <w:tmpl w:val="F574F5B6"/>
    <w:lvl w:ilvl="0" w:tentative="0">
      <w:start w:val="1"/>
      <w:numFmt w:val="decimal"/>
      <w:suff w:val="nothing"/>
      <w:lvlText w:val="（%1）"/>
      <w:lvlJc w:val="left"/>
    </w:lvl>
  </w:abstractNum>
  <w:abstractNum w:abstractNumId="25">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26">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27">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28">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29">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0">
    <w:nsid w:val="167B0BB4"/>
    <w:multiLevelType w:val="singleLevel"/>
    <w:tmpl w:val="167B0BB4"/>
    <w:lvl w:ilvl="0" w:tentative="0">
      <w:start w:val="1"/>
      <w:numFmt w:val="decimal"/>
      <w:suff w:val="nothing"/>
      <w:lvlText w:val="（%1）"/>
      <w:lvlJc w:val="left"/>
    </w:lvl>
  </w:abstractNum>
  <w:abstractNum w:abstractNumId="31">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2">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3">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34">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35">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36">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3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3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3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41">
    <w:nsid w:val="62F21FDB"/>
    <w:multiLevelType w:val="multilevel"/>
    <w:tmpl w:val="62F21FDB"/>
    <w:lvl w:ilvl="0" w:tentative="0">
      <w:start w:val="1"/>
      <w:numFmt w:val="decimal"/>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68F6C37C"/>
    <w:multiLevelType w:val="singleLevel"/>
    <w:tmpl w:val="68F6C37C"/>
    <w:lvl w:ilvl="0" w:tentative="0">
      <w:start w:val="1"/>
      <w:numFmt w:val="decimal"/>
      <w:lvlText w:val="%1."/>
      <w:lvlJc w:val="left"/>
      <w:pPr>
        <w:tabs>
          <w:tab w:val="left" w:pos="312"/>
        </w:tabs>
      </w:pPr>
      <w:rPr>
        <w:rFonts w:hint="default"/>
        <w:highlight w:val="none"/>
      </w:rPr>
    </w:lvl>
  </w:abstractNum>
  <w:abstractNum w:abstractNumId="4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39"/>
  </w:num>
  <w:num w:numId="2">
    <w:abstractNumId w:val="36"/>
  </w:num>
  <w:num w:numId="3">
    <w:abstractNumId w:val="25"/>
  </w:num>
  <w:num w:numId="4">
    <w:abstractNumId w:val="23"/>
  </w:num>
  <w:num w:numId="5">
    <w:abstractNumId w:val="28"/>
  </w:num>
  <w:num w:numId="6">
    <w:abstractNumId w:val="22"/>
  </w:num>
  <w:num w:numId="7">
    <w:abstractNumId w:val="17"/>
  </w:num>
  <w:num w:numId="8">
    <w:abstractNumId w:val="10"/>
  </w:num>
  <w:num w:numId="9">
    <w:abstractNumId w:val="14"/>
  </w:num>
  <w:num w:numId="10">
    <w:abstractNumId w:val="7"/>
  </w:num>
  <w:num w:numId="11">
    <w:abstractNumId w:val="8"/>
  </w:num>
  <w:num w:numId="12">
    <w:abstractNumId w:val="6"/>
  </w:num>
  <w:num w:numId="13">
    <w:abstractNumId w:val="27"/>
  </w:num>
  <w:num w:numId="14">
    <w:abstractNumId w:val="42"/>
  </w:num>
  <w:num w:numId="15">
    <w:abstractNumId w:val="4"/>
  </w:num>
  <w:num w:numId="16">
    <w:abstractNumId w:val="0"/>
  </w:num>
  <w:num w:numId="17">
    <w:abstractNumId w:val="35"/>
  </w:num>
  <w:num w:numId="18">
    <w:abstractNumId w:val="24"/>
  </w:num>
  <w:num w:numId="19">
    <w:abstractNumId w:val="16"/>
  </w:num>
  <w:num w:numId="20">
    <w:abstractNumId w:val="32"/>
  </w:num>
  <w:num w:numId="21">
    <w:abstractNumId w:val="18"/>
  </w:num>
  <w:num w:numId="22">
    <w:abstractNumId w:val="5"/>
  </w:num>
  <w:num w:numId="23">
    <w:abstractNumId w:val="38"/>
  </w:num>
  <w:num w:numId="24">
    <w:abstractNumId w:val="3"/>
  </w:num>
  <w:num w:numId="25">
    <w:abstractNumId w:val="41"/>
  </w:num>
  <w:num w:numId="26">
    <w:abstractNumId w:val="31"/>
  </w:num>
  <w:num w:numId="27">
    <w:abstractNumId w:val="43"/>
  </w:num>
  <w:num w:numId="28">
    <w:abstractNumId w:val="26"/>
  </w:num>
  <w:num w:numId="29">
    <w:abstractNumId w:val="20"/>
  </w:num>
  <w:num w:numId="30">
    <w:abstractNumId w:val="34"/>
  </w:num>
  <w:num w:numId="31">
    <w:abstractNumId w:val="1"/>
  </w:num>
  <w:num w:numId="32">
    <w:abstractNumId w:val="21"/>
  </w:num>
  <w:num w:numId="33">
    <w:abstractNumId w:val="13"/>
  </w:num>
  <w:num w:numId="34">
    <w:abstractNumId w:val="37"/>
  </w:num>
  <w:num w:numId="35">
    <w:abstractNumId w:val="29"/>
  </w:num>
  <w:num w:numId="36">
    <w:abstractNumId w:val="15"/>
  </w:num>
  <w:num w:numId="37">
    <w:abstractNumId w:val="40"/>
  </w:num>
  <w:num w:numId="38">
    <w:abstractNumId w:val="11"/>
  </w:num>
  <w:num w:numId="39">
    <w:abstractNumId w:val="9"/>
  </w:num>
  <w:num w:numId="40">
    <w:abstractNumId w:val="12"/>
  </w:num>
  <w:num w:numId="41">
    <w:abstractNumId w:val="30"/>
  </w:num>
  <w:num w:numId="42">
    <w:abstractNumId w:val="19"/>
  </w:num>
  <w:num w:numId="43">
    <w:abstractNumId w:val="2"/>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562BF7"/>
    <w:rsid w:val="03BA3F56"/>
    <w:rsid w:val="0460442C"/>
    <w:rsid w:val="04CC55AF"/>
    <w:rsid w:val="0500018B"/>
    <w:rsid w:val="05B13762"/>
    <w:rsid w:val="07376664"/>
    <w:rsid w:val="07817326"/>
    <w:rsid w:val="09130B13"/>
    <w:rsid w:val="0B1A5A6E"/>
    <w:rsid w:val="0B2D0BA7"/>
    <w:rsid w:val="0BC67461"/>
    <w:rsid w:val="0C583EF5"/>
    <w:rsid w:val="0D6706EF"/>
    <w:rsid w:val="0DBE77E4"/>
    <w:rsid w:val="0E2830EC"/>
    <w:rsid w:val="101F6BD5"/>
    <w:rsid w:val="10504FB0"/>
    <w:rsid w:val="110C5156"/>
    <w:rsid w:val="110C5C43"/>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A4E1FEA"/>
    <w:rsid w:val="1B757EAF"/>
    <w:rsid w:val="1CAD01AC"/>
    <w:rsid w:val="1D866C77"/>
    <w:rsid w:val="1D9446FE"/>
    <w:rsid w:val="1DA62CA8"/>
    <w:rsid w:val="1E831DF3"/>
    <w:rsid w:val="1E856DEB"/>
    <w:rsid w:val="1EF850ED"/>
    <w:rsid w:val="1F3C1565"/>
    <w:rsid w:val="20BD2325"/>
    <w:rsid w:val="24A67BC4"/>
    <w:rsid w:val="25801A05"/>
    <w:rsid w:val="27CE3874"/>
    <w:rsid w:val="27EB3D24"/>
    <w:rsid w:val="28B13D99"/>
    <w:rsid w:val="2A4135AD"/>
    <w:rsid w:val="2AD52CEA"/>
    <w:rsid w:val="2B683C5D"/>
    <w:rsid w:val="2B8255D3"/>
    <w:rsid w:val="2BC31156"/>
    <w:rsid w:val="2C016B4D"/>
    <w:rsid w:val="2CED7384"/>
    <w:rsid w:val="2D131CD0"/>
    <w:rsid w:val="2DD45D89"/>
    <w:rsid w:val="2F237638"/>
    <w:rsid w:val="2F6A71CE"/>
    <w:rsid w:val="2F9A3C45"/>
    <w:rsid w:val="307B1E47"/>
    <w:rsid w:val="348C31DF"/>
    <w:rsid w:val="348E01C6"/>
    <w:rsid w:val="34AF19D4"/>
    <w:rsid w:val="354C4323"/>
    <w:rsid w:val="35CD15B7"/>
    <w:rsid w:val="35D86BDE"/>
    <w:rsid w:val="35FD5667"/>
    <w:rsid w:val="36043B09"/>
    <w:rsid w:val="36310E4A"/>
    <w:rsid w:val="36591675"/>
    <w:rsid w:val="372216A6"/>
    <w:rsid w:val="38663D34"/>
    <w:rsid w:val="39310E98"/>
    <w:rsid w:val="3AA66AF1"/>
    <w:rsid w:val="3AFC4E01"/>
    <w:rsid w:val="3B885E8A"/>
    <w:rsid w:val="3C4454BA"/>
    <w:rsid w:val="3D3D1991"/>
    <w:rsid w:val="3E6E2E42"/>
    <w:rsid w:val="3EA23778"/>
    <w:rsid w:val="3EAC1C1C"/>
    <w:rsid w:val="3EE67142"/>
    <w:rsid w:val="3EFE04EE"/>
    <w:rsid w:val="3F0A6615"/>
    <w:rsid w:val="3FCF347B"/>
    <w:rsid w:val="3FE830E5"/>
    <w:rsid w:val="40221B6B"/>
    <w:rsid w:val="40E021B1"/>
    <w:rsid w:val="41487A0A"/>
    <w:rsid w:val="42342BAA"/>
    <w:rsid w:val="425B6A60"/>
    <w:rsid w:val="426E7500"/>
    <w:rsid w:val="43685ADB"/>
    <w:rsid w:val="44045C03"/>
    <w:rsid w:val="46DB254E"/>
    <w:rsid w:val="47C36E36"/>
    <w:rsid w:val="48A3615E"/>
    <w:rsid w:val="48E00B0C"/>
    <w:rsid w:val="4B954EA0"/>
    <w:rsid w:val="4CC84C98"/>
    <w:rsid w:val="4D4708A6"/>
    <w:rsid w:val="4E320B2E"/>
    <w:rsid w:val="4E754A4E"/>
    <w:rsid w:val="4E9967DA"/>
    <w:rsid w:val="4ECF6E10"/>
    <w:rsid w:val="4F1025D9"/>
    <w:rsid w:val="4FC27339"/>
    <w:rsid w:val="502B3CEE"/>
    <w:rsid w:val="509F5AAF"/>
    <w:rsid w:val="50B621B6"/>
    <w:rsid w:val="50EE58D7"/>
    <w:rsid w:val="519E097B"/>
    <w:rsid w:val="51EB2798"/>
    <w:rsid w:val="53A84543"/>
    <w:rsid w:val="56A66316"/>
    <w:rsid w:val="5851778C"/>
    <w:rsid w:val="58A020D2"/>
    <w:rsid w:val="5A5F3178"/>
    <w:rsid w:val="5A7E2982"/>
    <w:rsid w:val="5B24597E"/>
    <w:rsid w:val="5B7358EA"/>
    <w:rsid w:val="5BEF430C"/>
    <w:rsid w:val="5C531CB6"/>
    <w:rsid w:val="5CD2251B"/>
    <w:rsid w:val="5CF01D88"/>
    <w:rsid w:val="5D5C0387"/>
    <w:rsid w:val="5DF35554"/>
    <w:rsid w:val="608F3A1C"/>
    <w:rsid w:val="61423886"/>
    <w:rsid w:val="6336483C"/>
    <w:rsid w:val="646D7D7D"/>
    <w:rsid w:val="64A47711"/>
    <w:rsid w:val="64BB6AA4"/>
    <w:rsid w:val="64EB1FB1"/>
    <w:rsid w:val="65085FDD"/>
    <w:rsid w:val="65F53E4A"/>
    <w:rsid w:val="66A625FE"/>
    <w:rsid w:val="66BC7D07"/>
    <w:rsid w:val="672D0717"/>
    <w:rsid w:val="68782DAE"/>
    <w:rsid w:val="69644745"/>
    <w:rsid w:val="69BC658F"/>
    <w:rsid w:val="6A042D14"/>
    <w:rsid w:val="6ABE1B22"/>
    <w:rsid w:val="6B29233B"/>
    <w:rsid w:val="6B8C2015"/>
    <w:rsid w:val="6C1B5E3A"/>
    <w:rsid w:val="6C3E06A6"/>
    <w:rsid w:val="6D966DB7"/>
    <w:rsid w:val="6EE209DA"/>
    <w:rsid w:val="70597F18"/>
    <w:rsid w:val="7082330A"/>
    <w:rsid w:val="725917A9"/>
    <w:rsid w:val="73631A55"/>
    <w:rsid w:val="77B75243"/>
    <w:rsid w:val="77C21A5F"/>
    <w:rsid w:val="77D23D86"/>
    <w:rsid w:val="792D1E0D"/>
    <w:rsid w:val="79321117"/>
    <w:rsid w:val="7A3A7C0C"/>
    <w:rsid w:val="7A835F66"/>
    <w:rsid w:val="7A8955BC"/>
    <w:rsid w:val="7A9D6576"/>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Style w:val="8"/>
      <w:tblLayout w:type="fixed"/>
      <w:tblCellMar>
        <w:top w:w="0" w:type="dxa"/>
        <w:left w:w="108" w:type="dxa"/>
        <w:bottom w:w="0" w:type="dxa"/>
        <w:right w:w="108" w:type="dxa"/>
      </w:tblCellMar>
    </w:tblPr>
  </w:style>
  <w:style w:type="paragraph" w:styleId="2">
    <w:name w:val="annotation text"/>
    <w:basedOn w:val="1"/>
    <w:link w:val="17"/>
    <w:uiPriority w:val="0"/>
    <w:pPr>
      <w:jc w:val="left"/>
    </w:pPr>
    <w:rPr>
      <w:rFonts w:cs="Times New Roman"/>
    </w:rPr>
  </w:style>
  <w:style w:type="paragraph" w:styleId="3">
    <w:name w:val="Balloon Text"/>
    <w:basedOn w:val="1"/>
    <w:link w:val="15"/>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paragraph" w:styleId="7">
    <w:name w:val="annotation subject"/>
    <w:basedOn w:val="2"/>
    <w:next w:val="2"/>
    <w:link w:val="16"/>
    <w:uiPriority w:val="0"/>
    <w:rPr>
      <w:b/>
      <w:bCs/>
    </w:rPr>
  </w:style>
  <w:style w:type="table" w:styleId="9">
    <w:name w:val="Table Grid"/>
    <w:basedOn w:val="8"/>
    <w:unhideWhenUsed/>
    <w:qFormat/>
    <w:uiPriority w:val="99"/>
    <w:pPr>
      <w:widowControl w:val="0"/>
      <w:jc w:val="both"/>
    </w:pPr>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color w:val="000000"/>
      <w:sz w:val="24"/>
      <w:szCs w:val="24"/>
      <w:lang w:val="en-US" w:eastAsia="zh-CN" w:bidi="ar-SA"/>
    </w:rPr>
  </w:style>
  <w:style w:type="character" w:customStyle="1" w:styleId="15">
    <w:name w:val="批注框文本 字符"/>
    <w:link w:val="3"/>
    <w:uiPriority w:val="0"/>
    <w:rPr>
      <w:rFonts w:ascii="Calibri" w:hAnsi="Calibri" w:cs="黑体"/>
      <w:kern w:val="2"/>
      <w:sz w:val="18"/>
      <w:szCs w:val="18"/>
    </w:rPr>
  </w:style>
  <w:style w:type="character" w:customStyle="1" w:styleId="16">
    <w:name w:val="批注主题 字符"/>
    <w:link w:val="7"/>
    <w:uiPriority w:val="0"/>
    <w:rPr>
      <w:rFonts w:ascii="Calibri" w:hAnsi="Calibri" w:cs="黑体"/>
      <w:b/>
      <w:bCs/>
      <w:kern w:val="2"/>
      <w:sz w:val="21"/>
      <w:szCs w:val="24"/>
    </w:rPr>
  </w:style>
  <w:style w:type="character" w:customStyle="1" w:styleId="17">
    <w:name w:val="批注文字 字符"/>
    <w:link w:val="2"/>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35768</Words>
  <Characters>38199</Characters>
  <Lines>259</Lines>
  <Paragraphs>72</Paragraphs>
  <TotalTime>1</TotalTime>
  <ScaleCrop>false</ScaleCrop>
  <LinksUpToDate>false</LinksUpToDate>
  <CharactersWithSpaces>38602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2025-09-18T06:10:39Z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