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outlineLvl w:val="0"/>
        <w:rPr>
          <w:rFonts w:hint="eastAsia" w:ascii="宋体" w:hAnsi="宋体" w:cs="宋体"/>
          <w:b/>
          <w:bCs/>
          <w:sz w:val="44"/>
          <w:szCs w:val="44"/>
          <w:highlight w:val="none"/>
        </w:rPr>
      </w:pPr>
      <w:bookmarkStart w:id="0" w:name="_GoBack"/>
      <w:bookmarkEnd w:id="0"/>
      <w:r>
        <w:rPr>
          <w:rFonts w:hint="eastAsia" w:ascii="宋体" w:hAnsi="宋体" w:cs="宋体"/>
          <w:b/>
          <w:bCs/>
          <w:sz w:val="44"/>
          <w:szCs w:val="44"/>
          <w:highlight w:val="none"/>
          <w:lang w:eastAsia="zh-CN"/>
        </w:rPr>
        <w:t>幸福99丰裕固收387天25182期理财</w:t>
      </w:r>
      <w:r>
        <w:rPr>
          <w:rFonts w:hint="eastAsia" w:ascii="宋体" w:hAnsi="宋体" w:cs="宋体"/>
          <w:b/>
          <w:bCs/>
          <w:sz w:val="44"/>
          <w:szCs w:val="44"/>
          <w:highlight w:val="none"/>
        </w:rPr>
        <w:t>产品说明书</w:t>
      </w:r>
    </w:p>
    <w:p>
      <w:pPr>
        <w:jc w:val="center"/>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color w:val="auto"/>
          <w:sz w:val="24"/>
          <w:highlight w:val="none"/>
        </w:rPr>
      </w:pPr>
      <w:r>
        <w:rPr>
          <w:rFonts w:hint="eastAsia" w:ascii="宋体" w:hAnsi="宋体" w:cs="宋体"/>
          <w:color w:val="000000"/>
          <w:sz w:val="24"/>
          <w:highlight w:val="none"/>
        </w:rPr>
        <w:t>备案编号</w:t>
      </w:r>
      <w:r>
        <w:rPr>
          <w:rFonts w:hint="eastAsia" w:ascii="宋体" w:hAnsi="宋体" w:cs="宋体"/>
          <w:color w:val="auto"/>
          <w:sz w:val="24"/>
          <w:highlight w:val="none"/>
        </w:rPr>
        <w:t>:</w:t>
      </w:r>
      <w:r>
        <w:rPr>
          <w:rFonts w:hint="eastAsia" w:ascii="宋体" w:hAnsi="宋体" w:cs="宋体"/>
          <w:bCs/>
          <w:color w:val="auto"/>
          <w:sz w:val="24"/>
          <w:highlight w:val="none"/>
        </w:rPr>
        <w:t>〖</w:t>
      </w:r>
      <w:r>
        <w:rPr>
          <w:rFonts w:hint="eastAsia" w:ascii="宋体" w:hAnsi="宋体" w:cs="宋体"/>
          <w:color w:val="000000"/>
          <w:sz w:val="24"/>
          <w:highlight w:val="none"/>
          <w:lang w:val="en-US" w:eastAsia="zh-CN"/>
        </w:rPr>
        <w:t>Z7002225000346</w:t>
      </w:r>
      <w:r>
        <w:rPr>
          <w:rFonts w:hint="eastAsia" w:ascii="宋体" w:hAnsi="宋体" w:cs="宋体"/>
          <w:bCs/>
          <w:color w:val="auto"/>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投资协议书》《风险揭示书》《投资者权益须知》《理财计划销售协议书》，将共同构成投资者与管理人之间的理财计划销售文件。</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在本理财计划存续期内，如因监管政策或法律法规发生变化，在不损害投资者利益的前提下，管理人有权对因上述变化导致的本理财计划说明书条款变化进行修订。</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spacing w:line="360" w:lineRule="auto"/>
        <w:jc w:val="left"/>
        <w:rPr>
          <w:rFonts w:hint="eastAsia" w:ascii="宋体" w:hAnsi="宋体" w:cs="宋体"/>
          <w:bCs/>
          <w:sz w:val="24"/>
          <w:highlight w:val="none"/>
        </w:rPr>
      </w:pPr>
    </w:p>
    <w:p>
      <w:pPr>
        <w:numPr>
          <w:ilvl w:val="0"/>
          <w:numId w:val="3"/>
        </w:numPr>
        <w:spacing w:line="360" w:lineRule="auto"/>
        <w:jc w:val="left"/>
        <w:outlineLvl w:val="1"/>
        <w:rPr>
          <w:rFonts w:ascii="宋体" w:hAnsi="宋体" w:cs="宋体"/>
          <w:b/>
          <w:sz w:val="24"/>
          <w:highlight w:val="none"/>
        </w:rPr>
      </w:pPr>
      <w:r>
        <w:rPr>
          <w:rFonts w:hint="eastAsia" w:ascii="宋体" w:hAnsi="宋体" w:cs="宋体"/>
          <w:b/>
          <w:sz w:val="24"/>
          <w:highlight w:val="none"/>
        </w:rPr>
        <w:t>释义</w:t>
      </w:r>
    </w:p>
    <w:p>
      <w:pPr>
        <w:pStyle w:val="13"/>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3"/>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3"/>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指杭银理财有限责任公司，主要从事面向不特定社会公众公开发行理财产品、面向合格投资者非公开发行理财产品、理财顾问和咨询服务等相关业务。杭银理财有限责任公司简称杭银理财，官网网站为</w:t>
      </w:r>
      <w:r>
        <w:rPr>
          <w:rFonts w:hint="eastAsia" w:ascii="宋体" w:hAnsi="宋体" w:cs="宋体"/>
          <w:bCs/>
          <w:color w:val="auto"/>
          <w:kern w:val="2"/>
          <w:highlight w:val="none"/>
          <w:u w:val="single"/>
        </w:rPr>
        <w:t>https://www.hzbankwealth.com.cn。</w:t>
      </w:r>
    </w:p>
    <w:p>
      <w:pPr>
        <w:pStyle w:val="13"/>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auto"/>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rPr>
          <w:rFonts w:hint="eastAsia" w:ascii="宋体" w:hAnsi="宋体" w:cs="宋体"/>
          <w:bCs/>
          <w:color w:val="auto"/>
          <w:kern w:val="2"/>
          <w:highlight w:val="none"/>
          <w:u w:val="single"/>
        </w:rPr>
        <w:instrText xml:space="preserve"> HYPERLINK "http://www.hzbank.com.cn" </w:instrText>
      </w:r>
      <w:r>
        <w:fldChar w:fldCharType="separate"/>
      </w:r>
      <w:r>
        <w:rPr>
          <w:rFonts w:hint="eastAsia" w:ascii="宋体" w:hAnsi="宋体" w:cs="宋体"/>
          <w:bCs/>
          <w:color w:val="auto"/>
          <w:kern w:val="2"/>
          <w:highlight w:val="none"/>
          <w:u w:val="single"/>
        </w:rPr>
        <w:t>www.hzbank.com.cn</w:t>
      </w:r>
      <w:r>
        <w:fldChar w:fldCharType="end"/>
      </w:r>
      <w:r>
        <w:rPr>
          <w:rFonts w:hint="eastAsia" w:ascii="宋体" w:hAnsi="宋体" w:cs="宋体"/>
          <w:bCs/>
          <w:color w:val="auto"/>
          <w:kern w:val="2"/>
          <w:highlight w:val="none"/>
        </w:rPr>
        <w:t>，客服热线为95398。</w:t>
      </w:r>
    </w:p>
    <w:p>
      <w:pPr>
        <w:pStyle w:val="13"/>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highlight w:val="none"/>
        </w:rPr>
        <w:t>〖</w:t>
      </w:r>
      <w:r>
        <w:rPr>
          <w:rFonts w:hint="eastAsia" w:ascii="宋体" w:hAnsi="宋体" w:cs="宋体"/>
          <w:bCs/>
          <w:color w:val="auto"/>
          <w:kern w:val="2"/>
          <w:highlight w:val="none"/>
        </w:rPr>
        <w:t>杭州银行股份有限公司</w:t>
      </w:r>
      <w:r>
        <w:rPr>
          <w:rFonts w:hint="eastAsia" w:ascii="宋体" w:hAnsi="宋体" w:cs="宋体"/>
          <w:highlight w:val="none"/>
        </w:rPr>
        <w:t>〗</w:t>
      </w:r>
      <w:r>
        <w:rPr>
          <w:rFonts w:hint="eastAsia" w:ascii="宋体" w:hAnsi="宋体" w:cs="宋体"/>
          <w:bCs/>
          <w:color w:val="auto"/>
          <w:kern w:val="2"/>
          <w:highlight w:val="none"/>
        </w:rPr>
        <w:t>。</w:t>
      </w:r>
    </w:p>
    <w:p>
      <w:pPr>
        <w:pStyle w:val="13"/>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3"/>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3"/>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的信托计划/资管计划的管理人/受托人、相关投资顾问等）实施监督管理的机构，包括但不限于中国人民银行、国家金融监督管理总局、中国证券监督管理委员会、外汇管理局、银行业理财登记托管中心等。</w:t>
      </w:r>
    </w:p>
    <w:p>
      <w:pPr>
        <w:pStyle w:val="13"/>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3"/>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cs="宋体"/>
          <w:bCs/>
          <w:color w:val="auto"/>
          <w:kern w:val="2"/>
          <w:highlight w:val="none"/>
          <w:lang w:eastAsia="zh-CN"/>
        </w:rPr>
        <w:t>幸福99丰裕固收387天25182期理财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3"/>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cs="宋体"/>
          <w:bCs/>
          <w:color w:val="auto"/>
          <w:kern w:val="2"/>
          <w:highlight w:val="none"/>
          <w:lang w:eastAsia="zh-CN"/>
        </w:rPr>
        <w:t>幸福99丰裕固收387天25182期理财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3"/>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cs="宋体"/>
          <w:bCs/>
          <w:color w:val="auto"/>
          <w:kern w:val="2"/>
          <w:highlight w:val="none"/>
          <w:lang w:eastAsia="zh-CN"/>
        </w:rPr>
        <w:t>幸福99丰裕固收387天25182期理财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3"/>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理财计划投资协议书：</w:t>
      </w:r>
      <w:r>
        <w:rPr>
          <w:rFonts w:hint="eastAsia" w:ascii="宋体" w:hAnsi="宋体" w:cs="宋体"/>
          <w:bCs/>
          <w:color w:val="auto"/>
          <w:kern w:val="2"/>
          <w:highlight w:val="none"/>
        </w:rPr>
        <w:t>指作为</w:t>
      </w:r>
      <w:r>
        <w:rPr>
          <w:rFonts w:hint="eastAsia" w:ascii="宋体" w:hAnsi="宋体" w:cs="宋体"/>
          <w:bCs/>
          <w:color w:val="auto"/>
          <w:kern w:val="2"/>
          <w:highlight w:val="none"/>
          <w:lang w:eastAsia="zh-CN"/>
        </w:rPr>
        <w:t>幸福99丰裕固收387天25182期理财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3"/>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理财计划销售协议书：</w:t>
      </w:r>
      <w:r>
        <w:rPr>
          <w:rFonts w:hint="eastAsia" w:ascii="宋体" w:hAnsi="宋体" w:cs="宋体"/>
          <w:bCs/>
          <w:color w:val="auto"/>
          <w:kern w:val="2"/>
          <w:highlight w:val="none"/>
        </w:rPr>
        <w:t>指作为</w:t>
      </w:r>
      <w:r>
        <w:rPr>
          <w:rFonts w:hint="eastAsia" w:ascii="宋体" w:hAnsi="宋体" w:cs="宋体"/>
          <w:bCs/>
          <w:color w:val="auto"/>
          <w:kern w:val="2"/>
          <w:highlight w:val="none"/>
          <w:lang w:eastAsia="zh-CN"/>
        </w:rPr>
        <w:t>幸福99丰裕固收387天25182期理财</w:t>
      </w:r>
      <w:r>
        <w:rPr>
          <w:rFonts w:hint="eastAsia" w:ascii="宋体" w:hAnsi="宋体" w:cs="宋体"/>
          <w:bCs/>
          <w:color w:val="auto"/>
          <w:kern w:val="2"/>
          <w:highlight w:val="none"/>
        </w:rPr>
        <w:t>合同不可分割组成部分的理财计划销售协议书，以及对该文件的有效修改与补充。</w:t>
      </w:r>
    </w:p>
    <w:p>
      <w:pPr>
        <w:pStyle w:val="13"/>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理财计划合同/销售文件：</w:t>
      </w:r>
      <w:r>
        <w:rPr>
          <w:rFonts w:hint="eastAsia" w:ascii="宋体" w:hAnsi="宋体" w:cs="宋体"/>
          <w:bCs/>
          <w:color w:val="auto"/>
          <w:kern w:val="2"/>
          <w:highlight w:val="none"/>
        </w:rPr>
        <w:t>指《理财计划风险揭示书》《理财计划产品说明书》《投资者权益须知》《理财计划投资协议书》《理财计划销售协议书》五个部分。</w:t>
      </w:r>
    </w:p>
    <w:p>
      <w:pPr>
        <w:pStyle w:val="13"/>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cs="宋体"/>
          <w:bCs/>
          <w:color w:val="auto"/>
          <w:kern w:val="2"/>
          <w:highlight w:val="none"/>
          <w:lang w:eastAsia="zh-CN"/>
        </w:rPr>
        <w:t>幸福99丰裕固收387天25182期理财</w:t>
      </w:r>
      <w:r>
        <w:rPr>
          <w:rFonts w:hint="eastAsia" w:ascii="宋体" w:hAnsi="宋体" w:cs="宋体"/>
          <w:bCs/>
          <w:highlight w:val="none"/>
        </w:rPr>
        <w:t>。</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3"/>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3"/>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的正常交易日。如涉及到监管条例部分，统一以监管条例表述替代。</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指理财计划成立后，理财计划不接受投资者申购赎回的时间。</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如因国家相关主管部门临时调整节假日安排，导致原定成立日、到期日、估值日等日期安排发生变化的，原则上采用顺延方式对原定日期进行调整，如有特殊安排，以管理人对外披露的公告为准。</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销售服务费、托管人收取的托管费、交易费用、执行费用等相关费用，具体以实际发生为准。</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其他费用：</w:t>
      </w:r>
      <w:r>
        <w:rPr>
          <w:rFonts w:hint="eastAsia" w:ascii="宋体" w:hAnsi="宋体" w:cs="宋体"/>
          <w:bCs/>
          <w:highlight w:val="none"/>
        </w:rPr>
        <w:t>指除理财计划费用以外，理财计划涉及的其他相关费用，包括但不限于认购费、申购费、赎回费、投顾费等，具体以本说明书第八条约定为准。</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3"/>
        <w:numPr>
          <w:ilvl w:val="0"/>
          <w:numId w:val="7"/>
        </w:numPr>
        <w:adjustRightInd/>
        <w:spacing w:line="360" w:lineRule="auto"/>
        <w:ind w:left="0" w:firstLine="0"/>
        <w:rPr>
          <w:rFonts w:hint="eastAsia" w:ascii="宋体" w:hAnsi="宋体" w:cs="宋体"/>
          <w:b/>
          <w:color w:val="auto"/>
          <w:kern w:val="2"/>
          <w:highlight w:val="none"/>
        </w:rPr>
      </w:pPr>
      <w:r>
        <w:rPr>
          <w:rFonts w:hint="eastAsia" w:ascii="宋体" w:hAnsi="宋体" w:cs="宋体"/>
          <w:b/>
          <w:bCs w:val="0"/>
          <w:color w:val="auto"/>
          <w:kern w:val="2"/>
          <w:highlight w:val="none"/>
          <w:lang w:val="en-US" w:eastAsia="zh-CN"/>
        </w:rPr>
        <w:t>流动性</w:t>
      </w:r>
      <w:r>
        <w:rPr>
          <w:rFonts w:hint="eastAsia"/>
          <w:b/>
          <w:bCs w:val="0"/>
          <w:highlight w:val="none"/>
          <w:lang w:val="en-US" w:eastAsia="zh-CN"/>
        </w:rPr>
        <w:t>受限资产：</w:t>
      </w:r>
      <w:r>
        <w:rPr>
          <w:rFonts w:hint="eastAsia"/>
          <w:highlight w:val="none"/>
          <w:lang w:val="en-US" w:eastAsia="zh-CN"/>
        </w:rPr>
        <w:t>是指由于法律法规、监管、合同或操作障碍等原因无法以合理价格予以变现的资产，包括到期日在</w:t>
      </w:r>
      <w:r>
        <w:rPr>
          <w:rFonts w:hint="eastAsia" w:ascii="宋体" w:hAnsi="宋体" w:eastAsia="宋体" w:cs="宋体"/>
          <w:highlight w:val="none"/>
          <w:lang w:val="en-US" w:eastAsia="zh-CN"/>
        </w:rPr>
        <w:t>10</w:t>
      </w:r>
      <w:r>
        <w:rPr>
          <w:rFonts w:hint="eastAsia"/>
          <w:highlight w:val="none"/>
          <w:lang w:val="en-US" w:eastAsia="zh-CN"/>
        </w:rPr>
        <w:t>个交易日以上的逆回购与银行定期存款（含协议约定有条件提前支取的银行存款）、距可赎回日在</w:t>
      </w:r>
      <w:r>
        <w:rPr>
          <w:rFonts w:hint="eastAsia" w:ascii="宋体" w:hAnsi="宋体" w:eastAsia="宋体" w:cs="宋体"/>
          <w:highlight w:val="none"/>
          <w:lang w:val="en-US" w:eastAsia="zh-CN"/>
        </w:rPr>
        <w:t>10</w:t>
      </w:r>
      <w:r>
        <w:rPr>
          <w:rFonts w:hint="eastAsia"/>
          <w:highlight w:val="none"/>
          <w:lang w:val="en-US" w:eastAsia="zh-CN"/>
        </w:rPr>
        <w:t>个交易日以上的资产管理产品、停牌股票、流通受限的新股及非公开发行股票、资产支持证券（票据），因发行人债务违约无法进行转让或交易的债券和非金融企业债务融资工具，以及其他流动性受限资产。</w:t>
      </w:r>
    </w:p>
    <w:p>
      <w:pPr>
        <w:pStyle w:val="13"/>
        <w:numPr>
          <w:ilvl w:val="0"/>
          <w:numId w:val="7"/>
        </w:numPr>
        <w:adjustRightInd/>
        <w:spacing w:line="360" w:lineRule="auto"/>
        <w:ind w:left="0" w:firstLine="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13"/>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3"/>
        <w:numPr>
          <w:ilvl w:val="0"/>
          <w:numId w:val="8"/>
        </w:numPr>
        <w:adjustRightInd/>
        <w:spacing w:line="360" w:lineRule="auto"/>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3"/>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3"/>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3"/>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3"/>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3"/>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3"/>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3"/>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13"/>
        <w:numPr>
          <w:ilvl w:val="0"/>
          <w:numId w:val="9"/>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13"/>
        <w:adjustRightInd/>
        <w:spacing w:line="360" w:lineRule="auto"/>
        <w:rPr>
          <w:rFonts w:hint="eastAsia" w:ascii="宋体" w:hAnsi="宋体" w:cs="宋体"/>
          <w:bCs/>
          <w:color w:val="auto"/>
          <w:kern w:val="2"/>
          <w:highlight w:val="none"/>
        </w:rPr>
      </w:pPr>
    </w:p>
    <w:p>
      <w:pPr>
        <w:pStyle w:val="13"/>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3"/>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cs="宋体"/>
          <w:b/>
          <w:sz w:val="24"/>
          <w:highlight w:val="none"/>
          <w:lang w:val="en-US" w:eastAsia="zh-CN"/>
        </w:rPr>
        <w:t>R2</w:t>
      </w:r>
      <w:r>
        <w:rPr>
          <w:rFonts w:hint="eastAsia" w:ascii="宋体" w:hAnsi="宋体" w:cs="宋体"/>
          <w:b/>
          <w:color w:val="auto"/>
          <w:kern w:val="2"/>
          <w:highlight w:val="none"/>
        </w:rPr>
        <w:t>〗，〖</w:t>
      </w:r>
      <w:r>
        <w:rPr>
          <w:rFonts w:hint="eastAsia" w:ascii="宋体" w:hAnsi="宋体" w:cs="宋体"/>
          <w:b/>
          <w:sz w:val="24"/>
          <w:highlight w:val="none"/>
          <w:lang w:val="en-US" w:eastAsia="zh-CN"/>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8"/>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7"/>
        <w:gridCol w:w="1502"/>
        <w:gridCol w:w="51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内部风险评级</w:t>
            </w:r>
          </w:p>
        </w:tc>
        <w:tc>
          <w:tcPr>
            <w:tcW w:w="1502"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风险程度</w:t>
            </w:r>
          </w:p>
        </w:tc>
        <w:tc>
          <w:tcPr>
            <w:tcW w:w="5163"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R1</w:t>
            </w:r>
          </w:p>
        </w:tc>
        <w:tc>
          <w:tcPr>
            <w:tcW w:w="1502"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低</w:t>
            </w:r>
          </w:p>
        </w:tc>
        <w:tc>
          <w:tcPr>
            <w:tcW w:w="5163"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保守型、稳健型、平衡型、成长型、进取型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3"/>
              <w:widowControl w:val="0"/>
              <w:autoSpaceDE w:val="0"/>
              <w:autoSpaceDN w:val="0"/>
              <w:adjustRightInd/>
              <w:spacing w:line="360" w:lineRule="auto"/>
              <w:jc w:val="center"/>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R2</w:t>
            </w:r>
          </w:p>
        </w:tc>
        <w:tc>
          <w:tcPr>
            <w:tcW w:w="1502" w:type="dxa"/>
            <w:noWrap w:val="0"/>
            <w:vAlign w:val="top"/>
          </w:tcPr>
          <w:p>
            <w:pPr>
              <w:pStyle w:val="13"/>
              <w:widowControl w:val="0"/>
              <w:autoSpaceDE w:val="0"/>
              <w:autoSpaceDN w:val="0"/>
              <w:adjustRightInd/>
              <w:spacing w:line="360" w:lineRule="auto"/>
              <w:jc w:val="center"/>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中低</w:t>
            </w:r>
          </w:p>
        </w:tc>
        <w:tc>
          <w:tcPr>
            <w:tcW w:w="5163" w:type="dxa"/>
            <w:noWrap w:val="0"/>
            <w:vAlign w:val="top"/>
          </w:tcPr>
          <w:p>
            <w:pPr>
              <w:pStyle w:val="13"/>
              <w:widowControl w:val="0"/>
              <w:autoSpaceDE w:val="0"/>
              <w:autoSpaceDN w:val="0"/>
              <w:adjustRightInd/>
              <w:spacing w:line="360" w:lineRule="auto"/>
              <w:jc w:val="center"/>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R3</w:t>
            </w:r>
          </w:p>
        </w:tc>
        <w:tc>
          <w:tcPr>
            <w:tcW w:w="1502"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中</w:t>
            </w:r>
          </w:p>
        </w:tc>
        <w:tc>
          <w:tcPr>
            <w:tcW w:w="5163"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R4</w:t>
            </w:r>
          </w:p>
        </w:tc>
        <w:tc>
          <w:tcPr>
            <w:tcW w:w="1502"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中高</w:t>
            </w:r>
          </w:p>
        </w:tc>
        <w:tc>
          <w:tcPr>
            <w:tcW w:w="5163"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R5</w:t>
            </w:r>
          </w:p>
        </w:tc>
        <w:tc>
          <w:tcPr>
            <w:tcW w:w="1502"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高</w:t>
            </w:r>
          </w:p>
        </w:tc>
        <w:tc>
          <w:tcPr>
            <w:tcW w:w="5163"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进取型</w:t>
            </w:r>
          </w:p>
        </w:tc>
      </w:tr>
    </w:tbl>
    <w:p>
      <w:pPr>
        <w:pStyle w:val="13"/>
        <w:adjustRightInd/>
        <w:spacing w:line="360" w:lineRule="auto"/>
        <w:ind w:firstLine="480" w:firstLineChars="200"/>
        <w:rPr>
          <w:rFonts w:ascii="宋体" w:hAnsi="宋体" w:cs="宋体"/>
          <w:bCs/>
          <w:color w:val="auto"/>
          <w:kern w:val="2"/>
          <w:highlight w:val="none"/>
        </w:rPr>
      </w:pPr>
      <w:r>
        <w:rPr>
          <w:rFonts w:hint="eastAsia" w:ascii="宋体" w:hAnsi="宋体" w:cs="宋体"/>
          <w:bCs/>
          <w:color w:val="auto"/>
          <w:kern w:val="2"/>
          <w:highlight w:val="none"/>
        </w:rPr>
        <w:t>投资者风险承受能力评级水平以销售机构评估为准。</w:t>
      </w:r>
    </w:p>
    <w:p>
      <w:pPr>
        <w:pStyle w:val="13"/>
        <w:adjustRightInd/>
        <w:spacing w:line="360" w:lineRule="auto"/>
        <w:rPr>
          <w:rFonts w:hint="eastAsia" w:ascii="宋体" w:hAnsi="宋体" w:cs="宋体"/>
          <w:bCs/>
          <w:color w:val="auto"/>
          <w:kern w:val="2"/>
          <w:highlight w:val="none"/>
        </w:rPr>
      </w:pPr>
    </w:p>
    <w:p>
      <w:pPr>
        <w:pStyle w:val="13"/>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8"/>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产品名称</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幸福99丰裕固收387天25182期理财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产品简称</w:t>
            </w:r>
          </w:p>
        </w:tc>
        <w:tc>
          <w:tcPr>
            <w:tcW w:w="7185" w:type="dxa"/>
            <w:noWrap w:val="0"/>
            <w:vAlign w:val="center"/>
          </w:tcPr>
          <w:p>
            <w:pPr>
              <w:widowControl/>
              <w:spacing w:line="360" w:lineRule="auto"/>
              <w:contextualSpacing/>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丰裕固收25182期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产品编号</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〖FYG25182〗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登记编码</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本理财计划在全国银行业理财信息登记系统的登记编码是〖Z7002225000346〗，投资者可依据该编码在“中国理财网（www.chinawealth.com.cn）”查询本理财计划信息。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发行对象</w:t>
            </w:r>
          </w:p>
        </w:tc>
        <w:tc>
          <w:tcPr>
            <w:tcW w:w="7185" w:type="dxa"/>
            <w:noWrap w:val="0"/>
            <w:vAlign w:val="center"/>
          </w:tcPr>
          <w:p>
            <w:pPr>
              <w:widowControl/>
              <w:spacing w:line="360" w:lineRule="auto"/>
              <w:contextualSpacing/>
              <w:jc w:val="both"/>
              <w:rPr>
                <w:rFonts w:hint="eastAsia" w:ascii="宋体" w:hAnsi="宋体" w:eastAsia="宋体" w:cs="宋体"/>
                <w:b/>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本理财计划适合</w:t>
            </w:r>
            <w:r>
              <w:rPr>
                <w:rFonts w:hint="eastAsia" w:ascii="宋体" w:hAnsi="宋体" w:eastAsia="宋体" w:cs="宋体"/>
                <w:b/>
                <w:kern w:val="2"/>
                <w:sz w:val="21"/>
                <w:szCs w:val="21"/>
                <w:highlight w:val="none"/>
                <w:lang w:val="en-US" w:eastAsia="zh-CN" w:bidi="ar-SA"/>
              </w:rPr>
              <w:t>〖</w:t>
            </w:r>
            <w:r>
              <w:rPr>
                <w:rFonts w:hint="eastAsia" w:ascii="宋体" w:hAnsi="宋体" w:eastAsia="宋体" w:cs="宋体"/>
                <w:b/>
                <w:color w:val="000000"/>
                <w:kern w:val="2"/>
                <w:sz w:val="21"/>
                <w:szCs w:val="21"/>
                <w:highlight w:val="none"/>
                <w:lang w:val="en-US" w:eastAsia="zh-CN" w:bidi="ar-SA"/>
              </w:rPr>
              <w:t>机构投资者〗以及〖稳健型、平衡型、成长型、进取型〗的个人投资者。</w:t>
            </w:r>
            <w:r>
              <w:rPr>
                <w:rFonts w:hint="eastAsia" w:ascii="宋体" w:hAnsi="宋体" w:eastAsia="宋体" w:cs="宋体"/>
                <w:bCs/>
                <w:kern w:val="2"/>
                <w:sz w:val="21"/>
                <w:szCs w:val="24"/>
                <w:highlight w:val="none"/>
                <w:lang w:val="en-US" w:eastAsia="zh-CN" w:bidi="ar-SA"/>
              </w:rPr>
              <w:t>投资者风险承受能力评级水平以销售机构评估为准。</w:t>
            </w:r>
          </w:p>
          <w:p>
            <w:pPr>
              <w:widowControl/>
              <w:spacing w:line="300" w:lineRule="auto"/>
              <w:contextualSpacing/>
              <w:jc w:val="both"/>
              <w:rPr>
                <w:rFonts w:hint="eastAsia" w:ascii="宋体" w:hAnsi="宋体" w:eastAsia="宋体" w:cs="黑体"/>
                <w:color w:val="000000"/>
                <w:kern w:val="2"/>
                <w:sz w:val="21"/>
                <w:szCs w:val="21"/>
                <w:highlight w:val="none"/>
                <w:lang w:val="en-US" w:eastAsia="zh-CN" w:bidi="ar-SA"/>
              </w:rPr>
            </w:pPr>
            <w:r>
              <w:rPr>
                <w:rFonts w:hint="eastAsia" w:ascii="宋体" w:hAnsi="宋体" w:eastAsia="宋体" w:cs="宋体"/>
                <w:bCs/>
                <w:color w:val="000000"/>
                <w:kern w:val="2"/>
                <w:sz w:val="21"/>
                <w:szCs w:val="21"/>
                <w:highlight w:val="none"/>
                <w:lang w:val="en-US" w:eastAsia="zh-CN" w:bidi="ar-SA"/>
              </w:rPr>
              <w:t>其中：</w:t>
            </w:r>
            <w:r>
              <w:rPr>
                <w:rFonts w:hint="eastAsia" w:ascii="宋体" w:hAnsi="宋体" w:eastAsia="宋体" w:cs="黑体"/>
                <w:color w:val="000000"/>
                <w:kern w:val="2"/>
                <w:sz w:val="21"/>
                <w:szCs w:val="21"/>
                <w:highlight w:val="none"/>
                <w:lang w:val="en-US" w:eastAsia="zh-CN" w:bidi="ar-SA"/>
              </w:rPr>
              <w:t xml:space="preserve"> </w:t>
            </w:r>
          </w:p>
          <w:p>
            <w:pPr>
              <w:widowControl/>
              <w:spacing w:line="360" w:lineRule="auto"/>
              <w:contextualSpacing/>
              <w:jc w:val="both"/>
              <w:rPr>
                <w:rFonts w:hint="eastAsia" w:ascii="宋体" w:hAnsi="宋体" w:eastAsia="宋体" w:cs="宋体"/>
                <w:b/>
                <w:color w:val="000000"/>
                <w:kern w:val="2"/>
                <w:sz w:val="21"/>
                <w:szCs w:val="21"/>
                <w:highlight w:val="none"/>
                <w:lang w:val="en-US" w:eastAsia="zh-CN" w:bidi="ar-SA"/>
              </w:rPr>
            </w:pPr>
            <w:r>
              <w:rPr>
                <w:rFonts w:hint="eastAsia" w:ascii="宋体" w:hAnsi="宋体" w:eastAsia="宋体" w:cs="宋体"/>
                <w:b w:val="0"/>
                <w:bCs/>
                <w:color w:val="000000"/>
                <w:kern w:val="2"/>
                <w:sz w:val="21"/>
                <w:szCs w:val="21"/>
                <w:highlight w:val="none"/>
                <w:lang w:val="en-US" w:eastAsia="zh-CN" w:bidi="ar-SA"/>
              </w:rPr>
              <w:t>A份额（销售代码〖FYG25182A〗）：普通个人投资者和机构客户。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B份额（销售代码〖FYG25182B〗）：普通个人投资者和机构客户。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C份额（销售代码〖FYG25182C〗）：普通个人投资者和机构客户。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D份额（销售代码〖FYG25182D〗）：普通个人投资者和机构客户。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E份额（公司专属）（销售代码〖FYG25182E〗）：普通个人投资者和机构客户。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F份额（销售代码〖FYG25182F〗）：普通个人投资者和机构客户。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G份额（汉口银行专属）（销售代码〖FYG25182G〗）：普通个人投资者和机构客户。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H份额（北行专属）（销售代码〖FYG25182H〗）：普通个人投资者和机构客户。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I份额（爽盈优选）（销售代码〖FYG25182I〗）：普通个人投资者和机构客户。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J份额（销售代码〖FYG25182J〗）：普通个人投资者和机构客户。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K份额（鲲鹏优选）（销售代码〖FYG25182K〗）：普通个人投资者和机构客户。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N份额惠享款（长长财富·专属）（销售代码〖FYG25182N〗）：普通个人投资者和机构客户。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O份额（销售代码〖FYG25182O〗）：普通个人投资者和机构客户。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P份额（芙蓉锦程·优选）（销售代码〖FYG25182P〗）：普通个人投资者和机构客户。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Q份额惠享款（候鸟专属）（销售代码〖FYG25182Q〗）：普通个人投资者和机构客户。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R份额惠享款吉行十二号（销售代码〖FYG25182R〗）：普通个人投资者和机构客户。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S份额惠享款（齐鲁-逢六有约）（销售代码〖FYG25182S〗）：普通个人投资者和机构客户。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T份额惠享款（中秋丰收理财）（销售代码〖FYG25182T〗）：普通个人投资者和机构客户。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U份额惠享款（销售代码〖FYG25182U〗）：普通个人投资者和机构客户。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V份额（金芙蓉专属）（销售代码〖FYG25182V〗）：普通个人投资者和机构客户。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W份额惠享款（销售代码〖FYG25182W〗）：普通个人投资者和机构客户。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X份额（销售代码〖FYG25182X〗）：普通个人投资者。</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Y份额惠享款（销售代码〖FYG25182Y〗）：普通个人投资者和机构客户。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Z份额惠享款（销售代码〖FYG25182Z〗）：普通个人投资者和机构客户。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发行方式</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产品类型</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〖固定收益类〗</w:t>
            </w:r>
            <w:r>
              <w:rPr>
                <w:rFonts w:hint="eastAsia" w:ascii="宋体" w:hAnsi="宋体" w:eastAsia="宋体" w:cs="宋体"/>
                <w:color w:val="000000"/>
                <w:kern w:val="2"/>
                <w:sz w:val="21"/>
                <w:szCs w:val="21"/>
                <w:highlight w:val="none"/>
                <w:lang w:val="en-US" w:eastAsia="zh-CN" w:bidi="ar-SA"/>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widowControl/>
              <w:spacing w:line="360" w:lineRule="auto"/>
              <w:contextualSpacing/>
              <w:jc w:val="center"/>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运作模式</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封闭式净值型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分级产品</w:t>
            </w:r>
          </w:p>
        </w:tc>
        <w:tc>
          <w:tcPr>
            <w:tcW w:w="7185" w:type="dxa"/>
            <w:noWrap w:val="0"/>
            <w:vAlign w:val="center"/>
          </w:tcPr>
          <w:p>
            <w:pPr>
              <w:widowControl/>
              <w:spacing w:line="360" w:lineRule="auto"/>
              <w:contextualSpacing/>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销售范围</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全国</w:t>
            </w:r>
            <w:r>
              <w:rPr>
                <w:rFonts w:hint="eastAsia" w:ascii="宋体" w:hAnsi="宋体" w:eastAsia="宋体" w:cs="宋体"/>
                <w:kern w:val="2"/>
                <w:sz w:val="21"/>
                <w:szCs w:val="21"/>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销售渠道</w:t>
            </w:r>
          </w:p>
        </w:tc>
        <w:tc>
          <w:tcPr>
            <w:tcW w:w="7185" w:type="dxa"/>
            <w:noWrap w:val="0"/>
            <w:vAlign w:val="center"/>
          </w:tcPr>
          <w:p>
            <w:pPr>
              <w:widowControl/>
              <w:spacing w:line="360" w:lineRule="auto"/>
              <w:contextualSpacing/>
              <w:jc w:val="left"/>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可通过杭银理财直销渠道和代理销售机构的</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营业网点、网上银行、手机银行</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等渠道购买，通过代理销售机构购买的，具体销售渠道以代理销售机构披露为准。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交易币种</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发行规模上限</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〖40〗亿元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〖2025〗年〖9〗月〖23〗日-〖2025〗年〖9〗月〖28〗日</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认购时间</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认购期首日〖9：00〗至认购结束日〖17：00〗</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成立日</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〖2025〗年〖9〗月〖29〗日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到期日</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〖2026〗年〖10〗月〖21〗日，若到期日为非工作日则顺延至下一个工作日。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理财期限</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〖387〗天（实际理财期限受制于管理人提前终止权等条款）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认购起点金额</w:t>
            </w:r>
          </w:p>
        </w:tc>
        <w:tc>
          <w:tcPr>
            <w:tcW w:w="7185" w:type="dxa"/>
            <w:noWrap w:val="0"/>
            <w:vAlign w:val="center"/>
          </w:tcPr>
          <w:p>
            <w:pPr>
              <w:widowControl/>
              <w:spacing w:line="360" w:lineRule="auto"/>
              <w:contextualSpacing/>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〖A份额〗起点〖1〗元整，超过认购起点部分，应为〖1〗元的整数倍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〖B份额〗起点〖1〗元整，超过认购起点部分，应为〖1〗元的整数倍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〖C份额〗起点〖1〗元整，超过认购起点部分，应为〖1〗元的整数倍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〖D份额〗起点〖1〗元整，超过认购起点部分，应为〖1〗元的整数倍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〖E份额〗起点〖1〗元整，超过认购起点部分，应为〖1〗元的整数倍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〖F份额〗起点〖1〗元整，超过认购起点部分，应为〖1〗元的整数倍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〖G份额〗起点〖1〗元整，超过认购起点部分，应为〖1〗元的整数倍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〖H份额〗起点〖1〗元整，超过认购起点部分，应为〖1〗元的整数倍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〖I份额〗起点〖1〗元整，超过认购起点部分，应为〖1〗元的整数倍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〖J份额〗起点〖1〗元整，超过认购起点部分，应为〖1〗元的整数倍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〖K份额〗起点〖1〗元整，超过认购起点部分，应为〖1〗元的整数倍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〖N份额〗起点〖1〗元整，超过认购起点部分，应为〖1〗元的整数倍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〖O份额〗起点〖1〗元整，超过认购起点部分，应为〖1〗元的整数倍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〖P份额〗起点〖1〗元整，超过认购起点部分，应为〖1〗元的整数倍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〖Q份额〗起点〖10000〗元整，超过认购起点部分，应为〖1〗元的整数倍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〖R份额〗起点〖1〗元整，超过认购起点部分，应为〖1〗元的整数倍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〖S份额〗起点〖1〗元整，超过认购起点部分，应为〖1〗元的整数倍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〖T份额〗起点〖1〗元整，超过认购起点部分，应为〖1〗元的整数倍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〖U份额〗起点〖100000〗元整，超过认购起点部分，应为〖1〗元的整数倍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〖V份额〗起点〖10000000〗元整，超过认购起点部分，应为〖1〗元的整数倍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〖W份额〗起点〖1〗元整，超过认购起点部分，应为〖1〗元的整数倍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〖X份额〗起点〖1〗元整，超过认购起点部分，应为〖1〗元的整数倍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〖Y份额〗起点〖1〗元整，超过认购起点部分，应为〖1〗元的整数倍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〖Z份额〗起点〖1〗元整，超过认购起点部分，应为〖1〗元的整数倍</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认购份额</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认购份额=认购金额÷1元。认购份额保留至0.01份理财产品份额，小数点后两位以下四舍五入。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产品成立</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kern w:val="2"/>
                <w:sz w:val="21"/>
                <w:szCs w:val="21"/>
                <w:highlight w:val="none"/>
                <w:lang w:val="en-US" w:eastAsia="zh-CN" w:bidi="ar-SA"/>
              </w:rPr>
              <w:t>〖3000〗</w:t>
            </w:r>
            <w:r>
              <w:rPr>
                <w:rFonts w:hint="eastAsia" w:ascii="宋体" w:hAnsi="宋体" w:eastAsia="宋体" w:cs="宋体"/>
                <w:color w:val="000000"/>
                <w:kern w:val="2"/>
                <w:sz w:val="21"/>
                <w:szCs w:val="21"/>
                <w:highlight w:val="none"/>
                <w:lang w:val="en-US" w:eastAsia="zh-CN" w:bidi="ar-SA"/>
              </w:rPr>
              <w:t>万元，则管理人可宣布本理财计划不成立并在原定理财计划成立日后</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2</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个工作日内通过管理人或销售机构发布不成立信息，投资者购买的理财资金将在原定成立日后2个工作日内划转至投资者指定理财账户，</w:t>
            </w:r>
            <w:r>
              <w:rPr>
                <w:rFonts w:hint="eastAsia" w:ascii="宋体" w:hAnsi="宋体" w:eastAsia="宋体" w:cs="宋体"/>
                <w:b/>
                <w:color w:val="000000"/>
                <w:kern w:val="2"/>
                <w:sz w:val="21"/>
                <w:szCs w:val="21"/>
                <w:highlight w:val="none"/>
                <w:lang w:val="en-US" w:eastAsia="zh-CN" w:bidi="ar-SA"/>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单户限额</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单户持有份额不得超过理财计划总份额的50%。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单位净值</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单位净值=理财计划估值日理财计划总净值÷理财计划总份额，单位净值保留小数点后四位，四舍五入。</w:t>
            </w:r>
          </w:p>
          <w:p>
            <w:pPr>
              <w:widowControl/>
              <w:spacing w:line="360" w:lineRule="auto"/>
              <w:contextualSpacing/>
              <w:jc w:val="both"/>
              <w:rPr>
                <w:rFonts w:hint="eastAsia" w:ascii="宋体" w:hAnsi="宋体" w:eastAsia="宋体" w:cs="宋体"/>
                <w:b/>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理财计划总净值=理财计划认购总额+理财计划所获总收益-理财计划总费用（包括但不限于固定管理费、托管费、销售服务费、浮动管理费等）。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资金与收益支付方式</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理财计划到期后，最快</w:t>
            </w:r>
            <w:r>
              <w:rPr>
                <w:rFonts w:hint="eastAsia" w:ascii="宋体" w:hAnsi="宋体" w:eastAsia="宋体" w:cs="宋体"/>
                <w:kern w:val="2"/>
                <w:sz w:val="21"/>
                <w:szCs w:val="21"/>
                <w:highlight w:val="none"/>
                <w:lang w:val="en-US" w:eastAsia="zh-CN" w:bidi="ar-SA"/>
              </w:rPr>
              <w:t>〖1〗</w:t>
            </w:r>
            <w:r>
              <w:rPr>
                <w:rFonts w:hint="eastAsia" w:ascii="宋体" w:hAnsi="宋体" w:eastAsia="宋体" w:cs="宋体"/>
                <w:color w:val="000000"/>
                <w:kern w:val="2"/>
                <w:sz w:val="21"/>
                <w:szCs w:val="21"/>
                <w:highlight w:val="none"/>
                <w:lang w:val="en-US" w:eastAsia="zh-CN" w:bidi="ar-SA"/>
              </w:rPr>
              <w:t>个工作日，最晚</w:t>
            </w:r>
            <w:r>
              <w:rPr>
                <w:rFonts w:hint="eastAsia" w:ascii="宋体" w:hAnsi="宋体" w:eastAsia="宋体" w:cs="宋体"/>
                <w:kern w:val="2"/>
                <w:sz w:val="21"/>
                <w:szCs w:val="21"/>
                <w:highlight w:val="none"/>
                <w:lang w:val="en-US" w:eastAsia="zh-CN" w:bidi="ar-SA"/>
              </w:rPr>
              <w:t>〖3〗</w:t>
            </w:r>
            <w:r>
              <w:rPr>
                <w:rFonts w:hint="eastAsia" w:ascii="宋体" w:hAnsi="宋体" w:eastAsia="宋体" w:cs="宋体"/>
                <w:color w:val="000000"/>
                <w:kern w:val="2"/>
                <w:sz w:val="21"/>
                <w:szCs w:val="21"/>
                <w:highlight w:val="none"/>
                <w:lang w:val="en-US" w:eastAsia="zh-CN" w:bidi="ar-SA"/>
              </w:rPr>
              <w:t>个工作日内（遇节假日顺延）支付。如遇资金在途或法定工作日调整，实际资金到账日以公告为准。</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业绩比较基准</w:t>
            </w:r>
          </w:p>
        </w:tc>
        <w:tc>
          <w:tcPr>
            <w:tcW w:w="7185" w:type="dxa"/>
            <w:noWrap w:val="0"/>
            <w:vAlign w:val="center"/>
          </w:tcPr>
          <w:p>
            <w:pPr>
              <w:widowControl/>
              <w:spacing w:line="360" w:lineRule="auto"/>
              <w:jc w:val="left"/>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本理财计划〖A份额〗业绩比较基准为〖2.45%-2.75%〗（年化）。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本理财计划〖B份额〗业绩比较基准为〖2.55%-2.85%〗（年化）。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本理财计划〖C份额〗业绩比较基准为〖2.65%-2.95%〗（年化）。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本理财计划〖D份额〗业绩比较基准为〖2.60%-2.90%〗（年化）。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本理财计划〖E份额〗业绩比较基准为〖2.30%-2.60%〗（年化）。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本理财计划〖F份额〗业绩比较基准为〖2.60%-2.90%〗（年化）。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本理财计划〖G份额〗业绩比较基准为〖2.70%-3.00%〗（年化）。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本理财计划〖H份额〗业绩比较基准为〖2.55%-2.85%〗（年化）。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本理财计划〖I份额〗业绩比较基准为〖2.45%-2.75%〗（年化）。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本理财计划〖J份额〗业绩比较基准为〖2.70%-3.00%〗（年化）。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本理财计划〖K份额〗业绩比较基准为〖2.45%-2.75%〗（年化）。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本理财计划〖N份额〗业绩比较基准为〖2.55%-2.85%〗（年化）。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本理财计划〖O份额〗业绩比较基准为〖2.55%-2.85%〗（年化）。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本理财计划〖P份额〗业绩比较基准为〖2.60%-2.90%〗（年化）。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本理财计划〖Q份额〗业绩比较基准为〖2.65%-2.95%〗（年化）。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本理财计划〖R份额〗业绩比较基准为〖2.60%-2.90%〗（年化）。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本理财计划〖S份额〗业绩比较基准为〖2.61%-2.91%〗（年化）。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本理财计划〖T份额〗业绩比较基准为〖2.45%-2.75%〗（年化）。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本理财计划〖U份额〗业绩比较基准为〖2.55%-2.85%〗（年化）。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本理财计划〖V份额〗业绩比较基准为〖2.65%-2.95%〗（年化）。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本理财计划〖W份额〗业绩比较基准为〖2.45%-2.75%〗（年化）。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本理财计划〖X份额〗业绩比较基准为〖2.70%-3.00%〗（年化）。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本理财计划〖Y份额〗业绩比较基准为〖2.55%-2.85%〗（年化）。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本理财计划〖Z份额〗业绩比较基准为〖2.65%-2.95%〗（年化）。</w:t>
            </w:r>
          </w:p>
          <w:p>
            <w:pPr>
              <w:widowControl/>
              <w:spacing w:line="360" w:lineRule="auto"/>
              <w:jc w:val="left"/>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业绩基准测算依据：本理财计划重点投资于货币市场工具、债券、非标准化债权类资产等资产，管理人根据固定收益市场历史表现，结合当前利率水平、资产配比及市场同类型产品情况，经综合判断得出。</w:t>
            </w:r>
          </w:p>
          <w:p>
            <w:pPr>
              <w:widowControl/>
              <w:spacing w:line="360" w:lineRule="auto"/>
              <w:jc w:val="left"/>
              <w:rPr>
                <w:rFonts w:hint="eastAsia" w:ascii="宋体" w:hAnsi="宋体" w:eastAsia="宋体" w:cs="宋体"/>
                <w:b/>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管理人有权根据市场情况及理财计划运作情况调整业绩基准，并至少于新业绩基准启用前</w:t>
            </w:r>
            <w:r>
              <w:rPr>
                <w:rFonts w:hint="eastAsia" w:ascii="宋体" w:hAnsi="宋体" w:eastAsia="宋体" w:cs="宋体"/>
                <w:kern w:val="0"/>
                <w:sz w:val="21"/>
                <w:szCs w:val="24"/>
                <w:highlight w:val="none"/>
                <w:lang w:val="en-US" w:eastAsia="zh-CN" w:bidi="ar-SA"/>
              </w:rPr>
              <w:t>〖2〗</w:t>
            </w:r>
            <w:r>
              <w:rPr>
                <w:rFonts w:hint="eastAsia" w:ascii="宋体" w:hAnsi="宋体" w:eastAsia="宋体" w:cs="宋体"/>
                <w:kern w:val="2"/>
                <w:sz w:val="21"/>
                <w:szCs w:val="21"/>
                <w:highlight w:val="none"/>
                <w:lang w:val="en-US" w:eastAsia="zh-CN" w:bidi="ar-SA"/>
              </w:rPr>
              <w:t>个工作日公告。</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本理财计划为净值型理财产品，其业绩表现将随市场波动具有不确定性。本公司提醒投资者关注，业绩比较基准不是预期收益率，并不代表理财计划的未来表现和实际收益率，不构成对理财计划收益的承诺。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产品费用</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1.销售服务费：〖A份额〗收取年化〖0.30%〗的销售服务费, 〖B份额〗收取年化〖0.20%〗的销售服务费, 〖C份额〗收取年化〖0.10%〗的销售服务费, 〖D份额〗收取年化〖0.15%〗的销售服务费, 〖E份额〗收取年化〖0.40%〗的销售服务费, 〖F份额〗收取年化〖0.15%〗的销售服务费, 〖G份额〗收取年化〖0.05%〗的销售服务费, 〖H份额〗收取年化〖0.20%〗的销售服务费, 〖I份额〗收取年化〖0.30%〗的销售服务费, 〖J份额〗收取年化〖0.05%〗的销售服务费, 〖K份额〗收取年化〖0.30%〗的销售服务费, 〖N份额〗收取年化〖0.20%〗的销售服务费, 〖O份额〗收取年化〖0.20%〗的销售服务费, 〖P份额〗收取年化〖0.15%〗的销售服务费, 〖Q份额〗收取年化〖0.10%〗的销售服务费, 〖R份额〗收取年化〖0.15%〗的销售服务费, 〖S份额〗收取年化〖0.15%〗的销售服务费, 〖T份额〗收取年化〖0.30%〗的销售服务费, 〖U份额〗收取年化〖0.20%〗的销售服务费, 〖V份额〗收取年化〖0.10%〗的销售服务费, 〖W份额〗收取年化〖0.30%〗的销售服务费, 〖X份额〗收取年化〖0.05%〗的销售服务费, 〖Y份额〗收取年化〖0.20%〗的销售服务费, 〖Z份额〗收取年化〖0.10%〗的销售服务费。其中〖A份额〗、〖B份额〗、〖C份额〗、〖D份额〗、〖E份额〗、〖F份额〗、〖G份额〗、〖H份额〗、〖I份额〗、〖J份额〗、〖K份额〗、〖O份额〗、〖P份额〗、〖V份额〗、〖X份额〗对应份额每日计提销售服务费；〖N份额〗、〖Q份额〗、〖R份额〗、〖S份额〗、〖T份额〗、〖U份额〗、〖W份额〗、〖Y份额〗、〖Z份额〗对应份额销售服务费于产品成立日一次性收取。</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2.托管费：收取年化</w:t>
            </w:r>
            <w:r>
              <w:rPr>
                <w:rFonts w:hint="eastAsia" w:ascii="宋体" w:hAnsi="宋体" w:eastAsia="宋体" w:cs="宋体"/>
                <w:kern w:val="2"/>
                <w:sz w:val="21"/>
                <w:szCs w:val="21"/>
                <w:highlight w:val="none"/>
                <w:lang w:val="en-US" w:eastAsia="zh-CN" w:bidi="ar-SA"/>
              </w:rPr>
              <w:t>〖0.025%〗</w:t>
            </w:r>
            <w:r>
              <w:rPr>
                <w:rFonts w:hint="eastAsia" w:ascii="宋体" w:hAnsi="宋体" w:eastAsia="宋体" w:cs="宋体"/>
                <w:color w:val="000000"/>
                <w:kern w:val="2"/>
                <w:sz w:val="21"/>
                <w:szCs w:val="21"/>
                <w:highlight w:val="none"/>
                <w:lang w:val="en-US" w:eastAsia="zh-CN" w:bidi="ar-SA"/>
              </w:rPr>
              <w:t>的托管费。</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3.固定管理费：〖A份额〗收取年化〖0.05%〗的固定管理费, 〖B份额〗收取年化〖0.05%〗的固定管理费, 〖C份额〗收取年化〖0.05%〗的固定管理费, 〖D份额〗收取年化〖0.05%〗的固定管理费, 〖E份额〗收取年化〖0.10%〗的固定管理费, 〖F份额〗收取年化〖0.05%〗的固定管理费, 〖G份额〗收取年化〖0.05%〗的固定管理费, 〖H份额〗收取年化〖0.05%〗的固定管理费, 〖I份额〗收取年化〖0.05%〗的固定管理费, 〖J份额〗收取年化〖0.05%〗的固定管理费, 〖K份额〗收取年化〖0.05%〗的固定管理费, 〖N份额〗收取年化〖0.05%〗的固定管理费, 〖O份额〗收取年化〖0.05%〗的固定管理费, 〖P份额〗收取年化〖0.05%〗的固定管理费, 〖Q份额〗收取年化〖0.05%〗的固定管理费, 〖R份额〗收取年化〖0.05%〗的固定管理费, 〖S份额〗收取年化〖0.04%〗的固定管理费, 〖T份额〗收取年化〖0.05%〗的固定管理费, 〖U份额〗收取年化〖0.05%〗的固定管理费, 〖V份额〗收取年化〖0.05%〗的固定管理费, 〖W份额〗收取年化〖0.05%〗的固定管理费, 〖X份额〗收取年化〖0.05%〗的固定管理费, 〖Y份额〗收取年化〖0.05%〗的固定管理费, 〖Z份额〗收取年化〖0.05%〗的固定管理费。</w:t>
            </w:r>
          </w:p>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4.认购费：本理财计划免除认购费。</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5.浮动管理费：管理人根据理财计划投资情况计算浮动管理费，本理财计划份额（除〖O份额〗）到期日（提前终止日）的折合年化收益率在〖业绩比较基准下限</w:t>
            </w:r>
            <w:r>
              <w:rPr>
                <w:rFonts w:hint="eastAsia" w:ascii="宋体" w:hAnsi="宋体" w:eastAsia="宋体" w:cs="宋体"/>
                <w:kern w:val="2"/>
                <w:sz w:val="21"/>
                <w:szCs w:val="21"/>
                <w:highlight w:val="none"/>
                <w:lang w:val="en-US" w:eastAsia="zh-CN" w:bidi="ar-SA"/>
              </w:rPr>
              <w:t>（含）</w:t>
            </w:r>
            <w:r>
              <w:rPr>
                <w:rFonts w:hint="eastAsia" w:ascii="宋体" w:hAnsi="宋体" w:eastAsia="宋体" w:cs="宋体"/>
                <w:color w:val="000000"/>
                <w:kern w:val="2"/>
                <w:sz w:val="21"/>
                <w:szCs w:val="21"/>
                <w:highlight w:val="none"/>
                <w:lang w:val="en-US" w:eastAsia="zh-CN" w:bidi="ar-SA"/>
              </w:rPr>
              <w:t>至上限</w:t>
            </w:r>
            <w:r>
              <w:rPr>
                <w:rFonts w:hint="eastAsia" w:ascii="宋体" w:hAnsi="宋体" w:eastAsia="宋体" w:cs="宋体"/>
                <w:kern w:val="2"/>
                <w:sz w:val="21"/>
                <w:szCs w:val="21"/>
                <w:highlight w:val="none"/>
                <w:lang w:val="en-US" w:eastAsia="zh-CN" w:bidi="ar-SA"/>
              </w:rPr>
              <w:t>（含）</w:t>
            </w:r>
            <w:r>
              <w:rPr>
                <w:rFonts w:hint="eastAsia" w:ascii="宋体" w:hAnsi="宋体" w:eastAsia="宋体" w:cs="宋体"/>
                <w:color w:val="000000"/>
                <w:kern w:val="2"/>
                <w:sz w:val="21"/>
                <w:szCs w:val="21"/>
                <w:highlight w:val="none"/>
                <w:lang w:val="en-US" w:eastAsia="zh-CN" w:bidi="ar-SA"/>
              </w:rPr>
              <w:t>〗的部分,</w:t>
            </w:r>
            <w:r>
              <w:rPr>
                <w:rFonts w:hint="eastAsia" w:ascii="宋体" w:hAnsi="宋体" w:eastAsia="宋体" w:cs="宋体"/>
                <w:b/>
                <w:bCs w:val="0"/>
                <w:color w:val="000000"/>
                <w:kern w:val="2"/>
                <w:sz w:val="21"/>
                <w:szCs w:val="21"/>
                <w:highlight w:val="none"/>
                <w:lang w:val="en-US" w:eastAsia="zh-CN" w:bidi="ar-SA"/>
              </w:rPr>
              <w:t>管理人提取</w:t>
            </w:r>
            <w:r>
              <w:rPr>
                <w:rFonts w:hint="eastAsia" w:ascii="宋体" w:hAnsi="宋体" w:eastAsia="宋体" w:cs="宋体"/>
                <w:b/>
                <w:bCs w:val="0"/>
                <w:kern w:val="2"/>
                <w:sz w:val="21"/>
                <w:szCs w:val="21"/>
                <w:highlight w:val="none"/>
                <w:lang w:val="en-US" w:eastAsia="zh-CN" w:bidi="ar-SA"/>
              </w:rPr>
              <w:t>〖50%〗</w:t>
            </w:r>
            <w:r>
              <w:rPr>
                <w:rFonts w:hint="eastAsia" w:ascii="宋体" w:hAnsi="宋体" w:eastAsia="宋体" w:cs="宋体"/>
                <w:b/>
                <w:bCs w:val="0"/>
                <w:color w:val="000000"/>
                <w:kern w:val="2"/>
                <w:sz w:val="21"/>
                <w:szCs w:val="21"/>
                <w:highlight w:val="none"/>
                <w:lang w:val="en-US" w:eastAsia="zh-CN" w:bidi="ar-SA"/>
              </w:rPr>
              <w:t>作为浮动管理费</w:t>
            </w:r>
            <w:r>
              <w:rPr>
                <w:rFonts w:hint="eastAsia" w:ascii="宋体" w:hAnsi="宋体" w:eastAsia="宋体" w:cs="宋体"/>
                <w:b w:val="0"/>
                <w:bCs/>
                <w:color w:val="000000"/>
                <w:kern w:val="2"/>
                <w:sz w:val="21"/>
                <w:szCs w:val="21"/>
                <w:highlight w:val="none"/>
                <w:lang w:val="en-US" w:eastAsia="zh-CN" w:bidi="ar-SA"/>
              </w:rPr>
              <w:t>,在超过〖</w:t>
            </w:r>
            <w:r>
              <w:rPr>
                <w:rFonts w:hint="eastAsia" w:ascii="宋体" w:hAnsi="宋体" w:eastAsia="宋体" w:cs="宋体"/>
                <w:b w:val="0"/>
                <w:bCs/>
                <w:kern w:val="2"/>
                <w:sz w:val="21"/>
                <w:szCs w:val="21"/>
                <w:highlight w:val="none"/>
                <w:lang w:val="en-US" w:eastAsia="zh-CN" w:bidi="ar-SA"/>
              </w:rPr>
              <w:t>业绩比较基准上限</w:t>
            </w:r>
            <w:r>
              <w:rPr>
                <w:rFonts w:hint="eastAsia" w:ascii="宋体" w:hAnsi="宋体" w:eastAsia="宋体" w:cs="宋体"/>
                <w:b w:val="0"/>
                <w:bCs/>
                <w:color w:val="000000"/>
                <w:kern w:val="2"/>
                <w:sz w:val="21"/>
                <w:szCs w:val="21"/>
                <w:highlight w:val="none"/>
                <w:lang w:val="en-US" w:eastAsia="zh-CN" w:bidi="ar-SA"/>
              </w:rPr>
              <w:t>〗的部分,</w:t>
            </w:r>
            <w:r>
              <w:rPr>
                <w:rFonts w:hint="eastAsia" w:ascii="宋体" w:hAnsi="宋体" w:eastAsia="宋体" w:cs="宋体"/>
                <w:b/>
                <w:bCs w:val="0"/>
                <w:color w:val="000000"/>
                <w:kern w:val="2"/>
                <w:sz w:val="21"/>
                <w:szCs w:val="21"/>
                <w:highlight w:val="none"/>
                <w:lang w:val="en-US" w:eastAsia="zh-CN" w:bidi="ar-SA"/>
              </w:rPr>
              <w:t>管理人提取</w:t>
            </w:r>
            <w:r>
              <w:rPr>
                <w:rFonts w:hint="eastAsia" w:ascii="宋体" w:hAnsi="宋体" w:eastAsia="宋体" w:cs="宋体"/>
                <w:b/>
                <w:bCs w:val="0"/>
                <w:kern w:val="2"/>
                <w:sz w:val="21"/>
                <w:szCs w:val="21"/>
                <w:highlight w:val="none"/>
                <w:lang w:val="en-US" w:eastAsia="zh-CN" w:bidi="ar-SA"/>
              </w:rPr>
              <w:t>〖80%〗</w:t>
            </w:r>
            <w:r>
              <w:rPr>
                <w:rFonts w:hint="eastAsia" w:ascii="宋体" w:hAnsi="宋体" w:eastAsia="宋体" w:cs="宋体"/>
                <w:b/>
                <w:bCs w:val="0"/>
                <w:color w:val="000000"/>
                <w:kern w:val="2"/>
                <w:sz w:val="21"/>
                <w:szCs w:val="21"/>
                <w:highlight w:val="none"/>
                <w:lang w:val="en-US" w:eastAsia="zh-CN" w:bidi="ar-SA"/>
              </w:rPr>
              <w:t>作为浮动管理费</w:t>
            </w:r>
            <w:r>
              <w:rPr>
                <w:rFonts w:hint="eastAsia" w:ascii="宋体" w:hAnsi="宋体" w:eastAsia="宋体" w:cs="宋体"/>
                <w:b w:val="0"/>
                <w:bCs/>
                <w:color w:val="000000"/>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〖O份额〗到期日（提前终止日）的折合年化收益率在〖业绩比较基准下限</w:t>
            </w:r>
            <w:r>
              <w:rPr>
                <w:rFonts w:hint="eastAsia" w:ascii="宋体" w:hAnsi="宋体" w:eastAsia="宋体" w:cs="宋体"/>
                <w:kern w:val="2"/>
                <w:sz w:val="21"/>
                <w:szCs w:val="21"/>
                <w:highlight w:val="none"/>
                <w:lang w:val="en-US" w:eastAsia="zh-CN" w:bidi="ar-SA"/>
              </w:rPr>
              <w:t>（含）</w:t>
            </w:r>
            <w:r>
              <w:rPr>
                <w:rFonts w:hint="eastAsia" w:ascii="宋体" w:hAnsi="宋体" w:eastAsia="宋体" w:cs="宋体"/>
                <w:color w:val="000000"/>
                <w:kern w:val="2"/>
                <w:sz w:val="21"/>
                <w:szCs w:val="21"/>
                <w:highlight w:val="none"/>
                <w:lang w:val="en-US" w:eastAsia="zh-CN" w:bidi="ar-SA"/>
              </w:rPr>
              <w:t>至中枢</w:t>
            </w:r>
            <w:r>
              <w:rPr>
                <w:rFonts w:hint="eastAsia" w:ascii="宋体" w:hAnsi="宋体" w:eastAsia="宋体" w:cs="宋体"/>
                <w:kern w:val="2"/>
                <w:sz w:val="21"/>
                <w:szCs w:val="21"/>
                <w:highlight w:val="none"/>
                <w:lang w:val="en-US" w:eastAsia="zh-CN" w:bidi="ar-SA"/>
              </w:rPr>
              <w:t>（含）</w:t>
            </w:r>
            <w:r>
              <w:rPr>
                <w:rFonts w:hint="eastAsia" w:ascii="宋体" w:hAnsi="宋体" w:eastAsia="宋体" w:cs="宋体"/>
                <w:color w:val="000000"/>
                <w:kern w:val="2"/>
                <w:sz w:val="21"/>
                <w:szCs w:val="21"/>
                <w:highlight w:val="none"/>
                <w:lang w:val="en-US" w:eastAsia="zh-CN" w:bidi="ar-SA"/>
              </w:rPr>
              <w:t>〗的部分,</w:t>
            </w:r>
            <w:r>
              <w:rPr>
                <w:rFonts w:hint="eastAsia" w:ascii="宋体" w:hAnsi="宋体" w:eastAsia="宋体" w:cs="宋体"/>
                <w:b/>
                <w:bCs w:val="0"/>
                <w:color w:val="000000"/>
                <w:kern w:val="2"/>
                <w:sz w:val="21"/>
                <w:szCs w:val="21"/>
                <w:highlight w:val="none"/>
                <w:lang w:val="en-US" w:eastAsia="zh-CN" w:bidi="ar-SA"/>
              </w:rPr>
              <w:t>管理人提取</w:t>
            </w:r>
            <w:r>
              <w:rPr>
                <w:rFonts w:hint="eastAsia" w:ascii="宋体" w:hAnsi="宋体" w:eastAsia="宋体" w:cs="宋体"/>
                <w:b/>
                <w:bCs w:val="0"/>
                <w:kern w:val="2"/>
                <w:sz w:val="21"/>
                <w:szCs w:val="21"/>
                <w:highlight w:val="none"/>
                <w:lang w:val="en-US" w:eastAsia="zh-CN" w:bidi="ar-SA"/>
              </w:rPr>
              <w:t>〖50%〗</w:t>
            </w:r>
            <w:r>
              <w:rPr>
                <w:rFonts w:hint="eastAsia" w:ascii="宋体" w:hAnsi="宋体" w:eastAsia="宋体" w:cs="宋体"/>
                <w:b/>
                <w:bCs w:val="0"/>
                <w:color w:val="000000"/>
                <w:kern w:val="2"/>
                <w:sz w:val="21"/>
                <w:szCs w:val="21"/>
                <w:highlight w:val="none"/>
                <w:lang w:val="en-US" w:eastAsia="zh-CN" w:bidi="ar-SA"/>
              </w:rPr>
              <w:t>作为浮动管理费</w:t>
            </w:r>
            <w:r>
              <w:rPr>
                <w:rFonts w:hint="eastAsia" w:ascii="宋体" w:hAnsi="宋体" w:eastAsia="宋体" w:cs="宋体"/>
                <w:b w:val="0"/>
                <w:bCs/>
                <w:color w:val="000000"/>
                <w:kern w:val="2"/>
                <w:sz w:val="21"/>
                <w:szCs w:val="21"/>
                <w:highlight w:val="none"/>
                <w:lang w:val="en-US" w:eastAsia="zh-CN" w:bidi="ar-SA"/>
              </w:rPr>
              <w:t>,在超过〖</w:t>
            </w:r>
            <w:r>
              <w:rPr>
                <w:rFonts w:hint="eastAsia" w:ascii="宋体" w:hAnsi="宋体" w:eastAsia="宋体" w:cs="宋体"/>
                <w:b w:val="0"/>
                <w:bCs/>
                <w:kern w:val="2"/>
                <w:sz w:val="21"/>
                <w:szCs w:val="21"/>
                <w:highlight w:val="none"/>
                <w:lang w:val="en-US" w:eastAsia="zh-CN" w:bidi="ar-SA"/>
              </w:rPr>
              <w:t>业绩比较基准中枢</w:t>
            </w:r>
            <w:r>
              <w:rPr>
                <w:rFonts w:hint="eastAsia" w:ascii="宋体" w:hAnsi="宋体" w:eastAsia="宋体" w:cs="宋体"/>
                <w:b w:val="0"/>
                <w:bCs/>
                <w:color w:val="000000"/>
                <w:kern w:val="2"/>
                <w:sz w:val="21"/>
                <w:szCs w:val="21"/>
                <w:highlight w:val="none"/>
                <w:lang w:val="en-US" w:eastAsia="zh-CN" w:bidi="ar-SA"/>
              </w:rPr>
              <w:t>〗的部分,</w:t>
            </w:r>
            <w:r>
              <w:rPr>
                <w:rFonts w:hint="eastAsia" w:ascii="宋体" w:hAnsi="宋体" w:eastAsia="宋体" w:cs="宋体"/>
                <w:b/>
                <w:bCs w:val="0"/>
                <w:color w:val="000000"/>
                <w:kern w:val="2"/>
                <w:sz w:val="21"/>
                <w:szCs w:val="21"/>
                <w:highlight w:val="none"/>
                <w:lang w:val="en-US" w:eastAsia="zh-CN" w:bidi="ar-SA"/>
              </w:rPr>
              <w:t>管理人提取</w:t>
            </w:r>
            <w:r>
              <w:rPr>
                <w:rFonts w:hint="eastAsia" w:ascii="宋体" w:hAnsi="宋体" w:eastAsia="宋体" w:cs="宋体"/>
                <w:b/>
                <w:bCs w:val="0"/>
                <w:kern w:val="2"/>
                <w:sz w:val="21"/>
                <w:szCs w:val="21"/>
                <w:highlight w:val="none"/>
                <w:lang w:val="en-US" w:eastAsia="zh-CN" w:bidi="ar-SA"/>
              </w:rPr>
              <w:t>〖60%〗</w:t>
            </w:r>
            <w:r>
              <w:rPr>
                <w:rFonts w:hint="eastAsia" w:ascii="宋体" w:hAnsi="宋体" w:eastAsia="宋体" w:cs="宋体"/>
                <w:b/>
                <w:bCs w:val="0"/>
                <w:color w:val="000000"/>
                <w:kern w:val="2"/>
                <w:sz w:val="21"/>
                <w:szCs w:val="21"/>
                <w:highlight w:val="none"/>
                <w:lang w:val="en-US" w:eastAsia="zh-CN" w:bidi="ar-SA"/>
              </w:rPr>
              <w:t>作为浮动管理费</w:t>
            </w:r>
            <w:r>
              <w:rPr>
                <w:rFonts w:hint="eastAsia" w:ascii="宋体" w:hAnsi="宋体" w:eastAsia="宋体" w:cs="宋体"/>
                <w:b w:val="0"/>
                <w:bCs/>
                <w:color w:val="000000"/>
                <w:kern w:val="2"/>
                <w:sz w:val="21"/>
                <w:szCs w:val="21"/>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提前终止</w:t>
            </w:r>
          </w:p>
        </w:tc>
        <w:tc>
          <w:tcPr>
            <w:tcW w:w="7185" w:type="dxa"/>
            <w:noWrap w:val="0"/>
            <w:vAlign w:val="center"/>
          </w:tcPr>
          <w:p>
            <w:pPr>
              <w:widowControl/>
              <w:spacing w:line="360" w:lineRule="auto"/>
              <w:contextualSpacing/>
              <w:jc w:val="both"/>
              <w:rPr>
                <w:rFonts w:hint="eastAsia" w:ascii="宋体" w:hAnsi="宋体" w:eastAsia="宋体" w:cs="宋体"/>
                <w:b/>
                <w:color w:val="000000"/>
                <w:kern w:val="0"/>
                <w:sz w:val="21"/>
                <w:szCs w:val="21"/>
                <w:highlight w:val="none"/>
                <w:lang w:val="en-US" w:eastAsia="zh-CN" w:bidi="ar-SA"/>
              </w:rPr>
            </w:pPr>
            <w:r>
              <w:rPr>
                <w:rFonts w:hint="eastAsia" w:ascii="宋体" w:hAnsi="宋体" w:eastAsia="宋体" w:cs="宋体"/>
                <w:b/>
                <w:color w:val="000000"/>
                <w:kern w:val="0"/>
                <w:sz w:val="21"/>
                <w:szCs w:val="21"/>
                <w:highlight w:val="none"/>
                <w:lang w:val="en-US" w:eastAsia="zh-CN" w:bidi="ar-SA"/>
              </w:rPr>
              <w:t>如遇国家金融政策出现重大调整并影响到本理财计划的正常运行的、市场收益率大幅波动可能或实质影响理财计划收益等情况，管理人有权提前终止本理财计划。具体参见说明书“交易规则”部分。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税费规定</w:t>
            </w:r>
          </w:p>
        </w:tc>
        <w:tc>
          <w:tcPr>
            <w:tcW w:w="7185" w:type="dxa"/>
            <w:noWrap w:val="0"/>
            <w:vAlign w:val="center"/>
          </w:tcPr>
          <w:p>
            <w:pPr>
              <w:widowControl w:val="0"/>
              <w:spacing w:line="360" w:lineRule="auto"/>
              <w:jc w:val="both"/>
              <w:outlineLvl w:val="0"/>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融资服务</w:t>
            </w:r>
          </w:p>
        </w:tc>
        <w:tc>
          <w:tcPr>
            <w:tcW w:w="7185" w:type="dxa"/>
            <w:noWrap w:val="0"/>
            <w:vAlign w:val="bottom"/>
          </w:tcPr>
          <w:p>
            <w:pPr>
              <w:widowControl w:val="0"/>
              <w:spacing w:line="360" w:lineRule="auto"/>
              <w:jc w:val="both"/>
              <w:rPr>
                <w:rFonts w:hint="eastAsia" w:ascii="宋体" w:hAnsi="宋体" w:eastAsia="宋体" w:cs="宋体"/>
                <w:b/>
                <w:color w:val="000000"/>
                <w:kern w:val="0"/>
                <w:sz w:val="21"/>
                <w:szCs w:val="21"/>
                <w:highlight w:val="none"/>
                <w:lang w:val="en-US" w:eastAsia="zh-CN" w:bidi="ar-SA"/>
              </w:rPr>
            </w:pPr>
            <w:r>
              <w:rPr>
                <w:rFonts w:hint="eastAsia" w:ascii="宋体" w:hAnsi="宋体" w:eastAsia="宋体" w:cs="宋体"/>
                <w:b/>
                <w:color w:val="000000"/>
                <w:kern w:val="2"/>
                <w:sz w:val="21"/>
                <w:szCs w:val="21"/>
                <w:highlight w:val="none"/>
                <w:lang w:val="en-US" w:eastAsia="zh-CN" w:bidi="ar-SA"/>
              </w:rPr>
              <w:t>投资者在理财期限内不能提前赎回，如需质押按销售机构相关规定执行。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认购期内按照活期存款利率计息，认购期内的利息不计入认购本金份额。到期日（或理财计划实际终止日）到理财资金返还到账日为清算期，清算期内不计付利息。</w:t>
            </w:r>
            <w:r>
              <w:rPr>
                <w:rFonts w:hint="eastAsia" w:ascii="宋体" w:hAnsi="宋体" w:eastAsia="宋体" w:cs="宋体"/>
                <w:color w:val="000000"/>
                <w:kern w:val="0"/>
                <w:sz w:val="21"/>
                <w:szCs w:val="21"/>
                <w:highlight w:val="none"/>
                <w:lang w:val="en-US" w:eastAsia="zh-CN" w:bidi="ar-SA"/>
              </w:rPr>
              <w:t>（具体以销售机构规定为准）</w:t>
            </w:r>
          </w:p>
          <w:p>
            <w:pPr>
              <w:widowControl w:val="0"/>
              <w:spacing w:line="360" w:lineRule="auto"/>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firstLine="480" w:firstLineChars="200"/>
        <w:jc w:val="left"/>
        <w:outlineLvl w:val="9"/>
        <w:rPr>
          <w:rFonts w:hint="eastAsia" w:ascii="宋体" w:hAnsi="宋体" w:cs="宋体"/>
          <w:b w:val="0"/>
          <w:bCs/>
          <w:color w:val="auto"/>
          <w:sz w:val="24"/>
          <w:highlight w:val="none"/>
        </w:rPr>
      </w:pPr>
      <w:r>
        <w:rPr>
          <w:rFonts w:hint="eastAsia" w:ascii="宋体" w:hAnsi="宋体" w:cs="宋体"/>
          <w:bCs/>
          <w:color w:val="auto"/>
          <w:kern w:val="2"/>
          <w:sz w:val="24"/>
          <w:highlight w:val="none"/>
        </w:rPr>
        <w:t>本理财计划自成立日起</w:t>
      </w:r>
      <w:r>
        <w:rPr>
          <w:rFonts w:hint="eastAsia" w:ascii="宋体" w:hAnsi="宋体" w:cs="宋体"/>
          <w:bCs/>
          <w:sz w:val="24"/>
          <w:highlight w:val="none"/>
        </w:rPr>
        <w:t>〖</w:t>
      </w:r>
      <w:r>
        <w:rPr>
          <w:rFonts w:hint="eastAsia" w:ascii="宋体" w:hAnsi="宋体" w:cs="宋体"/>
          <w:bCs/>
          <w:color w:val="auto"/>
          <w:kern w:val="2"/>
          <w:sz w:val="24"/>
          <w:highlight w:val="none"/>
          <w:lang w:val="en-US" w:eastAsia="zh-CN"/>
        </w:rPr>
        <w:t>1个月</w:t>
      </w:r>
      <w:r>
        <w:rPr>
          <w:rFonts w:hint="eastAsia" w:ascii="宋体" w:hAnsi="宋体" w:cs="宋体"/>
          <w:bCs/>
          <w:sz w:val="24"/>
          <w:highlight w:val="none"/>
        </w:rPr>
        <w:t>〗</w:t>
      </w:r>
      <w:r>
        <w:rPr>
          <w:rFonts w:hint="eastAsia" w:ascii="宋体" w:hAnsi="宋体" w:cs="宋体"/>
          <w:bCs/>
          <w:color w:val="auto"/>
          <w:kern w:val="2"/>
          <w:sz w:val="24"/>
          <w:highlight w:val="none"/>
        </w:rPr>
        <w:t>为建仓期，管理人应当在建仓期结束前使各项投资比例符合约定。</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numPr>
          <w:ilvl w:val="0"/>
          <w:numId w:val="13"/>
        </w:numPr>
        <w:spacing w:line="360" w:lineRule="auto"/>
        <w:jc w:val="left"/>
        <w:rPr>
          <w:rFonts w:hint="eastAsia" w:ascii="宋体" w:hAnsi="宋体" w:cs="宋体"/>
          <w:bCs/>
          <w:sz w:val="24"/>
          <w:highlight w:val="none"/>
        </w:rPr>
      </w:pPr>
      <w:r>
        <w:rPr>
          <w:rFonts w:hint="eastAsia" w:ascii="宋体" w:hAnsi="宋体" w:cs="宋体"/>
          <w:bCs/>
          <w:sz w:val="24"/>
          <w:highlight w:val="none"/>
        </w:rPr>
        <w:t>固定收益类资产：包括但不限于各类债券、存款、货币市场金融工具、债券基金、质押式及买断式回购、非标准化债权类资产，其他符合监管要求的固定收益类资产及资产管理产品。</w:t>
      </w:r>
    </w:p>
    <w:p>
      <w:pPr>
        <w:numPr>
          <w:ilvl w:val="0"/>
          <w:numId w:val="13"/>
        </w:numPr>
        <w:spacing w:line="360" w:lineRule="auto"/>
        <w:jc w:val="left"/>
        <w:rPr>
          <w:rFonts w:hint="eastAsia" w:ascii="宋体" w:hAnsi="宋体" w:cs="宋体"/>
          <w:bCs/>
          <w:sz w:val="24"/>
          <w:highlight w:val="none"/>
        </w:rPr>
      </w:pPr>
      <w:r>
        <w:rPr>
          <w:rFonts w:hint="eastAsia" w:ascii="宋体" w:hAnsi="宋体" w:cs="宋体"/>
          <w:bCs/>
          <w:sz w:val="24"/>
          <w:highlight w:val="none"/>
        </w:rPr>
        <w:t>权益类资产：</w:t>
      </w:r>
      <w:r>
        <w:rPr>
          <w:rFonts w:hint="eastAsia" w:ascii="宋体" w:hAnsi="宋体" w:cs="宋体"/>
          <w:bCs/>
          <w:color w:val="auto"/>
          <w:kern w:val="2"/>
          <w:sz w:val="24"/>
          <w:highlight w:val="none"/>
          <w:lang w:val="en-US" w:eastAsia="zh-CN"/>
        </w:rPr>
        <w:t>仅限境内发行优先股和永续债。</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r>
        <w:rPr>
          <w:rFonts w:hint="eastAsia" w:ascii="宋体" w:hAnsi="宋体" w:cs="宋体"/>
          <w:bCs/>
          <w:color w:val="FF0000"/>
          <w:sz w:val="24"/>
          <w:highlight w:val="none"/>
        </w:rPr>
        <w:t xml:space="preserve"> </w:t>
      </w:r>
    </w:p>
    <w:tbl>
      <w:tblPr>
        <w:tblStyle w:val="8"/>
        <w:tblW w:w="829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790"/>
        <w:gridCol w:w="4716"/>
        <w:gridCol w:w="179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投资资产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配置比例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vMerge w:val="restart"/>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大类资产类型</w:t>
            </w: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固定收益类资产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90%-100%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vMerge w:val="continue"/>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大类资产类型</w:t>
            </w: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权益类资产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0%-10%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特殊资产类型</w:t>
            </w: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非标准化债权类资产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0%-50%</w:t>
            </w:r>
          </w:p>
        </w:tc>
      </w:tr>
    </w:tbl>
    <w:p>
      <w:pPr>
        <w:pStyle w:val="13"/>
        <w:numPr>
          <w:ilvl w:val="0"/>
          <w:numId w:val="14"/>
        </w:numPr>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13"/>
        <w:numPr>
          <w:ilvl w:val="0"/>
          <w:numId w:val="14"/>
        </w:numPr>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pStyle w:val="13"/>
        <w:numPr>
          <w:ilvl w:val="0"/>
          <w:numId w:val="14"/>
        </w:numPr>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13"/>
        <w:numPr>
          <w:ilvl w:val="0"/>
          <w:numId w:val="14"/>
        </w:numPr>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13"/>
        <w:numPr>
          <w:ilvl w:val="0"/>
          <w:numId w:val="14"/>
        </w:numPr>
        <w:adjustRightInd/>
        <w:spacing w:line="360" w:lineRule="auto"/>
        <w:ind w:firstLine="458" w:firstLineChars="190"/>
        <w:rPr>
          <w:rFonts w:ascii="宋体" w:hAnsi="宋体" w:cs="宋体"/>
          <w:b/>
          <w:bCs w:val="0"/>
          <w:color w:val="auto"/>
          <w:kern w:val="2"/>
          <w:highlight w:val="none"/>
        </w:rPr>
      </w:pPr>
      <w:r>
        <w:rPr>
          <w:rFonts w:hint="eastAsia" w:ascii="宋体" w:hAnsi="宋体" w:cs="宋体"/>
          <w:b/>
          <w:bCs w:val="0"/>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3"/>
        <w:numPr>
          <w:ilvl w:val="0"/>
          <w:numId w:val="15"/>
        </w:numPr>
        <w:adjustRightInd/>
        <w:spacing w:line="360" w:lineRule="auto"/>
        <w:rPr>
          <w:rFonts w:hint="eastAsia" w:ascii="宋体" w:hAnsi="宋体" w:cs="宋体"/>
          <w:bCs/>
          <w:color w:val="auto"/>
          <w:kern w:val="2"/>
          <w:highlight w:val="none"/>
        </w:rPr>
      </w:pPr>
      <w:r>
        <w:rPr>
          <w:rFonts w:hint="eastAsia" w:ascii="宋体" w:hAnsi="宋体" w:cs="宋体"/>
          <w:bCs/>
          <w:color w:val="auto"/>
          <w:kern w:val="2"/>
          <w:highlight w:val="none"/>
        </w:rPr>
        <w:t>资产配置策略</w:t>
      </w:r>
    </w:p>
    <w:p>
      <w:pPr>
        <w:pStyle w:val="13"/>
        <w:adjustRightInd/>
        <w:spacing w:line="360" w:lineRule="auto"/>
        <w:rPr>
          <w:rFonts w:ascii="宋体" w:cs="宋体"/>
          <w:sz w:val="21"/>
          <w:szCs w:val="21"/>
          <w:highlight w:val="none"/>
        </w:rPr>
      </w:pPr>
      <w:r>
        <w:rPr>
          <w:rFonts w:hint="eastAsia" w:ascii="宋体" w:hAnsi="宋体" w:cs="宋体"/>
          <w:bCs/>
          <w:color w:val="auto"/>
          <w:kern w:val="2"/>
          <w:highlight w:val="none"/>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债券投资策略</w:t>
      </w:r>
    </w:p>
    <w:p>
      <w:pPr>
        <w:pStyle w:val="13"/>
        <w:adjustRightInd/>
        <w:spacing w:line="360" w:lineRule="auto"/>
        <w:ind w:firstLine="480" w:firstLineChars="200"/>
        <w:rPr>
          <w:rFonts w:hint="eastAsia" w:ascii="宋体" w:hAnsi="宋体" w:cs="宋体"/>
          <w:bCs/>
          <w:highlight w:val="none"/>
        </w:rPr>
      </w:pPr>
      <w:r>
        <w:rPr>
          <w:rFonts w:hint="eastAsia" w:ascii="宋体" w:hAnsi="宋体" w:cs="宋体"/>
          <w:bCs/>
          <w:color w:val="auto"/>
          <w:kern w:val="2"/>
          <w:highlight w:val="none"/>
        </w:rPr>
        <w:t>管理人本着稳健投资的理念，在研究债券市场宏观环境和利率走势的基础上，严格评估信用风险，通过久期策略、骑乘策略、杠杆策略和交易策略等，配置固定收益资产及资产管理产品，力争获取稳定收益。</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非标准化债权类资产投资策略</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管理人发挥自身能力优势，在合规前提下开展风险可控、期限匹配的非标准化债权类资产投资，力争获取稳定收益。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left="0" w:firstLine="480" w:firstLineChars="200"/>
        <w:jc w:val="left"/>
        <w:outlineLvl w:val="2"/>
        <w:rPr>
          <w:rFonts w:hint="eastAsia" w:ascii="宋体" w:hAnsi="宋体" w:cs="宋体"/>
          <w:b/>
          <w:sz w:val="24"/>
          <w:highlight w:val="none"/>
        </w:rPr>
      </w:pPr>
      <w:r>
        <w:rPr>
          <w:rFonts w:hint="eastAsia" w:ascii="宋体" w:hAnsi="宋体" w:cs="宋体"/>
          <w:bCs/>
          <w:color w:val="000000"/>
          <w:sz w:val="24"/>
          <w:highlight w:val="none"/>
          <w:lang w:eastAsia="zh-CN"/>
        </w:rPr>
        <w:t>投资限制中列示的资产品种不代表管理人的实际投向，本理财计划投资范围以“投资范围”章节表述为准。</w:t>
      </w:r>
    </w:p>
    <w:p>
      <w:pPr>
        <w:numPr>
          <w:ilvl w:val="0"/>
          <w:numId w:val="17"/>
        </w:numPr>
        <w:spacing w:line="360" w:lineRule="auto"/>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sz w:val="24"/>
          <w:highlight w:val="none"/>
        </w:rPr>
        <w:t>证券投资基金</w:t>
      </w:r>
      <w: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7"/>
        </w:numPr>
        <w:spacing w:line="360" w:lineRule="auto"/>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本理财计划投资的非标准化债权类资产到期日不得晚于理财计划到期日。</w:t>
      </w:r>
    </w:p>
    <w:p>
      <w:pPr>
        <w:numPr>
          <w:ilvl w:val="0"/>
          <w:numId w:val="17"/>
        </w:numPr>
        <w:spacing w:line="360" w:lineRule="auto"/>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本理财计划的总资产不得超过净资产的200%。</w:t>
      </w:r>
    </w:p>
    <w:p>
      <w:pPr>
        <w:numPr>
          <w:ilvl w:val="0"/>
          <w:numId w:val="17"/>
        </w:numPr>
        <w:spacing w:line="360" w:lineRule="auto"/>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sz w:val="24"/>
          <w:highlight w:val="none"/>
        </w:rPr>
        <w:t>资产支持证券</w:t>
      </w:r>
      <w: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拟投资市场、资产的流动性风险评估</w:t>
      </w:r>
    </w:p>
    <w:p>
      <w:pPr>
        <w:spacing w:line="360" w:lineRule="auto"/>
        <w:ind w:left="420"/>
        <w:jc w:val="left"/>
        <w:rPr>
          <w:rFonts w:hint="eastAsia" w:ascii="宋体" w:hAnsi="宋体" w:cs="宋体"/>
          <w:bCs/>
          <w:sz w:val="24"/>
          <w:highlight w:val="none"/>
        </w:rPr>
      </w:pPr>
      <w:r>
        <w:rPr>
          <w:rFonts w:hint="eastAsia" w:ascii="宋体" w:hAnsi="宋体" w:cs="宋体"/>
          <w:bCs/>
          <w:sz w:val="24"/>
          <w:highlight w:val="none"/>
        </w:rPr>
        <w:t>本理财计划拟投资市场可能面临的流动性风险如下：</w:t>
      </w:r>
    </w:p>
    <w:p>
      <w:pPr>
        <w:numPr>
          <w:ilvl w:val="0"/>
          <w:numId w:val="19"/>
        </w:numPr>
        <w:spacing w:line="360" w:lineRule="auto"/>
        <w:jc w:val="left"/>
        <w:rPr>
          <w:rFonts w:hint="eastAsia" w:ascii="宋体" w:hAnsi="宋体" w:cs="宋体"/>
          <w:bCs/>
          <w:sz w:val="24"/>
          <w:highlight w:val="none"/>
        </w:rPr>
      </w:pPr>
      <w:r>
        <w:rPr>
          <w:rFonts w:hint="eastAsia" w:ascii="宋体" w:hAnsi="宋体" w:cs="宋体"/>
          <w:bCs/>
          <w:sz w:val="24"/>
          <w:highlight w:val="none"/>
        </w:rPr>
        <w:t>投资于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9"/>
        </w:numPr>
        <w:spacing w:line="360" w:lineRule="auto"/>
        <w:jc w:val="left"/>
        <w:rPr>
          <w:rFonts w:hint="eastAsia" w:ascii="宋体" w:hAnsi="宋体" w:cs="宋体"/>
          <w:bCs/>
          <w:sz w:val="24"/>
          <w:highlight w:val="none"/>
        </w:rPr>
      </w:pPr>
      <w:r>
        <w:rPr>
          <w:rFonts w:hint="eastAsia" w:ascii="宋体" w:hAnsi="宋体" w:cs="宋体"/>
          <w:bCs/>
          <w:sz w:val="24"/>
          <w:highlight w:val="none"/>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9"/>
        </w:numPr>
        <w:spacing w:line="360" w:lineRule="auto"/>
        <w:jc w:val="left"/>
        <w:rPr>
          <w:rFonts w:hint="eastAsia" w:ascii="宋体" w:hAnsi="宋体" w:cs="宋体"/>
          <w:bCs/>
          <w:sz w:val="24"/>
          <w:highlight w:val="none"/>
        </w:rPr>
      </w:pPr>
      <w:r>
        <w:rPr>
          <w:rFonts w:hint="eastAsia" w:ascii="宋体" w:hAnsi="宋体" w:cs="宋体"/>
          <w:bCs/>
          <w:sz w:val="24"/>
          <w:highlight w:val="none"/>
        </w:rPr>
        <w:t>投资于权益类、其他类资产的可能流动性风险（如有）：权益类</w:t>
      </w:r>
      <w:r>
        <w:rPr>
          <w:rFonts w:hint="eastAsia" w:ascii="宋体" w:hAnsi="宋体" w:cs="宋体"/>
          <w:bCs/>
          <w:sz w:val="24"/>
          <w:highlight w:val="none"/>
          <w:lang w:val="en-US" w:eastAsia="zh-CN"/>
        </w:rPr>
        <w:t>、其他类</w:t>
      </w:r>
      <w:r>
        <w:rPr>
          <w:rFonts w:hint="eastAsia" w:ascii="宋体" w:hAnsi="宋体" w:cs="宋体"/>
          <w:bCs/>
          <w:sz w:val="24"/>
          <w:highlight w:val="none"/>
        </w:rPr>
        <w:t>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以上风险仅为列举性质，未能详尽列明拟投资市场和资产面临的全部流动性风险</w:t>
      </w:r>
      <w:r>
        <w:rPr>
          <w:rFonts w:ascii="宋体" w:hAnsi="宋体" w:cs="宋体"/>
          <w:bCs/>
          <w:sz w:val="24"/>
          <w:highlight w:val="none"/>
        </w:rPr>
        <w:t>可能导致投资者投资本金及收益损失</w:t>
      </w:r>
      <w:r>
        <w:rPr>
          <w:rFonts w:hint="eastAsia" w:ascii="宋体" w:hAnsi="宋体" w:cs="宋体"/>
          <w:bCs/>
          <w:sz w:val="24"/>
          <w:highlight w:val="none"/>
        </w:rPr>
        <w:t>或延期兑付</w:t>
      </w:r>
      <w:r>
        <w:rPr>
          <w:rFonts w:ascii="宋体" w:hAnsi="宋体" w:cs="宋体"/>
          <w:bCs/>
          <w:sz w:val="24"/>
          <w:highlight w:val="none"/>
        </w:rPr>
        <w:t>的所有因素</w:t>
      </w:r>
      <w:r>
        <w:rPr>
          <w:rFonts w:hint="eastAsia" w:ascii="宋体" w:hAnsi="宋体" w:cs="宋体"/>
          <w:bCs/>
          <w:sz w:val="24"/>
          <w:highlight w:val="none"/>
        </w:rPr>
        <w:t>。管理人会进行标的的分散化投资并结合对各类标的资产的预期流动性合理进行资产配置，最大程度防范流动性风险。</w:t>
      </w:r>
    </w:p>
    <w:p>
      <w:pPr>
        <w:spacing w:line="360" w:lineRule="auto"/>
        <w:ind w:firstLine="480" w:firstLineChars="200"/>
        <w:jc w:val="left"/>
        <w:rPr>
          <w:rFonts w:hint="eastAsia" w:ascii="宋体" w:hAnsi="宋体" w:cs="宋体"/>
          <w:bCs/>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9"/>
        <w:gridCol w:w="65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969" w:type="dxa"/>
            <w:noWrap w:val="0"/>
            <w:vAlign w:val="center"/>
          </w:tcPr>
          <w:p>
            <w:pPr>
              <w:widowControl w:val="0"/>
              <w:spacing w:line="360" w:lineRule="auto"/>
              <w:jc w:val="center"/>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托管人名称</w:t>
            </w:r>
          </w:p>
        </w:tc>
        <w:tc>
          <w:tcPr>
            <w:tcW w:w="6553" w:type="dxa"/>
            <w:noWrap w:val="0"/>
            <w:vAlign w:val="top"/>
          </w:tcPr>
          <w:p>
            <w:pPr>
              <w:widowControl w:val="0"/>
              <w:spacing w:line="360" w:lineRule="auto"/>
              <w:jc w:val="left"/>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969" w:type="dxa"/>
            <w:noWrap w:val="0"/>
            <w:vAlign w:val="center"/>
          </w:tcPr>
          <w:p>
            <w:pPr>
              <w:widowControl w:val="0"/>
              <w:spacing w:line="360" w:lineRule="auto"/>
              <w:jc w:val="center"/>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托管人住所</w:t>
            </w:r>
          </w:p>
        </w:tc>
        <w:tc>
          <w:tcPr>
            <w:tcW w:w="6553" w:type="dxa"/>
            <w:noWrap w:val="0"/>
            <w:vAlign w:val="top"/>
          </w:tcPr>
          <w:p>
            <w:pPr>
              <w:widowControl w:val="0"/>
              <w:spacing w:line="360" w:lineRule="auto"/>
              <w:jc w:val="left"/>
              <w:rPr>
                <w:rFonts w:hint="eastAsia"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969" w:type="dxa"/>
            <w:noWrap w:val="0"/>
            <w:vAlign w:val="center"/>
          </w:tcPr>
          <w:p>
            <w:pPr>
              <w:widowControl w:val="0"/>
              <w:spacing w:line="360" w:lineRule="auto"/>
              <w:jc w:val="center"/>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托管人职责</w:t>
            </w:r>
          </w:p>
        </w:tc>
        <w:tc>
          <w:tcPr>
            <w:tcW w:w="6553" w:type="dxa"/>
            <w:noWrap w:val="0"/>
            <w:vAlign w:val="top"/>
          </w:tcPr>
          <w:p>
            <w:pPr>
              <w:widowControl w:val="0"/>
              <w:spacing w:line="360" w:lineRule="auto"/>
              <w:jc w:val="left"/>
              <w:rPr>
                <w:rFonts w:hint="eastAsia"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2"/>
        </w:numPr>
        <w:spacing w:line="360" w:lineRule="auto"/>
        <w:ind w:firstLine="482"/>
        <w:jc w:val="left"/>
        <w:outlineLvl w:val="2"/>
        <w:rPr>
          <w:rFonts w:hint="eastAsia" w:ascii="宋体" w:hAnsi="宋体" w:cs="宋体"/>
          <w:bCs/>
          <w:color w:val="000000"/>
          <w:sz w:val="24"/>
          <w:highlight w:val="none"/>
        </w:rPr>
      </w:pPr>
      <w:r>
        <w:rPr>
          <w:rFonts w:hint="eastAsia" w:ascii="宋体" w:hAnsi="宋体" w:cs="宋体"/>
          <w:b/>
          <w:sz w:val="24"/>
          <w:highlight w:val="none"/>
        </w:rPr>
        <w:t>销售机构</w:t>
      </w:r>
    </w:p>
    <w:tbl>
      <w:tblPr>
        <w:tblStyle w:val="8"/>
        <w:tblW w:w="8522" w:type="dxa"/>
        <w:tblInd w:w="0" w:type="dxa"/>
        <w:tblLayout w:type="fixed"/>
        <w:tblCellMar>
          <w:top w:w="0" w:type="dxa"/>
          <w:left w:w="108" w:type="dxa"/>
          <w:bottom w:w="0" w:type="dxa"/>
          <w:right w:w="108" w:type="dxa"/>
        </w:tblCellMar>
      </w:tblPr>
      <w:tblGrid>
        <w:gridCol w:w="675"/>
        <w:gridCol w:w="1701"/>
        <w:gridCol w:w="1105"/>
        <w:gridCol w:w="5041"/>
      </w:tblGrid>
      <w:tr>
        <w:tblPrEx>
          <w:tblLayout w:type="fixed"/>
          <w:tblCellMar>
            <w:top w:w="0" w:type="dxa"/>
            <w:left w:w="108" w:type="dxa"/>
            <w:bottom w:w="0" w:type="dxa"/>
            <w:right w:w="108" w:type="dxa"/>
          </w:tblCellMar>
        </w:tblPrEx>
        <w:trPr>
          <w:trHeight w:val="300" w:hRule="atLeast"/>
        </w:trPr>
        <w:tc>
          <w:tcPr>
            <w:tcW w:w="675"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销售机构信息</w:t>
            </w:r>
          </w:p>
        </w:tc>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杭州银行股份有限公司</w:t>
            </w:r>
          </w:p>
        </w:tc>
        <w:tc>
          <w:tcPr>
            <w:tcW w:w="110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single" w:color="auto" w:sz="4" w:space="0"/>
              <w:left w:val="nil"/>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浙江省杭州市上城区解放东路168号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95398</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苏州银行股份有限公司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江苏省苏州工业园区钟园路728号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96067</w:t>
            </w:r>
          </w:p>
        </w:tc>
      </w:tr>
      <w:tr>
        <w:tblPrEx>
          <w:tblLayout w:type="fixed"/>
          <w:tblCellMar>
            <w:top w:w="0" w:type="dxa"/>
            <w:left w:w="108" w:type="dxa"/>
            <w:bottom w:w="0" w:type="dxa"/>
            <w:right w:w="108" w:type="dxa"/>
          </w:tblCellMar>
        </w:tblPrEx>
        <w:trPr>
          <w:trHeight w:val="51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厦门银行股份有限公司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福建省厦门市思明区湖滨北路101号商业银行大厦</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400-858-8888</w:t>
            </w:r>
          </w:p>
        </w:tc>
      </w:tr>
      <w:tr>
        <w:tblPrEx>
          <w:tblLayout w:type="fixed"/>
          <w:tblCellMar>
            <w:top w:w="0" w:type="dxa"/>
            <w:left w:w="108" w:type="dxa"/>
            <w:bottom w:w="0" w:type="dxa"/>
            <w:right w:w="108" w:type="dxa"/>
          </w:tblCellMar>
        </w:tblPrEx>
        <w:trPr>
          <w:trHeight w:val="30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中信银行股份有限公司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北京市朝阳区光华路10号院1号楼6-30层、32-42层</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95558</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齐鲁银行股份有限公司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山东省济南市历下区经十路10817号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400-609-6588</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甘肃银行股份有限公司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甘肃省兰州市城关区东岗西路525—1号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4008696666</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杭银理财有限责任公司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浙江省杭州市拱墅区庆春路38号金龙财富中心</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400-8950-999</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绍兴银行股份有限公司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浙江省绍兴市越城区中兴南路1号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4000896528</w:t>
            </w:r>
          </w:p>
        </w:tc>
      </w:tr>
      <w:tr>
        <w:tblPrEx>
          <w:tblLayout w:type="fixed"/>
          <w:tblCellMar>
            <w:top w:w="0" w:type="dxa"/>
            <w:left w:w="108" w:type="dxa"/>
            <w:bottom w:w="0" w:type="dxa"/>
            <w:right w:w="108" w:type="dxa"/>
          </w:tblCellMar>
        </w:tblPrEx>
        <w:trPr>
          <w:trHeight w:val="72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浙江萧山农村商业银行股份有限公司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浙江省杭州市萧山区城厢街道人民路258号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4008896596</w:t>
            </w:r>
          </w:p>
        </w:tc>
      </w:tr>
      <w:tr>
        <w:tblPrEx>
          <w:tblLayout w:type="fixed"/>
          <w:tblCellMar>
            <w:top w:w="0" w:type="dxa"/>
            <w:left w:w="108" w:type="dxa"/>
            <w:bottom w:w="0" w:type="dxa"/>
            <w:right w:w="108" w:type="dxa"/>
          </w:tblCellMar>
        </w:tblPrEx>
        <w:trPr>
          <w:trHeight w:val="46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海南银行股份有限公司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海南省海口市龙华区海秀东路31号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0898-96566</w:t>
            </w:r>
          </w:p>
        </w:tc>
      </w:tr>
      <w:tr>
        <w:tblPrEx>
          <w:tblLayout w:type="fixed"/>
          <w:tblCellMar>
            <w:top w:w="0" w:type="dxa"/>
            <w:left w:w="108" w:type="dxa"/>
            <w:bottom w:w="0" w:type="dxa"/>
            <w:right w:w="108" w:type="dxa"/>
          </w:tblCellMar>
        </w:tblPrEx>
        <w:trPr>
          <w:trHeight w:val="46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秦皇岛银行股份有限公司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河北省秦皇岛市海港区河北大街西段560号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0335-96336</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温州银行股份有限公司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浙江省温州市鹿城区会展路1316号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0577-96699</w:t>
            </w:r>
          </w:p>
        </w:tc>
      </w:tr>
      <w:tr>
        <w:tblPrEx>
          <w:tblLayout w:type="fixed"/>
          <w:tblCellMar>
            <w:top w:w="0" w:type="dxa"/>
            <w:left w:w="108" w:type="dxa"/>
            <w:bottom w:w="0" w:type="dxa"/>
            <w:right w:w="108" w:type="dxa"/>
          </w:tblCellMar>
        </w:tblPrEx>
        <w:trPr>
          <w:trHeight w:val="28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中邮邮惠万家银行有限责任公司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上海市虹口区东大名路1080号25层、26层</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95504</w:t>
            </w:r>
          </w:p>
        </w:tc>
      </w:tr>
      <w:tr>
        <w:tblPrEx>
          <w:tblLayout w:type="fixed"/>
          <w:tblCellMar>
            <w:top w:w="0" w:type="dxa"/>
            <w:left w:w="108" w:type="dxa"/>
            <w:bottom w:w="0" w:type="dxa"/>
            <w:right w:w="108" w:type="dxa"/>
          </w:tblCellMar>
        </w:tblPrEx>
        <w:trPr>
          <w:trHeight w:val="28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大连农村商业银行股份有限公司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辽宁省大连经济技术开发区五彩城A区1栋-A1号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96689</w:t>
            </w:r>
          </w:p>
        </w:tc>
      </w:tr>
      <w:tr>
        <w:tblPrEx>
          <w:tblLayout w:type="fixed"/>
          <w:tblCellMar>
            <w:top w:w="0" w:type="dxa"/>
            <w:left w:w="108" w:type="dxa"/>
            <w:bottom w:w="0" w:type="dxa"/>
            <w:right w:w="108" w:type="dxa"/>
          </w:tblCellMar>
        </w:tblPrEx>
        <w:trPr>
          <w:trHeight w:val="29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吉林银行股份有限公司</w:t>
            </w:r>
          </w:p>
        </w:tc>
        <w:tc>
          <w:tcPr>
            <w:tcW w:w="110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经济开发区东南湖大路1817号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highlight w:val="none"/>
                <w:u w:val="none"/>
                <w:lang w:val="en-US" w:eastAsia="zh-CN" w:bidi="ar"/>
              </w:rPr>
            </w:pPr>
          </w:p>
        </w:tc>
        <w:tc>
          <w:tcPr>
            <w:tcW w:w="110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400-88-96666</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福建海峡银行股份有限公司</w:t>
            </w:r>
          </w:p>
        </w:tc>
        <w:tc>
          <w:tcPr>
            <w:tcW w:w="110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福建省福州市台江区江滨中大道358号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highlight w:val="none"/>
                <w:u w:val="none"/>
                <w:lang w:val="en-US" w:eastAsia="zh-CN" w:bidi="ar"/>
              </w:rPr>
            </w:pPr>
          </w:p>
        </w:tc>
        <w:tc>
          <w:tcPr>
            <w:tcW w:w="110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400-893-9999</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color w:val="000000"/>
                <w:kern w:val="0"/>
                <w:sz w:val="21"/>
                <w:szCs w:val="21"/>
                <w:highlight w:val="none"/>
                <w:lang w:val="en-US" w:eastAsia="zh-CN" w:bidi="ar"/>
              </w:rPr>
              <w:t>兰州银行股份有限公司</w:t>
            </w:r>
          </w:p>
        </w:tc>
        <w:tc>
          <w:tcPr>
            <w:tcW w:w="1105" w:type="dxa"/>
            <w:tcBorders>
              <w:top w:val="nil"/>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color w:val="000000"/>
                <w:kern w:val="0"/>
                <w:sz w:val="21"/>
                <w:szCs w:val="21"/>
                <w:highlight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color w:val="000000"/>
                <w:kern w:val="0"/>
                <w:sz w:val="21"/>
                <w:szCs w:val="21"/>
                <w:highlight w:val="none"/>
                <w:lang w:val="en-US" w:eastAsia="zh-CN" w:bidi="ar"/>
              </w:rPr>
              <w:t>甘肃省兰州市酒泉路211号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i w:val="0"/>
                <w:color w:val="000000"/>
                <w:kern w:val="0"/>
                <w:sz w:val="21"/>
                <w:szCs w:val="21"/>
                <w:highlight w:val="none"/>
                <w:u w:val="none"/>
                <w:lang w:val="en-US" w:eastAsia="zh-CN" w:bidi="ar"/>
              </w:rPr>
            </w:pPr>
          </w:p>
        </w:tc>
        <w:tc>
          <w:tcPr>
            <w:tcW w:w="1105" w:type="dxa"/>
            <w:tcBorders>
              <w:top w:val="nil"/>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color w:val="000000"/>
                <w:kern w:val="0"/>
                <w:sz w:val="21"/>
                <w:szCs w:val="21"/>
                <w:highlight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color w:val="000000"/>
                <w:kern w:val="0"/>
                <w:sz w:val="21"/>
                <w:szCs w:val="21"/>
                <w:highlight w:val="none"/>
                <w:lang w:val="en-US" w:eastAsia="zh-CN" w:bidi="ar"/>
              </w:rPr>
              <w:t>400-88-96799</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left w:val="single" w:color="auto" w:sz="4" w:space="0"/>
              <w:right w:val="single" w:color="auto" w:sz="4" w:space="0"/>
            </w:tcBorders>
            <w:noWrap w:val="0"/>
            <w:vAlign w:val="center"/>
          </w:tcPr>
          <w:p>
            <w:pPr>
              <w:widowControl/>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color w:val="000000"/>
                <w:kern w:val="0"/>
                <w:sz w:val="21"/>
                <w:szCs w:val="21"/>
                <w:highlight w:val="none"/>
                <w:lang w:val="en-US" w:eastAsia="zh-CN" w:bidi="ar"/>
              </w:rPr>
              <w:t>厦门农村商业银行股份有限公司</w:t>
            </w:r>
          </w:p>
        </w:tc>
        <w:tc>
          <w:tcPr>
            <w:tcW w:w="1105" w:type="dxa"/>
            <w:tcBorders>
              <w:top w:val="nil"/>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中国(福建)自由贸易试验区厦门片区东港北路31号(1层、17层、19层、27-28层、30-31层)</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i w:val="0"/>
                <w:color w:val="000000"/>
                <w:kern w:val="0"/>
                <w:sz w:val="21"/>
                <w:szCs w:val="21"/>
                <w:highlight w:val="none"/>
                <w:u w:val="none"/>
                <w:lang w:val="en-US" w:eastAsia="zh-CN" w:bidi="ar"/>
              </w:rPr>
            </w:pPr>
          </w:p>
        </w:tc>
        <w:tc>
          <w:tcPr>
            <w:tcW w:w="1105" w:type="dxa"/>
            <w:tcBorders>
              <w:top w:val="nil"/>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40083-96336</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汉口银行股份有限公司</w:t>
            </w:r>
          </w:p>
        </w:tc>
        <w:tc>
          <w:tcPr>
            <w:tcW w:w="110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i w:val="0"/>
                <w:color w:val="000000"/>
                <w:kern w:val="0"/>
                <w:sz w:val="21"/>
                <w:szCs w:val="21"/>
                <w:highlight w:val="none"/>
                <w:u w:val="none"/>
                <w:lang w:val="en-US" w:eastAsia="zh-CN" w:bidi="ar"/>
              </w:rPr>
              <w:t>湖北省武汉市江汉区建设大道933号武汉商业银行大厦</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left w:val="single" w:color="auto" w:sz="4" w:space="0"/>
              <w:bottom w:val="single" w:color="auto" w:sz="4" w:space="0"/>
              <w:right w:val="single" w:color="auto" w:sz="4" w:space="0"/>
            </w:tcBorders>
            <w:noWrap w:val="0"/>
            <w:vAlign w:val="center"/>
          </w:tcPr>
          <w:p>
            <w:pPr>
              <w:widowControl w:val="0"/>
              <w:jc w:val="center"/>
              <w:textAlignment w:val="center"/>
              <w:rPr>
                <w:rFonts w:hint="eastAsia" w:ascii="宋体" w:hAnsi="宋体" w:eastAsia="宋体" w:cs="宋体"/>
                <w:i w:val="0"/>
                <w:color w:val="000000"/>
                <w:kern w:val="0"/>
                <w:sz w:val="21"/>
                <w:szCs w:val="21"/>
                <w:highlight w:val="none"/>
                <w:u w:val="none"/>
                <w:lang w:val="en-US" w:eastAsia="zh-CN" w:bidi="ar"/>
              </w:rPr>
            </w:pPr>
          </w:p>
        </w:tc>
        <w:tc>
          <w:tcPr>
            <w:tcW w:w="110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i w:val="0"/>
                <w:color w:val="000000"/>
                <w:kern w:val="0"/>
                <w:sz w:val="21"/>
                <w:szCs w:val="21"/>
                <w:highlight w:val="none"/>
                <w:u w:val="none"/>
                <w:lang w:val="en-US" w:eastAsia="zh-CN" w:bidi="ar"/>
              </w:rPr>
              <w:t>400-609-6558</w:t>
            </w:r>
          </w:p>
        </w:tc>
      </w:tr>
      <w:tr>
        <w:tblPrEx>
          <w:tblLayout w:type="fixed"/>
          <w:tblCellMar>
            <w:top w:w="0" w:type="dxa"/>
            <w:left w:w="108" w:type="dxa"/>
            <w:bottom w:w="0" w:type="dxa"/>
            <w:right w:w="108" w:type="dxa"/>
          </w:tblCellMar>
        </w:tblPrEx>
        <w:trPr>
          <w:trHeight w:val="163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销售机构职责</w:t>
            </w:r>
          </w:p>
        </w:tc>
        <w:tc>
          <w:tcPr>
            <w:tcW w:w="7847" w:type="dxa"/>
            <w:gridSpan w:val="3"/>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主要负责理财计划推广、投资者风险承受能力评估、投资者适当性管理、理财计划份额认购、申购及赎回办理。</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后续如新增</w:t>
      </w:r>
      <w:r>
        <w:rPr>
          <w:rFonts w:hint="eastAsia" w:ascii="宋体" w:hAnsi="宋体" w:cs="宋体"/>
          <w:bCs/>
          <w:color w:val="000000"/>
          <w:sz w:val="24"/>
          <w:highlight w:val="none"/>
          <w:lang w:val="en-US" w:eastAsia="zh-CN"/>
        </w:rPr>
        <w:t>/减少销售机构或销售机构信息变更，请以管理人最新公告或官方网站展示为准</w:t>
      </w:r>
      <w:r>
        <w:rPr>
          <w:rFonts w:hint="eastAsia" w:ascii="宋体" w:hAnsi="宋体" w:cs="宋体"/>
          <w:bCs/>
          <w:color w:val="000000"/>
          <w:sz w:val="24"/>
          <w:highlight w:val="none"/>
        </w:rPr>
        <w:t>。</w:t>
      </w:r>
    </w:p>
    <w:p>
      <w:pPr>
        <w:spacing w:line="360" w:lineRule="auto"/>
        <w:ind w:firstLine="480" w:firstLineChars="200"/>
        <w:rPr>
          <w:rFonts w:hint="eastAsia" w:ascii="宋体" w:hAnsi="宋体" w:cs="宋体"/>
          <w:bCs/>
          <w:color w:val="000000"/>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本理财计划估值日为每个工作日，定期由理财管理人和理财托管人核对估值结果并向投资者披露，具体日期以管理人公告为准。</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货币市场工具类资产</w:t>
      </w:r>
    </w:p>
    <w:p>
      <w:pPr>
        <w:pStyle w:val="13"/>
        <w:adjustRightInd/>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银行存款及回购，以本金列示，按商定利率在实际持有期间内逐日计提利息。</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债券及同业存单类资产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以收取合同现金流量为目的并持有到期的债券及同业存单类资产，按摊余成本法进行计量。其余债券及同业存单类资产，按市价法估值。市价法不能确定公允价值的，采用估值技术进行估值。</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债权类资产</w:t>
      </w:r>
    </w:p>
    <w:p>
      <w:pPr>
        <w:spacing w:line="360" w:lineRule="auto"/>
        <w:rPr>
          <w:rFonts w:ascii="宋体" w:hAnsi="宋体" w:cs="宋体"/>
          <w:bCs/>
          <w:color w:val="000000"/>
          <w:sz w:val="24"/>
          <w:highlight w:val="none"/>
        </w:rPr>
      </w:pPr>
      <w:r>
        <w:rPr>
          <w:rFonts w:hint="eastAsia" w:ascii="宋体" w:hAnsi="宋体" w:cs="宋体"/>
          <w:bCs/>
          <w:color w:val="000000"/>
          <w:sz w:val="24"/>
          <w:highlight w:val="none"/>
        </w:rPr>
        <w:t xml:space="preserve">    对于符合监管要求的债权类资产，按照摊余成本法进行计量。其余债权类资产，按市价法估值。市价法不能确定其公允价值的，采用估值技术进行估值。</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股权类资产</w:t>
      </w:r>
    </w:p>
    <w:p>
      <w:pPr>
        <w:numPr>
          <w:ilvl w:val="0"/>
          <w:numId w:val="25"/>
        </w:numPr>
        <w:spacing w:line="360" w:lineRule="auto"/>
        <w:ind w:left="0" w:firstLine="480"/>
        <w:rPr>
          <w:rFonts w:ascii="宋体" w:hAnsi="宋体" w:cs="宋体"/>
          <w:bCs/>
          <w:color w:val="000000"/>
          <w:sz w:val="24"/>
          <w:highlight w:val="none"/>
        </w:rPr>
      </w:pPr>
      <w:r>
        <w:rPr>
          <w:rFonts w:hint="eastAsia" w:ascii="宋体" w:hAnsi="宋体" w:cs="宋体"/>
          <w:bCs/>
          <w:color w:val="000000"/>
          <w:sz w:val="24"/>
          <w:highlight w:val="none"/>
        </w:rPr>
        <w:t>上市流通股票按估值日其所在证券交易所的收盘价估值；估值日无交易，且最近交易日后未发生影响公允价值计量的重大事件的，以最近交易日的收盘价估值。</w:t>
      </w:r>
    </w:p>
    <w:p>
      <w:pPr>
        <w:numPr>
          <w:ilvl w:val="0"/>
          <w:numId w:val="25"/>
        </w:numPr>
        <w:spacing w:line="360" w:lineRule="auto"/>
        <w:ind w:left="0" w:firstLine="480"/>
        <w:rPr>
          <w:rFonts w:ascii="宋体" w:hAnsi="宋体" w:cs="宋体"/>
          <w:bCs/>
          <w:color w:val="000000"/>
          <w:sz w:val="24"/>
          <w:highlight w:val="none"/>
        </w:rPr>
      </w:pPr>
      <w:r>
        <w:rPr>
          <w:rFonts w:hint="eastAsia" w:ascii="宋体" w:hAnsi="宋体" w:cs="宋体"/>
          <w:bCs/>
          <w:color w:val="000000"/>
          <w:sz w:val="24"/>
          <w:highlight w:val="none"/>
        </w:rPr>
        <w:t>未上市股票的估值：</w:t>
      </w:r>
    </w:p>
    <w:p>
      <w:pPr>
        <w:spacing w:line="360" w:lineRule="auto"/>
        <w:rPr>
          <w:rFonts w:hint="eastAsia" w:ascii="宋体" w:hAnsi="宋体"/>
          <w:sz w:val="24"/>
          <w:highlight w:val="none"/>
        </w:rPr>
      </w:pPr>
      <w:r>
        <w:rPr>
          <w:rFonts w:hint="eastAsia" w:ascii="宋体" w:hAnsi="宋体" w:cs="宋体"/>
          <w:bCs/>
          <w:color w:val="000000"/>
          <w:sz w:val="24"/>
          <w:highlight w:val="none"/>
        </w:rPr>
        <w:t xml:space="preserve">      1）</w:t>
      </w:r>
      <w:r>
        <w:rPr>
          <w:rFonts w:hint="eastAsia" w:ascii="宋体" w:hAnsi="宋体"/>
          <w:sz w:val="24"/>
          <w:highlight w:val="none"/>
        </w:rPr>
        <w:t>送股、转增股、配股和公开增发新股等发行未上市的股票，按估值日在证券交易所挂牌的同一股票的市价估值；</w:t>
      </w:r>
    </w:p>
    <w:p>
      <w:pPr>
        <w:spacing w:line="360" w:lineRule="auto"/>
        <w:rPr>
          <w:rFonts w:hint="eastAsia" w:ascii="宋体" w:hAnsi="宋体"/>
          <w:sz w:val="24"/>
          <w:highlight w:val="none"/>
        </w:rPr>
      </w:pPr>
      <w:r>
        <w:rPr>
          <w:rFonts w:hint="eastAsia" w:ascii="宋体" w:hAnsi="宋体"/>
          <w:sz w:val="24"/>
          <w:highlight w:val="none"/>
        </w:rPr>
        <w:t xml:space="preserve">      2）首次公开发行有明确锁定期的股票，同一股票在交易所上市后，按交易所上市的同一股票的市价估值；</w:t>
      </w:r>
    </w:p>
    <w:p>
      <w:pPr>
        <w:spacing w:line="360" w:lineRule="auto"/>
        <w:rPr>
          <w:rFonts w:hint="eastAsia" w:ascii="宋体" w:hAnsi="宋体"/>
          <w:sz w:val="24"/>
          <w:highlight w:val="none"/>
        </w:rPr>
      </w:pPr>
      <w:r>
        <w:rPr>
          <w:rFonts w:hint="eastAsia" w:ascii="宋体" w:hAnsi="宋体"/>
          <w:sz w:val="24"/>
          <w:highlight w:val="none"/>
        </w:rPr>
        <w:t xml:space="preserve">      3）首次发行未上市的股票，按发行价格进行估值；</w:t>
      </w:r>
    </w:p>
    <w:p>
      <w:pPr>
        <w:spacing w:line="360" w:lineRule="auto"/>
        <w:rPr>
          <w:rFonts w:hint="eastAsia" w:ascii="宋体" w:hAnsi="宋体"/>
          <w:sz w:val="24"/>
          <w:highlight w:val="none"/>
        </w:rPr>
      </w:pPr>
      <w:r>
        <w:rPr>
          <w:rFonts w:hint="eastAsia" w:ascii="宋体" w:hAnsi="宋体"/>
          <w:sz w:val="24"/>
          <w:highlight w:val="none"/>
        </w:rPr>
        <w:t xml:space="preserve">      4）因持有股票而享有的配股权，采用估值技术确定公允价值。</w:t>
      </w:r>
    </w:p>
    <w:p>
      <w:pPr>
        <w:numPr>
          <w:ilvl w:val="0"/>
          <w:numId w:val="25"/>
        </w:numPr>
        <w:spacing w:line="360" w:lineRule="auto"/>
        <w:ind w:left="0" w:firstLine="480"/>
        <w:rPr>
          <w:rFonts w:ascii="宋体" w:hAnsi="宋体" w:cs="宋体"/>
          <w:bCs/>
          <w:color w:val="000000"/>
          <w:sz w:val="24"/>
          <w:highlight w:val="none"/>
        </w:rPr>
      </w:pPr>
      <w:r>
        <w:rPr>
          <w:rFonts w:hint="eastAsia" w:ascii="宋体" w:hAnsi="宋体" w:cs="宋体"/>
          <w:bCs/>
          <w:color w:val="000000"/>
          <w:sz w:val="24"/>
          <w:highlight w:val="none"/>
        </w:rPr>
        <w:t>非上市股权的估值：</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基金、资产管理计划类资产</w:t>
      </w:r>
    </w:p>
    <w:p>
      <w:p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3"/>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3"/>
        <w:spacing w:line="360" w:lineRule="auto"/>
        <w:ind w:firstLine="480" w:firstLineChars="200"/>
        <w:rPr>
          <w:rFonts w:hint="eastAsia" w:ascii="宋体" w:hAnsi="宋体" w:cs="宋体"/>
          <w:bCs/>
          <w:highlight w:val="none"/>
        </w:rPr>
      </w:pPr>
      <w:r>
        <w:rPr>
          <w:rFonts w:hint="eastAsia" w:ascii="宋体" w:hAnsi="宋体" w:cs="宋体"/>
          <w:bCs/>
          <w:kern w:val="2"/>
          <w:highlight w:val="none"/>
        </w:rPr>
        <w:t>以</w:t>
      </w:r>
      <w:r>
        <w:rPr>
          <w:rFonts w:hint="eastAsia" w:ascii="宋体" w:hAnsi="宋体" w:cs="宋体"/>
          <w:bCs/>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3"/>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当理财计划管理人或托管人认为按上述方法对理财计划进行估值不能客观反映其公允价值的，可以在满足监管要求的前提下协商一致后，按最能反映公允价值的价格估值，并自协商一致日后执行。</w:t>
      </w:r>
    </w:p>
    <w:p>
      <w:pPr>
        <w:pStyle w:val="13"/>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6"/>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理财计划投资所涉及的交易市场遇法定节假日或因其他原因暂停营业时暂停估值，该种情况理财计划估值日期提前到上一交易日。</w:t>
      </w:r>
    </w:p>
    <w:p>
      <w:pPr>
        <w:numPr>
          <w:ilvl w:val="0"/>
          <w:numId w:val="26"/>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6"/>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7"/>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本理财计划涉及费用包括销售服务费、托管费、固定管理费、认购费、浮动管理费以及理财计划运作和清算中产生的其他费用等。</w:t>
      </w:r>
    </w:p>
    <w:p>
      <w:pPr>
        <w:numPr>
          <w:ilvl w:val="0"/>
          <w:numId w:val="27"/>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销售服务费</w:t>
      </w:r>
    </w:p>
    <w:p>
      <w:pPr>
        <w:spacing w:line="360" w:lineRule="auto"/>
        <w:ind w:firstLine="420" w:firstLineChars="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理财计划财产分为每日计提销售服务费的〖A份额〗、〖B份额〗、〖C份额〗、〖D份额〗、〖E份额〗、〖F份额〗、〖G份额〗、〖H份额〗、〖I份额〗、〖J份额〗、〖K份额〗、〖O份额〗、〖P份额〗、〖V份额〗、〖X份额〗和销售服务费于产品成立日一次性收取的〖N份额〗、〖Q份额〗、〖R份额〗、〖S份额〗、〖T份额〗、〖U份额〗、〖W份额〗、〖Y份额〗、〖Z份额〗。A份额的年化销售服务费率为〖0.30%〗, B份额的年化销售服务费率为〖0.20%〗, C份额的年化销售服务费率为〖0.10%〗, D份额的年化销售服务费率为〖0.15%〗, E份额的年化销售服务费率为〖0.40%〗, F份额的年化销售服务费率为〖0.15%〗, G份额的年化销售服务费率为〖0.05%〗, H份额的年化销售服务费率为〖0.20%〗, I份额的年化销售服务费率为〖0.30%〗, J份额的年化销售服务费率为〖0.05%〗, K份额的年化销售服务费率为〖0.30%〗, N份额的年化销售服务费率为〖0.20%〗, O份额的年化销售服务费率为〖0.20%〗, P份额的年化销售服务费率为〖0.15%〗, Q份额的年化销售服务费率为〖0.10%〗, R份额的年化销售服务费率为〖0.15%〗, S份额的年化销售服务费率为〖0.15%〗, T份额的年化销售服务费率为〖0.30%〗, U份额的年化销售服务费率为〖0.20%〗, V份额的年化销售服务费率为〖0.10%〗, W份额的年化销售服务费率为〖0.30%〗, X份额的年化销售服务费率为〖0.05%〗, Y份额的年化销售服务费率为〖0.20%〗, Z份额的年化销售服务费率为〖0.10%〗。两种计算方法如下：</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（1）销售费按日计提</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H1＝E1×〖0.30%〗÷365</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H1为〖A份额〗每日应计提的销售服务费</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E1为〖A份额〗前一日资产净值</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销售服务费原则上按日计提。</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（2）销售费一次性收取</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H2＝E2×〖0.20%〗×P÷365</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H2为〖N份额〗应计提的销售服务费</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E2为〖N份额〗成立日产品份额</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P为产品投资期限天数</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销售服务费于产品成立日一次性收取，每日摊销。</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bCs/>
          <w:color w:val="000000"/>
          <w:sz w:val="24"/>
          <w:highlight w:val="none"/>
          <w:lang w:val="en-US" w:eastAsia="zh-CN"/>
        </w:rPr>
        <w:t>0.025</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bCs/>
          <w:color w:val="000000"/>
          <w:sz w:val="24"/>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理财计划财产A份额的年化固定管理费率为〖0.05%〗, B份额的年化固定管理费率为〖0.05%〗, C份额的年化固定管理费率为〖0.05%〗, D份额的年化固定管理费率为〖0.05%〗, E份额的年化固定管理费率为〖0.10%〗, F份额的年化固定管理费率为〖0.05%〗, G份额的年化固定管理费率为〖0.05%〗, H份额的年化固定管理费率为〖0.05%〗, I份额的年化固定管理费率为〖0.05%〗, J份额的年化固定管理费率为〖0.05%〗, K份额的年化固定管理费率为〖0.05%〗, N份额的年化固定管理费率为〖0.05%〗, O份额的年化固定管理费率为〖0.05%〗, P份额的年化固定管理费率为〖0.05%〗, Q份额的年化固定管理费率为〖0.05%〗, R份额的年化固定管理费率为〖0.05%〗, S份额的年化固定管理费率为〖0.04%〗, T份额的年化固定管理费率为〖0.05%〗, U份额的年化固定管理费率为〖0.05%〗, V份额的年化固定管理费率为〖0.05%〗, W份额的年化固定管理费率为〖0.05%〗, X份额的年化固定管理费率为〖0.05%〗, Y份额的年化固定管理费率为〖0.05%〗, Z份额的年化固定管理费率为〖0.05%〗, 以〖A份额〗为例，计算方法如下：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H＝E×〖0.05%</w:t>
      </w:r>
      <w:r>
        <w:rPr>
          <w:rFonts w:hint="eastAsia" w:ascii="宋体" w:hAnsi="宋体" w:cs="宋体"/>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sz w:val="24"/>
          <w:highlight w:val="none"/>
          <w:lang w:val="en-US" w:eastAsia="zh-CN"/>
        </w:rPr>
        <w:t>A</w:t>
      </w:r>
      <w:r>
        <w:rPr>
          <w:rFonts w:hint="eastAsia" w:ascii="宋体" w:hAnsi="宋体" w:cs="宋体"/>
          <w:bCs/>
          <w:color w:val="000000"/>
          <w:sz w:val="24"/>
          <w:highlight w:val="none"/>
        </w:rPr>
        <w:t>份额每日应计提的固定管理费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sz w:val="24"/>
          <w:highlight w:val="none"/>
          <w:lang w:val="en-US" w:eastAsia="zh-CN"/>
        </w:rPr>
        <w:t>A</w:t>
      </w:r>
      <w:r>
        <w:rPr>
          <w:rFonts w:hint="eastAsia" w:ascii="宋体" w:hAnsi="宋体" w:cs="宋体"/>
          <w:bCs/>
          <w:color w:val="000000"/>
          <w:sz w:val="24"/>
          <w:highlight w:val="none"/>
        </w:rPr>
        <w:t>份额前一日资产净值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固定管理费原则上按日计提，如理财计划实际运作结果不达业绩比较基准下限时，管理人有权减免固定管理费。</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理财管理人根据理财计划投资情况计算浮动管理费，浮动管理费原则上按估值日计提，到期收取。以〖A份额〗为例，具体计算方法如下：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（1）若本理财计划到期日（提前终止日）的折合年化收益率超过业绩比较基准下限但未达到业绩比较基准上限，则超过业绩比较基准下限的部分管理人收取〖</w:t>
      </w:r>
      <w:r>
        <w:rPr>
          <w:rFonts w:hint="eastAsia" w:ascii="宋体" w:hAnsi="宋体" w:eastAsia="宋体" w:cs="宋体"/>
          <w:b w:val="0"/>
          <w:bCs/>
          <w:color w:val="000000"/>
          <w:kern w:val="2"/>
          <w:sz w:val="24"/>
          <w:szCs w:val="24"/>
          <w:highlight w:val="none"/>
          <w:lang w:val="en-US" w:eastAsia="zh-CN" w:bidi="ar-SA"/>
        </w:rPr>
        <w:t>50</w:t>
      </w:r>
      <w:r>
        <w:rPr>
          <w:rFonts w:hint="eastAsia" w:ascii="宋体" w:hAnsi="宋体" w:cs="宋体"/>
          <w:bCs/>
          <w:color w:val="000000"/>
          <w:sz w:val="24"/>
          <w:highlight w:val="none"/>
        </w:rPr>
        <w:t>%〗作为浮动管理费，即：</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H=E×NAV0×（K-S)×〖</w:t>
      </w:r>
      <w:r>
        <w:rPr>
          <w:rFonts w:hint="eastAsia" w:ascii="宋体" w:hAnsi="宋体" w:eastAsia="宋体" w:cs="宋体"/>
          <w:b w:val="0"/>
          <w:bCs/>
          <w:color w:val="000000"/>
          <w:kern w:val="2"/>
          <w:sz w:val="24"/>
          <w:szCs w:val="24"/>
          <w:highlight w:val="none"/>
          <w:lang w:val="en-US" w:eastAsia="zh-CN" w:bidi="ar-SA"/>
        </w:rPr>
        <w:t>50</w:t>
      </w:r>
      <w:r>
        <w:rPr>
          <w:rFonts w:hint="eastAsia" w:ascii="宋体" w:hAnsi="宋体" w:cs="宋体"/>
          <w:bCs/>
          <w:color w:val="000000"/>
          <w:sz w:val="24"/>
          <w:highlight w:val="none"/>
        </w:rPr>
        <w:t>%〗×N÷365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（2）若本理财计划到期日（提前终止日）的折合年化收益率超过业绩比较基准上限，则〖业绩比较基准下限(含)至上限(含)〗的部分管理人收取〖</w:t>
      </w:r>
      <w:r>
        <w:rPr>
          <w:rFonts w:hint="eastAsia" w:ascii="宋体" w:hAnsi="宋体" w:eastAsia="宋体" w:cs="宋体"/>
          <w:b w:val="0"/>
          <w:bCs/>
          <w:color w:val="000000"/>
          <w:kern w:val="2"/>
          <w:sz w:val="24"/>
          <w:szCs w:val="24"/>
          <w:highlight w:val="none"/>
          <w:lang w:val="en-US" w:eastAsia="zh-CN" w:bidi="ar-SA"/>
        </w:rPr>
        <w:t>50</w:t>
      </w:r>
      <w:r>
        <w:rPr>
          <w:rFonts w:hint="eastAsia" w:ascii="宋体" w:hAnsi="宋体" w:cs="宋体"/>
          <w:bCs/>
          <w:color w:val="000000"/>
          <w:sz w:val="24"/>
          <w:highlight w:val="none"/>
        </w:rPr>
        <w:t>%〗作为浮动管理费，超过〖业绩比较基准上限〗的部分管理人收取〖</w:t>
      </w:r>
      <w:r>
        <w:rPr>
          <w:rFonts w:hint="eastAsia" w:ascii="宋体" w:hAnsi="宋体" w:eastAsia="宋体" w:cs="宋体"/>
          <w:b w:val="0"/>
          <w:bCs/>
          <w:color w:val="000000"/>
          <w:kern w:val="2"/>
          <w:sz w:val="24"/>
          <w:szCs w:val="24"/>
          <w:highlight w:val="none"/>
          <w:lang w:val="en-US" w:eastAsia="zh-CN" w:bidi="ar-SA"/>
        </w:rPr>
        <w:t>80</w:t>
      </w:r>
      <w:r>
        <w:rPr>
          <w:rFonts w:hint="eastAsia" w:ascii="宋体" w:hAnsi="宋体" w:cs="宋体"/>
          <w:bCs/>
          <w:color w:val="000000"/>
          <w:sz w:val="24"/>
          <w:highlight w:val="none"/>
        </w:rPr>
        <w:t>%〗作为浮动管理费，即：</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H=E×NAV0×[(K-R)×〖</w:t>
      </w:r>
      <w:r>
        <w:rPr>
          <w:rFonts w:hint="eastAsia" w:ascii="宋体" w:hAnsi="宋体" w:eastAsia="宋体" w:cs="宋体"/>
          <w:b w:val="0"/>
          <w:bCs/>
          <w:color w:val="000000"/>
          <w:kern w:val="2"/>
          <w:sz w:val="24"/>
          <w:szCs w:val="24"/>
          <w:highlight w:val="none"/>
          <w:lang w:val="en-US" w:eastAsia="zh-CN" w:bidi="ar-SA"/>
        </w:rPr>
        <w:t>80</w:t>
      </w:r>
      <w:r>
        <w:rPr>
          <w:rFonts w:hint="eastAsia" w:ascii="宋体" w:hAnsi="宋体" w:cs="宋体"/>
          <w:bCs/>
          <w:color w:val="000000"/>
          <w:sz w:val="24"/>
          <w:highlight w:val="none"/>
        </w:rPr>
        <w:t>%〗+(R-S)×〖</w:t>
      </w:r>
      <w:r>
        <w:rPr>
          <w:rFonts w:hint="eastAsia" w:ascii="宋体" w:hAnsi="宋体" w:eastAsia="宋体" w:cs="宋体"/>
          <w:b w:val="0"/>
          <w:bCs/>
          <w:color w:val="000000"/>
          <w:kern w:val="2"/>
          <w:sz w:val="24"/>
          <w:szCs w:val="24"/>
          <w:highlight w:val="none"/>
          <w:lang w:val="en-US" w:eastAsia="zh-CN" w:bidi="ar-SA"/>
        </w:rPr>
        <w:t>50</w:t>
      </w:r>
      <w:r>
        <w:rPr>
          <w:rFonts w:hint="eastAsia" w:ascii="宋体" w:hAnsi="宋体" w:cs="宋体"/>
          <w:bCs/>
          <w:color w:val="000000"/>
          <w:sz w:val="24"/>
          <w:highlight w:val="none"/>
        </w:rPr>
        <w:t>%〗]×N÷365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H为理财计划到期（提前终止）时应收取浮动管理费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E为投资者持有份额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K为收取浮动管理费前投资者持有份额对应持有区间折合年化收益率</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NAV0为理财计划成立日之初的单位净值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NAV1为理财计划到期日未扣除浮动管理费前的单位净值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R为</w:t>
      </w:r>
      <w:r>
        <w:rPr>
          <w:rFonts w:hint="eastAsia" w:ascii="宋体" w:hAnsi="宋体" w:cs="宋体"/>
          <w:bCs/>
          <w:color w:val="000000"/>
          <w:sz w:val="24"/>
          <w:highlight w:val="none"/>
          <w:lang w:val="en-US" w:eastAsia="zh-CN"/>
        </w:rPr>
        <w:t>理财计划</w:t>
      </w:r>
      <w:r>
        <w:rPr>
          <w:rFonts w:hint="eastAsia" w:ascii="宋体" w:hAnsi="宋体" w:cs="宋体"/>
          <w:bCs/>
          <w:color w:val="000000"/>
          <w:sz w:val="24"/>
          <w:highlight w:val="none"/>
        </w:rPr>
        <w:t>业绩比较基准上限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S为</w:t>
      </w:r>
      <w:r>
        <w:rPr>
          <w:rFonts w:hint="eastAsia" w:ascii="宋体" w:hAnsi="宋体" w:cs="宋体"/>
          <w:bCs/>
          <w:color w:val="000000"/>
          <w:sz w:val="24"/>
          <w:highlight w:val="none"/>
          <w:lang w:val="en-US" w:eastAsia="zh-CN"/>
        </w:rPr>
        <w:t>理财计划</w:t>
      </w:r>
      <w:r>
        <w:rPr>
          <w:rFonts w:hint="eastAsia" w:ascii="宋体" w:hAnsi="宋体" w:cs="宋体"/>
          <w:bCs/>
          <w:color w:val="000000"/>
          <w:sz w:val="24"/>
          <w:highlight w:val="none"/>
        </w:rPr>
        <w:t>业绩比较基准下限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N为理财计划份额成立日（含）至估值日（含）的区间天数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T为理财计划运作期间每单位份额的实际分红金额合计（如有）</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jc w:val="left"/>
        <w:rPr>
          <w:rFonts w:ascii="宋体" w:hAnsi="宋体" w:cs="宋体"/>
          <w:bCs/>
          <w:sz w:val="24"/>
          <w:highlight w:val="none"/>
        </w:rPr>
      </w:pPr>
      <w:r>
        <w:rPr>
          <w:rFonts w:hint="eastAsia" w:ascii="宋体" w:hAnsi="宋体" w:cs="宋体"/>
          <w:bCs/>
          <w:sz w:val="24"/>
          <w:highlight w:val="none"/>
        </w:rPr>
        <w:t xml:space="preserve">    </w:t>
      </w: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0"/>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1"/>
        </w:numPr>
        <w:spacing w:line="360" w:lineRule="auto"/>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1"/>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1"/>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投资者理财收益＝认购份额×到期日（提前终止日）单位净值+份额持有期间累计分红-认购金额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认购份额=认购金额÷1元。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到期日（提前终止日）单位净值为提取相关费用及税费后的单位理财计划份额净值。</w:t>
      </w:r>
    </w:p>
    <w:p>
      <w:pPr>
        <w:numPr>
          <w:ilvl w:val="0"/>
          <w:numId w:val="3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示例说明</w:t>
      </w:r>
    </w:p>
    <w:p>
      <w:pPr>
        <w:numPr>
          <w:ilvl w:val="0"/>
          <w:numId w:val="0"/>
        </w:numPr>
        <w:spacing w:line="360" w:lineRule="auto"/>
        <w:ind w:left="420" w:firstLine="0"/>
        <w:jc w:val="left"/>
        <w:outlineLvl w:val="2"/>
        <w:rPr>
          <w:rFonts w:hint="eastAsia" w:ascii="宋体" w:hAnsi="宋体" w:cs="宋体"/>
          <w:b/>
          <w:sz w:val="24"/>
          <w:highlight w:val="none"/>
        </w:rPr>
      </w:pPr>
      <w:r>
        <w:rPr>
          <w:rFonts w:hint="eastAsia" w:ascii="宋体" w:hAnsi="宋体" w:cs="宋体"/>
          <w:bCs/>
          <w:color w:val="000000"/>
          <w:sz w:val="24"/>
          <w:highlight w:val="none"/>
        </w:rPr>
        <w:t>以下示例均为假设情况，不构成业绩预测，不代表本理财计划实际投资业绩。</w:t>
      </w:r>
    </w:p>
    <w:p>
      <w:pPr>
        <w:numPr>
          <w:ilvl w:val="0"/>
          <w:numId w:val="33"/>
        </w:numPr>
        <w:spacing w:line="360" w:lineRule="auto"/>
        <w:jc w:val="left"/>
        <w:rPr>
          <w:rFonts w:hint="eastAsia" w:ascii="宋体" w:hAnsi="宋体" w:cs="宋体"/>
          <w:b/>
          <w:sz w:val="24"/>
          <w:highlight w:val="none"/>
        </w:rPr>
      </w:pPr>
      <w:r>
        <w:rPr>
          <w:rFonts w:hint="eastAsia" w:ascii="宋体" w:hAnsi="宋体" w:cs="宋体"/>
          <w:b/>
          <w:sz w:val="24"/>
          <w:highlight w:val="none"/>
        </w:rPr>
        <w:t>示例一</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扣除托管费、固定管理费、销售服务费（如有）后，投资收益率超过〖</w:t>
      </w:r>
      <w:r>
        <w:rPr>
          <w:rFonts w:hint="eastAsia" w:ascii="宋体" w:hAnsi="宋体" w:cs="宋体"/>
          <w:b/>
          <w:color w:val="000000"/>
          <w:sz w:val="24"/>
          <w:highlight w:val="none"/>
          <w:lang w:val="en-US" w:eastAsia="zh-CN"/>
        </w:rPr>
        <w:t>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0元，折算份额为100,000.00份，假设份额成立日（含）至估值日（含）的区间天数为362天,</w:t>
      </w:r>
      <w:r>
        <w:rPr>
          <w:rFonts w:hint="eastAsia" w:ascii="宋体" w:hAnsi="宋体" w:cs="宋体"/>
          <w:bCs/>
          <w:color w:val="000000"/>
          <w:sz w:val="24"/>
          <w:highlight w:val="none"/>
          <w:lang w:val="en-US" w:eastAsia="zh-CN"/>
        </w:rPr>
        <w:t>业绩比较基准为4.00%-5.00%</w:t>
      </w:r>
      <w:r>
        <w:rPr>
          <w:rFonts w:hint="eastAsia" w:ascii="宋体" w:hAnsi="宋体" w:cs="宋体"/>
          <w:bCs/>
          <w:color w:val="000000"/>
          <w:sz w:val="24"/>
          <w:highlight w:val="none"/>
        </w:rPr>
        <w:t>。假设</w:t>
      </w:r>
      <w:r>
        <w:rPr>
          <w:rFonts w:hint="eastAsia" w:ascii="宋体" w:hAnsi="宋体" w:cs="宋体"/>
          <w:bCs/>
          <w:color w:val="000000"/>
          <w:sz w:val="24"/>
          <w:highlight w:val="none"/>
          <w:lang w:val="en-US" w:eastAsia="zh-CN"/>
        </w:rPr>
        <w:t>理财产品</w:t>
      </w:r>
      <w:r>
        <w:rPr>
          <w:rFonts w:hint="eastAsia" w:ascii="宋体" w:hAnsi="宋体" w:cs="宋体"/>
          <w:bCs/>
          <w:color w:val="000000"/>
          <w:sz w:val="24"/>
          <w:highlight w:val="none"/>
        </w:rPr>
        <w:t>到期时扣除托管费、固定管理费、销售服务费（如有）后，如理财计划未扣除浮动管理费前的净值为1.0615，此时，(1.0615÷1.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00-1)×365÷362=6.20%&gt;5.00%，即</w:t>
      </w:r>
      <w:r>
        <w:rPr>
          <w:rFonts w:hint="eastAsia" w:ascii="宋体" w:hAnsi="宋体" w:cs="宋体"/>
          <w:bCs/>
          <w:color w:val="000000"/>
          <w:sz w:val="24"/>
          <w:highlight w:val="none"/>
          <w:lang w:val="en-US" w:eastAsia="zh-CN"/>
        </w:rPr>
        <w:t>在</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4.00%-5.00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部分的</w:t>
      </w:r>
      <w:r>
        <w:rPr>
          <w:rFonts w:hint="eastAsia" w:ascii="宋体" w:hAnsi="宋体" w:cs="宋体"/>
          <w:bCs/>
          <w:color w:val="000000"/>
          <w:sz w:val="24"/>
          <w:highlight w:val="none"/>
        </w:rPr>
        <w:t>投资收益</w:t>
      </w:r>
      <w:r>
        <w:rPr>
          <w:rFonts w:hint="eastAsia" w:ascii="宋体" w:hAnsi="宋体" w:cs="宋体"/>
          <w:bCs/>
          <w:color w:val="000000"/>
          <w:sz w:val="24"/>
          <w:highlight w:val="none"/>
          <w:lang w:val="en-US" w:eastAsia="zh-CN"/>
        </w:rPr>
        <w:t>管理人收取80%作为浮动管理费，</w:t>
      </w:r>
      <w:r>
        <w:rPr>
          <w:rFonts w:hint="eastAsia" w:ascii="宋体" w:hAnsi="宋体" w:cs="宋体"/>
          <w:bCs/>
          <w:color w:val="000000"/>
          <w:sz w:val="24"/>
          <w:highlight w:val="none"/>
        </w:rPr>
        <w:t>超过〖5.00%〗</w:t>
      </w:r>
      <w:r>
        <w:rPr>
          <w:rFonts w:hint="eastAsia" w:ascii="宋体" w:hAnsi="宋体" w:cs="宋体"/>
          <w:bCs/>
          <w:color w:val="000000"/>
          <w:sz w:val="24"/>
          <w:highlight w:val="none"/>
          <w:lang w:val="en-US" w:eastAsia="zh-CN"/>
        </w:rPr>
        <w:t>部分的</w:t>
      </w:r>
      <w:r>
        <w:rPr>
          <w:rFonts w:hint="eastAsia" w:ascii="宋体" w:hAnsi="宋体" w:cs="宋体"/>
          <w:bCs/>
          <w:color w:val="000000"/>
          <w:sz w:val="24"/>
          <w:highlight w:val="none"/>
        </w:rPr>
        <w:t>投资</w:t>
      </w:r>
      <w:r>
        <w:rPr>
          <w:rFonts w:hint="eastAsia" w:ascii="宋体" w:hAnsi="宋体" w:cs="宋体"/>
          <w:bCs/>
          <w:color w:val="000000"/>
          <w:sz w:val="24"/>
          <w:highlight w:val="none"/>
          <w:lang w:val="en-US" w:eastAsia="zh-CN"/>
        </w:rPr>
        <w:t>收益管理人收取100%作为</w:t>
      </w:r>
      <w:r>
        <w:rPr>
          <w:rFonts w:hint="eastAsia" w:ascii="宋体" w:hAnsi="宋体" w:cs="宋体"/>
          <w:bCs/>
          <w:color w:val="000000"/>
          <w:sz w:val="24"/>
          <w:highlight w:val="none"/>
        </w:rPr>
        <w:t>浮动管理费，浮动管理费为：</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100</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1.0615÷</w:t>
      </w:r>
      <w:r>
        <w:rPr>
          <w:rFonts w:hint="eastAsia" w:ascii="宋体" w:hAnsi="宋体" w:cs="宋体"/>
          <w:bCs/>
          <w:color w:val="000000"/>
          <w:sz w:val="24"/>
          <w:highlight w:val="none"/>
          <w:lang w:val="en-US" w:eastAsia="zh-CN"/>
        </w:rPr>
        <w:t>1.0000-1</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362-5.00%]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100</w:t>
      </w:r>
      <w:r>
        <w:rPr>
          <w:rFonts w:hint="eastAsia" w:ascii="宋体" w:hAnsi="宋体" w:cs="宋体"/>
          <w:bCs/>
          <w:color w:val="000000"/>
          <w:sz w:val="24"/>
          <w:highlight w:val="none"/>
        </w:rPr>
        <w:t>%+(5</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%-4</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%)×80%</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×362÷365=</w:t>
      </w:r>
      <w:r>
        <w:rPr>
          <w:rFonts w:hint="eastAsia" w:ascii="宋体" w:hAnsi="宋体" w:cs="宋体"/>
          <w:bCs/>
          <w:color w:val="000000"/>
          <w:sz w:val="24"/>
          <w:highlight w:val="none"/>
          <w:lang w:val="en-US" w:eastAsia="zh-CN"/>
        </w:rPr>
        <w:t>1,984.52</w:t>
      </w:r>
      <w:r>
        <w:rPr>
          <w:rFonts w:hint="eastAsia" w:ascii="宋体" w:hAnsi="宋体" w:cs="宋体"/>
          <w:bCs/>
          <w:color w:val="000000"/>
          <w:sz w:val="24"/>
          <w:highlight w:val="none"/>
        </w:rPr>
        <w:t>（元）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0,000.00×（1.0615-1.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00）-1,984.52= 4,165.48（元）</w:t>
      </w:r>
    </w:p>
    <w:p>
      <w:pPr>
        <w:numPr>
          <w:ilvl w:val="0"/>
          <w:numId w:val="33"/>
        </w:numPr>
        <w:spacing w:line="360" w:lineRule="auto"/>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val="en-US" w:eastAsia="zh-CN"/>
        </w:rPr>
        <w:t>二</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扣除托管费、固定管理费、销售服务费（如有）后，投资收益率超过</w:t>
      </w:r>
      <w:r>
        <w:rPr>
          <w:rFonts w:hint="eastAsia" w:ascii="宋体" w:hAnsi="宋体" w:cs="宋体"/>
          <w:b/>
          <w:color w:val="000000"/>
          <w:sz w:val="24"/>
          <w:highlight w:val="none"/>
          <w:lang w:val="en-US" w:eastAsia="zh-CN"/>
        </w:rPr>
        <w:t>业绩比较基准下限</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但未达到业绩比较基准上限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eastAsia="宋体" w:cs="宋体"/>
          <w:bCs/>
          <w:color w:val="000000"/>
          <w:sz w:val="24"/>
          <w:highlight w:val="none"/>
          <w:lang w:val="en-US" w:eastAsia="zh-CN"/>
        </w:rPr>
      </w:pPr>
      <w:r>
        <w:rPr>
          <w:rFonts w:hint="eastAsia" w:ascii="宋体" w:hAnsi="宋体" w:cs="宋体"/>
          <w:bCs/>
          <w:color w:val="000000"/>
          <w:sz w:val="24"/>
          <w:highlight w:val="none"/>
        </w:rPr>
        <w:t>以某投资者投资10万元为例，假设购买时理财计划净值为1.0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0元，折算份额为100,000.00份,假设份额成立日（含）至估值日（含）的区间天数为362天,</w:t>
      </w:r>
      <w:r>
        <w:rPr>
          <w:rFonts w:hint="eastAsia" w:ascii="宋体" w:hAnsi="宋体" w:cs="宋体"/>
          <w:bCs/>
          <w:color w:val="000000"/>
          <w:sz w:val="24"/>
          <w:highlight w:val="none"/>
          <w:lang w:val="en-US" w:eastAsia="zh-CN"/>
        </w:rPr>
        <w:t>业绩比较基准为4.00%-5.00%</w:t>
      </w:r>
      <w:r>
        <w:rPr>
          <w:rFonts w:hint="eastAsia" w:ascii="宋体" w:hAnsi="宋体" w:cs="宋体"/>
          <w:bCs/>
          <w:color w:val="000000"/>
          <w:sz w:val="24"/>
          <w:highlight w:val="none"/>
        </w:rPr>
        <w:t>。假设</w:t>
      </w:r>
      <w:r>
        <w:rPr>
          <w:rFonts w:hint="eastAsia" w:ascii="宋体" w:hAnsi="宋体" w:cs="宋体"/>
          <w:bCs/>
          <w:color w:val="000000"/>
          <w:sz w:val="24"/>
          <w:highlight w:val="none"/>
          <w:lang w:val="en-US" w:eastAsia="zh-CN"/>
        </w:rPr>
        <w:t>理财产品</w:t>
      </w:r>
      <w:r>
        <w:rPr>
          <w:rFonts w:hint="eastAsia" w:ascii="宋体" w:hAnsi="宋体" w:cs="宋体"/>
          <w:bCs/>
          <w:color w:val="000000"/>
          <w:sz w:val="24"/>
          <w:highlight w:val="none"/>
        </w:rPr>
        <w:t>到期时扣除托管费、固定管理费、销售服务费（如有）后</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lang w:val="en-US" w:eastAsia="zh-CN"/>
        </w:rPr>
        <w:t>如</w:t>
      </w:r>
      <w:r>
        <w:rPr>
          <w:rFonts w:hint="eastAsia" w:ascii="宋体" w:hAnsi="宋体" w:cs="宋体"/>
          <w:bCs/>
          <w:color w:val="000000"/>
          <w:sz w:val="24"/>
          <w:highlight w:val="none"/>
        </w:rPr>
        <w:t>理财计划未扣除浮动管理费前的净值为1.0415，此时，(1.0</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15÷1.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00-1)×365÷362=4.18%，即投资收益超过〖4.00%〗</w:t>
      </w:r>
      <w:r>
        <w:rPr>
          <w:rFonts w:hint="eastAsia" w:ascii="宋体" w:hAnsi="宋体" w:cs="宋体"/>
          <w:bCs/>
          <w:color w:val="000000"/>
          <w:sz w:val="24"/>
          <w:highlight w:val="none"/>
          <w:lang w:val="en-US" w:eastAsia="zh-CN"/>
        </w:rPr>
        <w:t>但未达到</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.00%〗，则超过〖4.00%〗部分</w:t>
      </w:r>
      <w:r>
        <w:rPr>
          <w:rFonts w:hint="eastAsia" w:ascii="宋体" w:hAnsi="宋体" w:cs="宋体"/>
          <w:bCs/>
          <w:color w:val="000000"/>
          <w:sz w:val="24"/>
          <w:highlight w:val="none"/>
          <w:lang w:val="en-US" w:eastAsia="zh-CN"/>
        </w:rPr>
        <w:t>的</w:t>
      </w:r>
      <w:r>
        <w:rPr>
          <w:rFonts w:hint="eastAsia" w:ascii="宋体" w:hAnsi="宋体" w:cs="宋体"/>
          <w:bCs/>
          <w:color w:val="000000"/>
          <w:sz w:val="24"/>
          <w:highlight w:val="none"/>
        </w:rPr>
        <w:t>投资收益管理人收取</w:t>
      </w:r>
      <w:r>
        <w:rPr>
          <w:rFonts w:hint="eastAsia" w:ascii="宋体" w:hAnsi="宋体" w:cs="宋体"/>
          <w:bCs/>
          <w:color w:val="000000"/>
          <w:sz w:val="24"/>
          <w:highlight w:val="none"/>
          <w:lang w:val="en-US" w:eastAsia="zh-CN"/>
        </w:rPr>
        <w:t>80%作为</w:t>
      </w:r>
      <w:r>
        <w:rPr>
          <w:rFonts w:hint="eastAsia" w:ascii="宋体" w:hAnsi="宋体" w:cs="宋体"/>
          <w:bCs/>
          <w:color w:val="000000"/>
          <w:sz w:val="24"/>
          <w:highlight w:val="none"/>
        </w:rPr>
        <w:t>浮动管理费，浮动管理费为：</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1.0415÷</w:t>
      </w:r>
      <w:r>
        <w:rPr>
          <w:rFonts w:hint="eastAsia" w:ascii="宋体" w:hAnsi="宋体" w:cs="宋体"/>
          <w:bCs/>
          <w:color w:val="000000"/>
          <w:sz w:val="24"/>
          <w:highlight w:val="none"/>
          <w:lang w:val="en-US" w:eastAsia="zh-CN"/>
        </w:rPr>
        <w:t>1.0000-1)</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362-4.00%]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80%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362</w:t>
      </w:r>
      <w:r>
        <w:rPr>
          <w:rFonts w:hint="eastAsia" w:ascii="宋体" w:hAnsi="宋体" w:cs="宋体"/>
          <w:bCs/>
          <w:color w:val="000000"/>
          <w:sz w:val="24"/>
          <w:highlight w:val="none"/>
        </w:rPr>
        <w:t>÷365=146.30（元）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100,000.00×（1.0415-1.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00）-146.30 =4</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003.70（元）</w:t>
      </w:r>
    </w:p>
    <w:p>
      <w:pPr>
        <w:numPr>
          <w:ilvl w:val="0"/>
          <w:numId w:val="33"/>
        </w:numPr>
        <w:spacing w:line="360" w:lineRule="auto"/>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val="en-US" w:eastAsia="zh-CN"/>
        </w:rPr>
        <w:t>三</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扣除托管费、固定管理费、销售服务费（如有）后，投资收益率未达到〖</w:t>
      </w:r>
      <w:r>
        <w:rPr>
          <w:rFonts w:hint="eastAsia" w:ascii="宋体" w:hAnsi="宋体" w:cs="宋体"/>
          <w:b/>
          <w:color w:val="000000"/>
          <w:sz w:val="24"/>
          <w:highlight w:val="none"/>
          <w:lang w:val="en-US" w:eastAsia="zh-CN"/>
        </w:rPr>
        <w:t>业绩比较基准下限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元，折算份额为100,000.00份，假设份额成立日（含）至估值日（含）的区间天数为362天,</w:t>
      </w:r>
      <w:r>
        <w:rPr>
          <w:rFonts w:hint="eastAsia" w:ascii="宋体" w:hAnsi="宋体" w:cs="宋体"/>
          <w:bCs/>
          <w:color w:val="000000"/>
          <w:sz w:val="24"/>
          <w:highlight w:val="none"/>
          <w:lang w:val="en-US" w:eastAsia="zh-CN"/>
        </w:rPr>
        <w:t>业绩比较基准为4.00%-5.00%</w:t>
      </w:r>
      <w:r>
        <w:rPr>
          <w:rFonts w:hint="eastAsia" w:ascii="宋体" w:hAnsi="宋体" w:cs="宋体"/>
          <w:bCs/>
          <w:color w:val="000000"/>
          <w:sz w:val="24"/>
          <w:highlight w:val="none"/>
        </w:rPr>
        <w:t>。假设</w:t>
      </w:r>
      <w:r>
        <w:rPr>
          <w:rFonts w:hint="eastAsia" w:ascii="宋体" w:hAnsi="宋体" w:cs="宋体"/>
          <w:bCs/>
          <w:color w:val="000000"/>
          <w:sz w:val="24"/>
          <w:highlight w:val="none"/>
          <w:lang w:val="en-US" w:eastAsia="zh-CN"/>
        </w:rPr>
        <w:t>理财产品</w:t>
      </w:r>
      <w:r>
        <w:rPr>
          <w:rFonts w:hint="eastAsia" w:ascii="宋体" w:hAnsi="宋体" w:cs="宋体"/>
          <w:bCs/>
          <w:color w:val="000000"/>
          <w:sz w:val="24"/>
          <w:highlight w:val="none"/>
        </w:rPr>
        <w:t>到期时扣除托管费、固定管理费、销售服务费（如有）后，如理财计划未扣除浮动管理费前的净值为1.0362，此时，(1.0362÷1.00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-1)×365÷362=3.65%&lt;</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.00%，即投资收益未达到〖4.00%〗，则投资管理人不收取浮动管理费，投资者最终收益为：100,000.00×(1.0365-1.00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）=3,650.00（元）</w:t>
      </w:r>
    </w:p>
    <w:p>
      <w:pPr>
        <w:numPr>
          <w:ilvl w:val="0"/>
          <w:numId w:val="33"/>
        </w:numPr>
        <w:spacing w:line="360" w:lineRule="auto"/>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val="en-US" w:eastAsia="zh-CN"/>
        </w:rPr>
        <w:t>四</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扣除托管费、固定管理费、销售服务费（如有）后，投资发生亏损。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以某投资者投资10万元为例，假设购买时理财计划净值为1.00元，折算份额为100,000.00份，假设份额成立日（含）至估值日（含）的区间天数为362天,</w:t>
      </w:r>
      <w:r>
        <w:rPr>
          <w:rFonts w:hint="eastAsia" w:ascii="宋体" w:hAnsi="宋体" w:cs="宋体"/>
          <w:bCs/>
          <w:color w:val="000000"/>
          <w:sz w:val="24"/>
          <w:highlight w:val="none"/>
          <w:lang w:val="en-US" w:eastAsia="zh-CN"/>
        </w:rPr>
        <w:t>业绩比较基准为4.00%-5.00%</w:t>
      </w:r>
      <w:r>
        <w:rPr>
          <w:rFonts w:hint="eastAsia" w:ascii="宋体" w:hAnsi="宋体" w:cs="宋体"/>
          <w:bCs/>
          <w:color w:val="000000"/>
          <w:sz w:val="24"/>
          <w:highlight w:val="none"/>
        </w:rPr>
        <w:t>。假设</w:t>
      </w:r>
      <w:r>
        <w:rPr>
          <w:rFonts w:hint="eastAsia" w:ascii="宋体" w:hAnsi="宋体" w:cs="宋体"/>
          <w:bCs/>
          <w:color w:val="000000"/>
          <w:sz w:val="24"/>
          <w:highlight w:val="none"/>
          <w:lang w:val="en-US" w:eastAsia="zh-CN"/>
        </w:rPr>
        <w:t>理财产品</w:t>
      </w:r>
      <w:r>
        <w:rPr>
          <w:rFonts w:hint="eastAsia" w:ascii="宋体" w:hAnsi="宋体" w:cs="宋体"/>
          <w:bCs/>
          <w:color w:val="000000"/>
          <w:sz w:val="24"/>
          <w:highlight w:val="none"/>
        </w:rPr>
        <w:t>到期时扣除托管费、固定管理费、销售服务费（如有）后，如理财计划未扣除浮动管理费前的净值为0.9975，则投资管理人不收取浮动管理费，投资者最终收益为：100,000.00×（0.9975-1.00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）=-250.00（元）。</w:t>
      </w:r>
    </w:p>
    <w:p>
      <w:pPr>
        <w:numPr>
          <w:ilvl w:val="0"/>
          <w:numId w:val="3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如新增认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产品的认购申请。投资者持有份额的计算以管理人登记为准。</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6"/>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6"/>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申购及赎回</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本理财计划封闭式运作，存续期间不开放申购和赎回。</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1〗个工作日、最晚〖3〗个工作日内（遇节假日顺延）将资金按规定的要求划入投资者授权指定的理财账户。（具体以销售机构规定为准）</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highlight w:val="none"/>
        </w:rPr>
        <w:t>〖</w:t>
      </w:r>
      <w:r>
        <w:rPr>
          <w:rFonts w:hint="eastAsia" w:ascii="宋体" w:hAnsi="宋体" w:cs="宋体"/>
          <w:bCs/>
          <w:sz w:val="24"/>
          <w:highlight w:val="none"/>
        </w:rPr>
        <w:t>2</w:t>
      </w:r>
      <w:r>
        <w:rPr>
          <w:rFonts w:hint="eastAsia" w:ascii="宋体" w:hAnsi="宋体" w:cs="宋体"/>
          <w:bCs/>
          <w:color w:val="000000"/>
          <w:sz w:val="24"/>
          <w:highlight w:val="none"/>
        </w:rPr>
        <w:t>〗</w:t>
      </w:r>
      <w:r>
        <w:rPr>
          <w:rFonts w:hint="eastAsia" w:ascii="宋体" w:hAnsi="宋体" w:cs="宋体"/>
          <w:bCs/>
          <w:sz w:val="24"/>
          <w:highlight w:val="none"/>
        </w:rPr>
        <w:t>个工作日通过管理人或销售机构发布提前终止公告，并于终止日后</w:t>
      </w:r>
      <w:r>
        <w:rPr>
          <w:rFonts w:hint="eastAsia" w:ascii="宋体" w:hAnsi="宋体" w:cs="宋体"/>
          <w:sz w:val="24"/>
          <w:highlight w:val="none"/>
        </w:rPr>
        <w:t>〖</w:t>
      </w:r>
      <w:r>
        <w:rPr>
          <w:rFonts w:hint="eastAsia" w:ascii="宋体" w:hAnsi="宋体" w:cs="宋体"/>
          <w:sz w:val="24"/>
          <w:szCs w:val="24"/>
          <w:highlight w:val="none"/>
        </w:rPr>
        <w:t>3</w:t>
      </w:r>
      <w:r>
        <w:rPr>
          <w:rFonts w:hint="eastAsia" w:ascii="宋体" w:hAnsi="宋体" w:cs="宋体"/>
          <w:bCs/>
          <w:color w:val="000000"/>
          <w:sz w:val="24"/>
          <w:highlight w:val="none"/>
        </w:rPr>
        <w:t>〗</w:t>
      </w:r>
      <w:r>
        <w:rPr>
          <w:rFonts w:hint="eastAsia" w:ascii="宋体" w:hAnsi="宋体" w:cs="宋体"/>
          <w:bCs/>
          <w:sz w:val="24"/>
          <w:highlight w:val="none"/>
        </w:rPr>
        <w:t>个工作日内将可兑付款项按规定的要求划入投资者授权指定的理财账户。终止日至资金实际到账日之间，投资者资金不计息。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如发生以下事项时，管理人可对本理财计划行使全部或部分提前终止权：</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融资人行使提前到期或还款权利的。</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38"/>
        </w:numPr>
        <w:spacing w:line="360" w:lineRule="auto"/>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38"/>
        </w:numPr>
        <w:spacing w:line="360" w:lineRule="auto"/>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38"/>
        </w:numPr>
        <w:spacing w:line="360" w:lineRule="auto"/>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38"/>
        </w:numPr>
        <w:spacing w:line="360" w:lineRule="auto"/>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38"/>
        </w:numPr>
        <w:spacing w:line="360" w:lineRule="auto"/>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39"/>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40"/>
        </w:numPr>
        <w:spacing w:line="360" w:lineRule="auto"/>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4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理财计划合同：管理人应在正式办理理财计划份额认购前披露，包括但不限于理财计划风险揭示书、理财计划产品说明书、投资者权益须知、理财计划投资协议书以及理财计划销售协议书。</w:t>
      </w:r>
    </w:p>
    <w:p>
      <w:pPr>
        <w:numPr>
          <w:ilvl w:val="0"/>
          <w:numId w:val="4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发行公告：管理人应在理财计划成立日后3个工作日内披露，包括成立日期、募集规模等信息。</w:t>
      </w:r>
    </w:p>
    <w:p>
      <w:pPr>
        <w:numPr>
          <w:ilvl w:val="0"/>
          <w:numId w:val="40"/>
        </w:numPr>
        <w:spacing w:line="360" w:lineRule="auto"/>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4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理财计划净值：管理人应在理财计划成立后，每周披露一次净值。</w:t>
      </w:r>
    </w:p>
    <w:p>
      <w:pPr>
        <w:numPr>
          <w:ilvl w:val="0"/>
          <w:numId w:val="4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p>
    <w:p>
      <w:pPr>
        <w:numPr>
          <w:ilvl w:val="0"/>
          <w:numId w:val="0"/>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如本理财计划成立不足90个工作日或剩余存续期不超过90个工作日的，管理人可不编制当期的季度、半年和年度报告等运行报告。</w:t>
      </w:r>
    </w:p>
    <w:p>
      <w:pPr>
        <w:numPr>
          <w:ilvl w:val="0"/>
          <w:numId w:val="4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40"/>
        </w:numPr>
        <w:spacing w:line="360" w:lineRule="auto"/>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4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管理人应在运用收取短期赎回费、摆动定价等措施后，3个交易日内发布相关事项公告；应在运用暂停认购、延期办理巨额赎回申请、暂停接受赎回申请、延缓支付赎回款项、暂停理财产品估值等措施后，3个交易日内发布相关事项公告，说明运用相关措施的原因、拟采取的应对安排等；应在发生可能对理财计划投资者或者理财计划收益产生重大事项的事件后2个工作日内发布重大事项公告。</w:t>
      </w:r>
    </w:p>
    <w:p>
      <w:pPr>
        <w:numPr>
          <w:ilvl w:val="0"/>
          <w:numId w:val="4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临时公告：管理人应当及时披露除重大事项以外的其他信息，包括但不限于理财计划终止、更换理财计划管理人和托管人、涉及理财计划管理业务的重大诉讼、涉及费率相关事项的变动、理财计划延期兑付等。</w:t>
      </w:r>
    </w:p>
    <w:p>
      <w:pPr>
        <w:numPr>
          <w:ilvl w:val="0"/>
          <w:numId w:val="39"/>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4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44"/>
        </w:numPr>
        <w:tabs>
          <w:tab w:val="left" w:pos="6090"/>
        </w:tabs>
        <w:spacing w:line="360" w:lineRule="auto"/>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授权使用时限与履行相关法律法规和监管要求的必要时限一致。</w:t>
      </w:r>
    </w:p>
    <w:p>
      <w:pPr>
        <w:numPr>
          <w:ilvl w:val="0"/>
          <w:numId w:val="4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被告人所在地有管辖权的人民法院诉讼解决。</w:t>
      </w:r>
    </w:p>
    <w:p>
      <w:pPr>
        <w:numPr>
          <w:ilvl w:val="0"/>
          <w:numId w:val="4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jc w:val="both"/>
        <w:outlineLvl w:val="9"/>
        <w:rPr>
          <w:rFonts w:hint="eastAsia" w:ascii="Calibri" w:hAnsi="Calibri" w:eastAsia="宋体" w:cs="黑体"/>
          <w:b/>
          <w:bCs w:val="0"/>
          <w:sz w:val="44"/>
          <w:szCs w:val="44"/>
          <w:highlight w:val="none"/>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w:t>
    </w:r>
    <w:r>
      <w:rPr>
        <w:rFonts w:hint="eastAsia"/>
        <w:b/>
        <w:bCs/>
        <w:lang w:val="en-US" w:eastAsia="zh-CN"/>
      </w:rPr>
      <w:t>须</w:t>
    </w:r>
    <w:r>
      <w:rPr>
        <w:rFonts w:hint="eastAsia"/>
        <w:b/>
        <w:bCs/>
      </w:rPr>
      <w:t>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2">
    <w:nsid w:val="8906C252"/>
    <w:multiLevelType w:val="singleLevel"/>
    <w:tmpl w:val="8906C252"/>
    <w:lvl w:ilvl="0" w:tentative="0">
      <w:start w:val="1"/>
      <w:numFmt w:val="decimal"/>
      <w:suff w:val="nothing"/>
      <w:lvlText w:val="（%1）"/>
      <w:lvlJc w:val="left"/>
      <w:rPr>
        <w:rFonts w:hint="default"/>
        <w:b w:val="0"/>
        <w:bCs w:val="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4">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5">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6">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7">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2">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3">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4">
    <w:nsid w:val="F574F5B6"/>
    <w:multiLevelType w:val="singleLevel"/>
    <w:tmpl w:val="F574F5B6"/>
    <w:lvl w:ilvl="0" w:tentative="0">
      <w:start w:val="1"/>
      <w:numFmt w:val="decimal"/>
      <w:suff w:val="nothing"/>
      <w:lvlText w:val="（%1）"/>
      <w:lvlJc w:val="left"/>
    </w:lvl>
  </w:abstractNum>
  <w:abstractNum w:abstractNumId="25">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26">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27">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28">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29">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0">
    <w:nsid w:val="167B0BB4"/>
    <w:multiLevelType w:val="singleLevel"/>
    <w:tmpl w:val="167B0BB4"/>
    <w:lvl w:ilvl="0" w:tentative="0">
      <w:start w:val="1"/>
      <w:numFmt w:val="decimal"/>
      <w:suff w:val="nothing"/>
      <w:lvlText w:val="（%1）"/>
      <w:lvlJc w:val="left"/>
    </w:lvl>
  </w:abstractNum>
  <w:abstractNum w:abstractNumId="31">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2">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3">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34">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35">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36">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3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3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3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41">
    <w:nsid w:val="62F21FDB"/>
    <w:multiLevelType w:val="multilevel"/>
    <w:tmpl w:val="62F21FDB"/>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2">
    <w:nsid w:val="68F6C37C"/>
    <w:multiLevelType w:val="singleLevel"/>
    <w:tmpl w:val="68F6C37C"/>
    <w:lvl w:ilvl="0" w:tentative="0">
      <w:start w:val="1"/>
      <w:numFmt w:val="decimal"/>
      <w:lvlText w:val="%1."/>
      <w:lvlJc w:val="left"/>
      <w:pPr>
        <w:tabs>
          <w:tab w:val="left" w:pos="312"/>
        </w:tabs>
      </w:pPr>
      <w:rPr>
        <w:rFonts w:hint="default"/>
        <w:highlight w:val="none"/>
      </w:rPr>
    </w:lvl>
  </w:abstractNum>
  <w:abstractNum w:abstractNumId="4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39"/>
  </w:num>
  <w:num w:numId="2">
    <w:abstractNumId w:val="36"/>
  </w:num>
  <w:num w:numId="3">
    <w:abstractNumId w:val="25"/>
  </w:num>
  <w:num w:numId="4">
    <w:abstractNumId w:val="23"/>
  </w:num>
  <w:num w:numId="5">
    <w:abstractNumId w:val="28"/>
  </w:num>
  <w:num w:numId="6">
    <w:abstractNumId w:val="22"/>
  </w:num>
  <w:num w:numId="7">
    <w:abstractNumId w:val="17"/>
  </w:num>
  <w:num w:numId="8">
    <w:abstractNumId w:val="10"/>
  </w:num>
  <w:num w:numId="9">
    <w:abstractNumId w:val="14"/>
  </w:num>
  <w:num w:numId="10">
    <w:abstractNumId w:val="7"/>
  </w:num>
  <w:num w:numId="11">
    <w:abstractNumId w:val="8"/>
  </w:num>
  <w:num w:numId="12">
    <w:abstractNumId w:val="6"/>
  </w:num>
  <w:num w:numId="13">
    <w:abstractNumId w:val="27"/>
  </w:num>
  <w:num w:numId="14">
    <w:abstractNumId w:val="42"/>
  </w:num>
  <w:num w:numId="15">
    <w:abstractNumId w:val="4"/>
  </w:num>
  <w:num w:numId="16">
    <w:abstractNumId w:val="0"/>
  </w:num>
  <w:num w:numId="17">
    <w:abstractNumId w:val="35"/>
  </w:num>
  <w:num w:numId="18">
    <w:abstractNumId w:val="24"/>
  </w:num>
  <w:num w:numId="19">
    <w:abstractNumId w:val="16"/>
  </w:num>
  <w:num w:numId="20">
    <w:abstractNumId w:val="32"/>
  </w:num>
  <w:num w:numId="21">
    <w:abstractNumId w:val="18"/>
  </w:num>
  <w:num w:numId="22">
    <w:abstractNumId w:val="5"/>
  </w:num>
  <w:num w:numId="23">
    <w:abstractNumId w:val="38"/>
  </w:num>
  <w:num w:numId="24">
    <w:abstractNumId w:val="3"/>
  </w:num>
  <w:num w:numId="25">
    <w:abstractNumId w:val="41"/>
  </w:num>
  <w:num w:numId="26">
    <w:abstractNumId w:val="31"/>
  </w:num>
  <w:num w:numId="27">
    <w:abstractNumId w:val="43"/>
  </w:num>
  <w:num w:numId="28">
    <w:abstractNumId w:val="26"/>
  </w:num>
  <w:num w:numId="29">
    <w:abstractNumId w:val="20"/>
  </w:num>
  <w:num w:numId="30">
    <w:abstractNumId w:val="34"/>
  </w:num>
  <w:num w:numId="31">
    <w:abstractNumId w:val="1"/>
  </w:num>
  <w:num w:numId="32">
    <w:abstractNumId w:val="21"/>
  </w:num>
  <w:num w:numId="33">
    <w:abstractNumId w:val="13"/>
  </w:num>
  <w:num w:numId="34">
    <w:abstractNumId w:val="37"/>
  </w:num>
  <w:num w:numId="35">
    <w:abstractNumId w:val="29"/>
  </w:num>
  <w:num w:numId="36">
    <w:abstractNumId w:val="15"/>
  </w:num>
  <w:num w:numId="37">
    <w:abstractNumId w:val="40"/>
  </w:num>
  <w:num w:numId="38">
    <w:abstractNumId w:val="11"/>
  </w:num>
  <w:num w:numId="39">
    <w:abstractNumId w:val="9"/>
  </w:num>
  <w:num w:numId="40">
    <w:abstractNumId w:val="12"/>
  </w:num>
  <w:num w:numId="41">
    <w:abstractNumId w:val="30"/>
  </w:num>
  <w:num w:numId="42">
    <w:abstractNumId w:val="19"/>
  </w:num>
  <w:num w:numId="43">
    <w:abstractNumId w:val="2"/>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0107D6"/>
    <w:rsid w:val="000A19CC"/>
    <w:rsid w:val="000B1563"/>
    <w:rsid w:val="000C5797"/>
    <w:rsid w:val="00123AE9"/>
    <w:rsid w:val="00140EE3"/>
    <w:rsid w:val="00175D3F"/>
    <w:rsid w:val="00187BC5"/>
    <w:rsid w:val="00194470"/>
    <w:rsid w:val="001B4676"/>
    <w:rsid w:val="001C01B2"/>
    <w:rsid w:val="001D2C7B"/>
    <w:rsid w:val="002141BE"/>
    <w:rsid w:val="00232E3B"/>
    <w:rsid w:val="0023532C"/>
    <w:rsid w:val="00263368"/>
    <w:rsid w:val="00274E11"/>
    <w:rsid w:val="00304AEE"/>
    <w:rsid w:val="00327FC6"/>
    <w:rsid w:val="00343F73"/>
    <w:rsid w:val="00386FEC"/>
    <w:rsid w:val="003A1A36"/>
    <w:rsid w:val="003A3C2F"/>
    <w:rsid w:val="003D1B3C"/>
    <w:rsid w:val="003E5127"/>
    <w:rsid w:val="003E5FE8"/>
    <w:rsid w:val="004556BB"/>
    <w:rsid w:val="00475C26"/>
    <w:rsid w:val="004A724E"/>
    <w:rsid w:val="005571F8"/>
    <w:rsid w:val="00557E0E"/>
    <w:rsid w:val="00652A77"/>
    <w:rsid w:val="006B63C1"/>
    <w:rsid w:val="00720124"/>
    <w:rsid w:val="007542C9"/>
    <w:rsid w:val="00765C48"/>
    <w:rsid w:val="00773199"/>
    <w:rsid w:val="00793C62"/>
    <w:rsid w:val="007C65CD"/>
    <w:rsid w:val="008207F1"/>
    <w:rsid w:val="00852C69"/>
    <w:rsid w:val="00873DE6"/>
    <w:rsid w:val="00882FCB"/>
    <w:rsid w:val="008C74C9"/>
    <w:rsid w:val="008D78BD"/>
    <w:rsid w:val="008E13C5"/>
    <w:rsid w:val="00901BED"/>
    <w:rsid w:val="00902D93"/>
    <w:rsid w:val="00914DAB"/>
    <w:rsid w:val="00993044"/>
    <w:rsid w:val="009B2DC4"/>
    <w:rsid w:val="009B40C6"/>
    <w:rsid w:val="009B64A7"/>
    <w:rsid w:val="009C3F7C"/>
    <w:rsid w:val="009C43A4"/>
    <w:rsid w:val="00A20F48"/>
    <w:rsid w:val="00A338FE"/>
    <w:rsid w:val="00A77F3E"/>
    <w:rsid w:val="00B765F3"/>
    <w:rsid w:val="00C012A2"/>
    <w:rsid w:val="00C07905"/>
    <w:rsid w:val="00C2564F"/>
    <w:rsid w:val="00C944CB"/>
    <w:rsid w:val="00D06904"/>
    <w:rsid w:val="00D07D02"/>
    <w:rsid w:val="00D14693"/>
    <w:rsid w:val="00D16C82"/>
    <w:rsid w:val="00D34068"/>
    <w:rsid w:val="00D41665"/>
    <w:rsid w:val="00D44268"/>
    <w:rsid w:val="00D47AB0"/>
    <w:rsid w:val="00D61838"/>
    <w:rsid w:val="00D767CF"/>
    <w:rsid w:val="00DA1B4C"/>
    <w:rsid w:val="00DC5F5C"/>
    <w:rsid w:val="00DF33CE"/>
    <w:rsid w:val="00E13193"/>
    <w:rsid w:val="00E35C54"/>
    <w:rsid w:val="00E406C4"/>
    <w:rsid w:val="00E7096F"/>
    <w:rsid w:val="00EB473B"/>
    <w:rsid w:val="00EE319D"/>
    <w:rsid w:val="00F0077E"/>
    <w:rsid w:val="00F50192"/>
    <w:rsid w:val="00F5498F"/>
    <w:rsid w:val="00F5749D"/>
    <w:rsid w:val="00F8181B"/>
    <w:rsid w:val="00FA0296"/>
    <w:rsid w:val="00FA6CE7"/>
    <w:rsid w:val="00FE2923"/>
    <w:rsid w:val="02562BF7"/>
    <w:rsid w:val="02FF6A3A"/>
    <w:rsid w:val="03BA3F56"/>
    <w:rsid w:val="0460442C"/>
    <w:rsid w:val="04CC55AF"/>
    <w:rsid w:val="0500018B"/>
    <w:rsid w:val="05B13762"/>
    <w:rsid w:val="07376664"/>
    <w:rsid w:val="09130B13"/>
    <w:rsid w:val="0B1A5A6E"/>
    <w:rsid w:val="0B2D0BA7"/>
    <w:rsid w:val="0B9F06D4"/>
    <w:rsid w:val="0BFD0501"/>
    <w:rsid w:val="0C583EF5"/>
    <w:rsid w:val="0D6706EF"/>
    <w:rsid w:val="0DBE77E4"/>
    <w:rsid w:val="0E2830EC"/>
    <w:rsid w:val="101F6BD5"/>
    <w:rsid w:val="10504FB0"/>
    <w:rsid w:val="110C5156"/>
    <w:rsid w:val="110E3B80"/>
    <w:rsid w:val="117A174C"/>
    <w:rsid w:val="118D4B5D"/>
    <w:rsid w:val="11BF48B2"/>
    <w:rsid w:val="120050A9"/>
    <w:rsid w:val="133A19E0"/>
    <w:rsid w:val="13FC36E3"/>
    <w:rsid w:val="1442705A"/>
    <w:rsid w:val="14AD62A1"/>
    <w:rsid w:val="155F3FC2"/>
    <w:rsid w:val="15841F16"/>
    <w:rsid w:val="15C972B9"/>
    <w:rsid w:val="15FFB4E2"/>
    <w:rsid w:val="162A128A"/>
    <w:rsid w:val="16563388"/>
    <w:rsid w:val="17432384"/>
    <w:rsid w:val="17611875"/>
    <w:rsid w:val="1783542D"/>
    <w:rsid w:val="179972B0"/>
    <w:rsid w:val="17C82AD1"/>
    <w:rsid w:val="18FC27C6"/>
    <w:rsid w:val="1A1A2410"/>
    <w:rsid w:val="1A835642"/>
    <w:rsid w:val="1B4B1291"/>
    <w:rsid w:val="1B757EAF"/>
    <w:rsid w:val="1CAD01AC"/>
    <w:rsid w:val="1D4F0AE0"/>
    <w:rsid w:val="1D866C77"/>
    <w:rsid w:val="1D9446FE"/>
    <w:rsid w:val="1DFF113E"/>
    <w:rsid w:val="1E831DF3"/>
    <w:rsid w:val="1E856DEB"/>
    <w:rsid w:val="1F3C1565"/>
    <w:rsid w:val="20BD2325"/>
    <w:rsid w:val="24A67BC4"/>
    <w:rsid w:val="251A3318"/>
    <w:rsid w:val="25801A05"/>
    <w:rsid w:val="27CE3874"/>
    <w:rsid w:val="27EB3D24"/>
    <w:rsid w:val="28B13D99"/>
    <w:rsid w:val="2A4135AD"/>
    <w:rsid w:val="2AD52CEA"/>
    <w:rsid w:val="2B683C5D"/>
    <w:rsid w:val="2B8255D3"/>
    <w:rsid w:val="2CED7384"/>
    <w:rsid w:val="2D131CD0"/>
    <w:rsid w:val="2DD45D89"/>
    <w:rsid w:val="2FAF3215"/>
    <w:rsid w:val="307B1E47"/>
    <w:rsid w:val="319F46CB"/>
    <w:rsid w:val="32FF4CC1"/>
    <w:rsid w:val="33C67AA9"/>
    <w:rsid w:val="348C31DF"/>
    <w:rsid w:val="348E01C6"/>
    <w:rsid w:val="354C4323"/>
    <w:rsid w:val="35CD15B7"/>
    <w:rsid w:val="35D86BDE"/>
    <w:rsid w:val="35FD5667"/>
    <w:rsid w:val="36310E4A"/>
    <w:rsid w:val="36591675"/>
    <w:rsid w:val="372216A6"/>
    <w:rsid w:val="38663D34"/>
    <w:rsid w:val="39310E98"/>
    <w:rsid w:val="39977E11"/>
    <w:rsid w:val="3A2C5D6E"/>
    <w:rsid w:val="3AA66AF1"/>
    <w:rsid w:val="3B885E8A"/>
    <w:rsid w:val="3BF91FE0"/>
    <w:rsid w:val="3D3D1991"/>
    <w:rsid w:val="3DF2217F"/>
    <w:rsid w:val="3E6E2E42"/>
    <w:rsid w:val="3EA23778"/>
    <w:rsid w:val="3EAC1C1C"/>
    <w:rsid w:val="3EE67142"/>
    <w:rsid w:val="3EFE04EE"/>
    <w:rsid w:val="3FCF347B"/>
    <w:rsid w:val="3FE830E5"/>
    <w:rsid w:val="3FF3288E"/>
    <w:rsid w:val="3FFF2FDA"/>
    <w:rsid w:val="40221B6B"/>
    <w:rsid w:val="40570634"/>
    <w:rsid w:val="41487A0A"/>
    <w:rsid w:val="42342BAA"/>
    <w:rsid w:val="425B6A60"/>
    <w:rsid w:val="426E7500"/>
    <w:rsid w:val="43685ADB"/>
    <w:rsid w:val="44045C03"/>
    <w:rsid w:val="446A4F91"/>
    <w:rsid w:val="46DB254E"/>
    <w:rsid w:val="47000D52"/>
    <w:rsid w:val="478A2A1D"/>
    <w:rsid w:val="47C36E36"/>
    <w:rsid w:val="47FFEEA7"/>
    <w:rsid w:val="48A3615E"/>
    <w:rsid w:val="48B73C2B"/>
    <w:rsid w:val="48E00B0C"/>
    <w:rsid w:val="49CB5098"/>
    <w:rsid w:val="4B7B050C"/>
    <w:rsid w:val="4B954EA0"/>
    <w:rsid w:val="4CC84C98"/>
    <w:rsid w:val="4D4708A6"/>
    <w:rsid w:val="4E754A4E"/>
    <w:rsid w:val="4E9967DA"/>
    <w:rsid w:val="4ECF30D7"/>
    <w:rsid w:val="4EDFE998"/>
    <w:rsid w:val="4F1025D9"/>
    <w:rsid w:val="4FC27339"/>
    <w:rsid w:val="502B3CEE"/>
    <w:rsid w:val="50700DC3"/>
    <w:rsid w:val="509F5AAF"/>
    <w:rsid w:val="50EE58D7"/>
    <w:rsid w:val="519E097B"/>
    <w:rsid w:val="51EB2798"/>
    <w:rsid w:val="53A84543"/>
    <w:rsid w:val="56A66316"/>
    <w:rsid w:val="57C8521F"/>
    <w:rsid w:val="5851778C"/>
    <w:rsid w:val="58A020D2"/>
    <w:rsid w:val="5A5F3178"/>
    <w:rsid w:val="5A6368AB"/>
    <w:rsid w:val="5A7E2982"/>
    <w:rsid w:val="5B24597E"/>
    <w:rsid w:val="5B7358EA"/>
    <w:rsid w:val="5BEF430C"/>
    <w:rsid w:val="5C531CB6"/>
    <w:rsid w:val="5CF01D88"/>
    <w:rsid w:val="5D5C0387"/>
    <w:rsid w:val="5FDF50F0"/>
    <w:rsid w:val="608F3A1C"/>
    <w:rsid w:val="63281479"/>
    <w:rsid w:val="6336483C"/>
    <w:rsid w:val="636F22E5"/>
    <w:rsid w:val="646D7D7D"/>
    <w:rsid w:val="64A47711"/>
    <w:rsid w:val="64BB6AA4"/>
    <w:rsid w:val="64EB1FB1"/>
    <w:rsid w:val="65085FDD"/>
    <w:rsid w:val="66A625FE"/>
    <w:rsid w:val="66BC7D07"/>
    <w:rsid w:val="672D0717"/>
    <w:rsid w:val="68782DAE"/>
    <w:rsid w:val="68A1454F"/>
    <w:rsid w:val="69644745"/>
    <w:rsid w:val="69BC658F"/>
    <w:rsid w:val="6A042D14"/>
    <w:rsid w:val="6ABE1B22"/>
    <w:rsid w:val="6AF26EB9"/>
    <w:rsid w:val="6B29233B"/>
    <w:rsid w:val="6B8C2015"/>
    <w:rsid w:val="6C1B5E3A"/>
    <w:rsid w:val="6C3E06A6"/>
    <w:rsid w:val="6D966DB7"/>
    <w:rsid w:val="6DFFC3DA"/>
    <w:rsid w:val="6E9FBD1B"/>
    <w:rsid w:val="6EE209DA"/>
    <w:rsid w:val="6FDF216C"/>
    <w:rsid w:val="70597F18"/>
    <w:rsid w:val="7082330A"/>
    <w:rsid w:val="70B07D50"/>
    <w:rsid w:val="714C5613"/>
    <w:rsid w:val="71876AC5"/>
    <w:rsid w:val="725917A9"/>
    <w:rsid w:val="73631A55"/>
    <w:rsid w:val="77B75243"/>
    <w:rsid w:val="77C21A5F"/>
    <w:rsid w:val="77D23D86"/>
    <w:rsid w:val="78DE14DC"/>
    <w:rsid w:val="792D1E0D"/>
    <w:rsid w:val="79321117"/>
    <w:rsid w:val="79EF62DB"/>
    <w:rsid w:val="7A3A7C0C"/>
    <w:rsid w:val="7A835F66"/>
    <w:rsid w:val="7A8955BC"/>
    <w:rsid w:val="7A9D6576"/>
    <w:rsid w:val="7AAF2916"/>
    <w:rsid w:val="7BBBE85A"/>
    <w:rsid w:val="7BF7B220"/>
    <w:rsid w:val="7C207C26"/>
    <w:rsid w:val="7C6B4330"/>
    <w:rsid w:val="7DAE1C60"/>
    <w:rsid w:val="7DF68476"/>
    <w:rsid w:val="7EB27B45"/>
    <w:rsid w:val="7F535A03"/>
    <w:rsid w:val="7F7F7558"/>
    <w:rsid w:val="7FFBBF1D"/>
    <w:rsid w:val="9BDF7602"/>
    <w:rsid w:val="A359F53F"/>
    <w:rsid w:val="AF7F22A7"/>
    <w:rsid w:val="B77F6C8E"/>
    <w:rsid w:val="BBDD94B8"/>
    <w:rsid w:val="DDD7D223"/>
    <w:rsid w:val="DFBFAD6C"/>
    <w:rsid w:val="E235E6E6"/>
    <w:rsid w:val="E7FF9D5A"/>
    <w:rsid w:val="EEDB2018"/>
    <w:rsid w:val="EFDD886D"/>
    <w:rsid w:val="EFE74234"/>
    <w:rsid w:val="F6EBF8EA"/>
    <w:rsid w:val="FBF53B4B"/>
    <w:rsid w:val="FC7BB570"/>
    <w:rsid w:val="FEFF40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tblPr>
      <w:tblStyle w:val="8"/>
      <w:tblLayout w:type="fixed"/>
      <w:tblCellMar>
        <w:top w:w="0" w:type="dxa"/>
        <w:left w:w="108" w:type="dxa"/>
        <w:bottom w:w="0" w:type="dxa"/>
        <w:right w:w="108" w:type="dxa"/>
      </w:tblCellMar>
    </w:tblPr>
  </w:style>
  <w:style w:type="paragraph" w:styleId="2">
    <w:name w:val="annotation text"/>
    <w:basedOn w:val="1"/>
    <w:link w:val="15"/>
    <w:uiPriority w:val="0"/>
    <w:pPr>
      <w:jc w:val="left"/>
    </w:pPr>
    <w:rPr>
      <w:rFonts w:cs="Times New Roman"/>
    </w:rPr>
  </w:style>
  <w:style w:type="paragraph" w:styleId="3">
    <w:name w:val="Balloon Text"/>
    <w:basedOn w:val="1"/>
    <w:link w:val="17"/>
    <w:uiPriority w:val="0"/>
    <w:rPr>
      <w:rFonts w:cs="Times New Roman"/>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rPr>
      <w:sz w:val="24"/>
    </w:rPr>
  </w:style>
  <w:style w:type="paragraph" w:styleId="7">
    <w:name w:val="annotation subject"/>
    <w:basedOn w:val="2"/>
    <w:next w:val="2"/>
    <w:link w:val="16"/>
    <w:uiPriority w:val="0"/>
    <w:rPr>
      <w:b/>
      <w:bCs/>
    </w:rPr>
  </w:style>
  <w:style w:type="table" w:styleId="9">
    <w:name w:val="Table Grid"/>
    <w:basedOn w:val="8"/>
    <w:unhideWhenUsed/>
    <w:qFormat/>
    <w:uiPriority w:val="99"/>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paragraph" w:customStyle="1" w:styleId="13">
    <w:name w:val="Default"/>
    <w:qFormat/>
    <w:uiPriority w:val="0"/>
    <w:pPr>
      <w:widowControl w:val="0"/>
      <w:autoSpaceDE w:val="0"/>
      <w:autoSpaceDN w:val="0"/>
      <w:adjustRightInd w:val="0"/>
    </w:pPr>
    <w:rPr>
      <w:color w:val="000000"/>
      <w:sz w:val="24"/>
      <w:szCs w:val="24"/>
      <w:lang w:val="en-US" w:eastAsia="zh-CN" w:bidi="ar-SA"/>
    </w:rPr>
  </w:style>
  <w:style w:type="paragraph" w:customStyle="1" w:styleId="14">
    <w:name w:val="List Paragraph"/>
    <w:basedOn w:val="1"/>
    <w:unhideWhenUsed/>
    <w:uiPriority w:val="99"/>
    <w:pPr>
      <w:ind w:firstLine="420" w:firstLineChars="200"/>
    </w:pPr>
  </w:style>
  <w:style w:type="character" w:customStyle="1" w:styleId="15">
    <w:name w:val="批注文字 Char"/>
    <w:link w:val="2"/>
    <w:uiPriority w:val="0"/>
    <w:rPr>
      <w:rFonts w:ascii="Calibri" w:hAnsi="Calibri" w:cs="黑体"/>
      <w:kern w:val="2"/>
      <w:sz w:val="21"/>
      <w:szCs w:val="24"/>
    </w:rPr>
  </w:style>
  <w:style w:type="character" w:customStyle="1" w:styleId="16">
    <w:name w:val="批注主题 Char"/>
    <w:link w:val="7"/>
    <w:uiPriority w:val="0"/>
    <w:rPr>
      <w:rFonts w:ascii="Calibri" w:hAnsi="Calibri" w:cs="黑体"/>
      <w:b/>
      <w:bCs/>
      <w:kern w:val="2"/>
      <w:sz w:val="21"/>
      <w:szCs w:val="24"/>
    </w:rPr>
  </w:style>
  <w:style w:type="character" w:customStyle="1" w:styleId="17">
    <w:name w:val="批注框文本 Char"/>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53</Pages>
  <Words>5726</Words>
  <Characters>32640</Characters>
  <Lines>272</Lines>
  <Paragraphs>76</Paragraphs>
  <TotalTime>1</TotalTime>
  <ScaleCrop>false</ScaleCrop>
  <LinksUpToDate>false</LinksUpToDate>
  <CharactersWithSpaces>38290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2022-11-01T19:18:00Z</dcterms:created>
  <dc:creator>Administrator</dc:creator>
  <cp:lastModifiedBy>hccb</cp:lastModifiedBy>
  <dcterms:modified xsi:type="dcterms:W3CDTF">2025-09-17T02:32:16Z</dcterms:modified>
  <dc:title>杭银理财幸福99XXXX理财计划合同</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A70A2227A99B4340974191B47870DEF5</vt:lpwstr>
  </property>
  <property fmtid="{D5CDD505-2E9C-101B-9397-08002B2CF9AE}" pid="3" name="KSOProductBuildVer">
    <vt:lpwstr>2052-11.8.2.8411</vt:lpwstr>
  </property>
</Properties>
</file>