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幸福99丰裕固收763天25179期理财产品说明书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sz w:val="24"/>
          <w:highlight w:val="none"/>
        </w:rPr>
        <w:t>:</w:t>
      </w:r>
      <w:r>
        <w:rPr>
          <w:rFonts w:hint="eastAsia" w:ascii="宋体" w:hAnsi="宋体" w:cs="宋体"/>
          <w:bCs/>
          <w:sz w:val="24"/>
          <w:highlight w:val="none"/>
        </w:rPr>
        <w:t>〖</w:t>
      </w:r>
      <w:r>
        <w:rPr>
          <w:rFonts w:hint="eastAsia" w:ascii="宋体" w:hAnsi="宋体" w:cs="宋体"/>
          <w:color w:val="000000"/>
          <w:sz w:val="24"/>
          <w:highlight w:val="none"/>
        </w:rPr>
        <w:t>Z7002225000332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指《幸福99丰裕固收763天25179期理财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指作为幸福99丰裕固收763天25179期理财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指作为幸福99丰裕固收763天25179期理财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指作为幸福99丰裕固收763天25179期理财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指作为幸福99丰裕固收763天25179期理财合同不可分割组成部分的理财计划销售协议书，以及对该文件的有效修改与补充。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指幸福99丰裕固收763天25179期理财</w:t>
      </w:r>
      <w:r>
        <w:rPr>
          <w:rFonts w:hint="eastAsia" w:ascii="宋体" w:hAnsi="宋体" w:cs="宋体"/>
          <w:bCs/>
          <w:highlight w:val="none"/>
        </w:rPr>
        <w:t>。</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4"/>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4"/>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4"/>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4"/>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4"/>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highlight w:val="none"/>
        </w:rPr>
        <w:t>R2</w:t>
      </w:r>
      <w:r>
        <w:rPr>
          <w:rFonts w:hint="eastAsia" w:ascii="宋体" w:hAnsi="宋体" w:cs="宋体"/>
          <w:b/>
          <w:color w:val="auto"/>
          <w:kern w:val="2"/>
          <w:highlight w:val="none"/>
        </w:rPr>
        <w:t>〗，〖</w:t>
      </w:r>
      <w:r>
        <w:rPr>
          <w:rFonts w:hint="eastAsia" w:ascii="宋体" w:hAnsi="宋体" w:cs="宋体"/>
          <w:b/>
          <w:highlight w:val="none"/>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4"/>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幸福99丰裕固收763天25179期理财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丰裕固收25179期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本理财计划在全国银行业理财信息登记系统的登记编码是〖Z7002225000332〗，投资者可依据该编码在“中国理财网（www.chinawealth.com.cn）”查询本理财计划信息。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A份额（销售代码〖FYG25179A〗）：普通个人投资者和机构客户。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B份额（销售代码〖FYG25179B〗）：普通个人投资者和机构客户。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C份额（销售代码〖FYG25179C〗）：普通个人投资者和机构客户。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D份额（销售代码〖FYG25179D〗）：普通个人投资者和机构客户。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E份额（幸福金桂）（销售代码〖FYG25179E〗）：普通个人投资者和机构客户。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F份额（幸福金桂）（销售代码〖FYG25179F〗）：普通个人投资者和机构客户。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H份额（汉口银行专属）（销售代码〖FYG25179H〗）：普通个人投资者和机构客户。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I份额（爽盈优选）（销售代码〖FYG25179I〗）：普通个人投资者和机构客户。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P份额（芙蓉锦程·优选）（销售代码〖FYG25179P〗）：普通个人投资者和机构客户。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Q份额（芙蓉锦程·优选-尊享款）（销售代码〖FYG25179Q〗）：普通个人投资者和机构客户。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〖2025〗年〖9〗月〖18〗日-〖2025〗年〖9〗月〖24〗日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〖2027〗年〖10〗月〖28〗日，若到期日为非工作日则顺延至下一个工作日。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〖763〗天（实际理财期限受制于管理人提前终止权等条款）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本理财计划〖B份额〗业绩比较基准为〖2.85%-3.15%〗（年化）。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本理财计划〖C份额〗业绩比较基准为〖2.95%-3.25%〗（年化）。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本理财计划〖E份额〗业绩比较基准为〖2.85%-3.15%〗（年化）。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本理财计划〖H份额〗业绩比较基准为〖2.80%-3.10%〗（年化）。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本理财计划〖Q份额〗业绩比较基准为〖3.00%-3.30%〗（年化）。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〖E份额〗收取年化〖0.20%〗的销售服务费, 〖F份额〗收取年化〖0.15%〗的销售服务费, 〖H份额〗收取年化〖0.25%〗的销售服务费, 〖I份额〗收取年化〖0.30%〗的销售服务费, 〖P份额〗收取年化〖0.15%〗的销售服务费, 〖Q份额〗收取年化〖0.05%〗的销售服务费。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3.固定管理费：〖A份额〗收取年化〖0.05%〗的固定管理费, 〖B份额〗收取年化〖0.05%〗的固定管理费, 〖C份额〗收取年化〖0.05%〗的固定管理费, 〖D份额〗收取年化〖0.05%〗的固定管理费, 〖E份额〗收取年化〖0.05%〗的固定管理费, 〖F份额〗收取年化〖0.05%〗的固定管理费, 〖H份额〗收取年化〖0.05%〗的固定管理费, 〖I份额〗收取年化〖0.05%〗的固定管理费, 〖P份额〗收取年化〖0.05%〗的固定管理费, 〖Q份额〗收取年化〖0.05%〗的固定管理费。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〖50%〗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,在超过〖</w:t>
            </w:r>
            <w:r>
              <w:rPr>
                <w:rFonts w:hint="eastAsia" w:ascii="宋体" w:hAnsi="宋体" w:eastAsia="宋体" w:cs="宋体"/>
                <w:bCs/>
                <w:kern w:val="2"/>
                <w:sz w:val="21"/>
                <w:szCs w:val="21"/>
                <w:highlight w:val="none"/>
                <w:lang w:val="en-US" w:eastAsia="zh-CN" w:bidi="ar-SA"/>
              </w:rPr>
              <w:t>业绩比较基准上限</w:t>
            </w:r>
            <w:r>
              <w:rPr>
                <w:rFonts w:hint="eastAsia" w:ascii="宋体" w:hAnsi="宋体" w:eastAsia="宋体" w:cs="宋体"/>
                <w:bCs/>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〖80%〗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firstLine="480" w:firstLineChars="200"/>
        <w:jc w:val="left"/>
        <w:outlineLvl w:val="9"/>
        <w:rPr>
          <w:rFonts w:hint="eastAsia" w:ascii="宋体" w:hAnsi="宋体" w:cs="宋体"/>
          <w:b w:val="0"/>
          <w:bCs/>
          <w:color w:val="auto"/>
          <w:sz w:val="24"/>
          <w:highlight w:val="none"/>
        </w:rPr>
      </w:pPr>
      <w:r>
        <w:rPr>
          <w:rFonts w:hint="eastAsia" w:ascii="宋体" w:hAnsi="宋体" w:cs="宋体"/>
          <w:bCs/>
          <w:color w:val="auto"/>
          <w:kern w:val="2"/>
          <w:sz w:val="24"/>
          <w:highlight w:val="none"/>
        </w:rPr>
        <w:t>本理财计划自成立日起</w:t>
      </w:r>
      <w:r>
        <w:rPr>
          <w:rFonts w:hint="eastAsia" w:ascii="宋体" w:hAnsi="宋体" w:cs="宋体"/>
          <w:bCs/>
          <w:sz w:val="24"/>
          <w:highlight w:val="none"/>
        </w:rPr>
        <w:t>〖</w:t>
      </w:r>
      <w:r>
        <w:rPr>
          <w:rFonts w:hint="eastAsia" w:ascii="宋体" w:hAnsi="宋体" w:cs="宋体"/>
          <w:bCs/>
          <w:color w:val="auto"/>
          <w:kern w:val="2"/>
          <w:sz w:val="24"/>
          <w:highlight w:val="none"/>
        </w:rPr>
        <w:t>1个月</w:t>
      </w:r>
      <w:r>
        <w:rPr>
          <w:rFonts w:hint="eastAsia" w:ascii="宋体" w:hAnsi="宋体" w:cs="宋体"/>
          <w:bCs/>
          <w:sz w:val="24"/>
          <w:highlight w:val="none"/>
        </w:rPr>
        <w:t>〗</w:t>
      </w:r>
      <w:r>
        <w:rPr>
          <w:rFonts w:hint="eastAsia" w:ascii="宋体" w:hAnsi="宋体" w:cs="宋体"/>
          <w:bCs/>
          <w:color w:val="auto"/>
          <w:kern w:val="2"/>
          <w:sz w:val="24"/>
          <w:highlight w:val="none"/>
        </w:rPr>
        <w:t>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本理财计划各投资资产占总资产的配置比例如下：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4"/>
        <w:numPr>
          <w:ilvl w:val="0"/>
          <w:numId w:val="14"/>
        </w:numPr>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4"/>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4"/>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4"/>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2"/>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718"/>
        <w:gridCol w:w="4428"/>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杭州银行股份有限公司</w:t>
            </w:r>
          </w:p>
        </w:tc>
        <w:tc>
          <w:tcPr>
            <w:tcW w:w="1718" w:type="dxa"/>
            <w:tcBorders>
              <w:top w:val="single" w:color="auto" w:sz="4" w:space="0"/>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single" w:color="auto" w:sz="4" w:space="0"/>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苏州银行股份有限公司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厦门银行股份有限公司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中信银行股份有限公司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齐鲁银行股份有限公司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杭银理财有限责任公司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绍兴银行股份有限公司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浙江萧山农村商业银行股份有限公司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秦皇岛银行股份有限公司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温州银行股份有限公司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中邮邮惠万家银行有限责任公司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大连农村商业银行股份有限公司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96689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吉林银行股份有限公司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汉口银行股份有限公司</w:t>
            </w: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湖北省武汉市江汉区建设大道933号武汉商业银行大厦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val="0"/>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400-609-6558</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0" w:firstLineChars="200"/>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4"/>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4"/>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4"/>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理财计划财产A份额的年化销售服务费率为〖0.30%〗, B份额的年化销售服务费率为〖0.20%〗, C份额的年化销售服务费率为〖0.10%〗, D份额的年化销售服务费率为〖0.15%〗, E份额的年化销售服务费率为〖0.20%〗, F份额的年化销售服务费率为〖0.15%〗, H份额的年化销售服务费率为〖0.25%〗, I份额的年化销售服务费率为〖0.30%〗, P份额的年化销售服务费率为〖0.15%〗, Q份额的年化销售服务费率为〖0.05%〗,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rPr>
        <w:t>0.30%</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销售服务费原则上按日计提。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理财计划财产的年化托管费为〖0.025%〗，计算方法如下：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H＝E×〖0.025%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理财计划财产A份额的年化固定管理费率为〖0.05%〗, B份额的年化固定管理费率为〖0.05%〗, C份额的年化固定管理费率为〖0.05%〗, D份额的年化固定管理费率为〖0.05%〗, E份额的年化固定管理费率为〖0.05%〗, F份额的年化固定管理费率为〖0.05%〗, H份额的年化固定管理费率为〖0.05%〗, I份额的年化固定管理费率为〖0.05%〗, P份额的年化固定管理费率为〖0.05%〗, Q份额的年化固定管理费率为〖0.05%〗,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（1）若本理财计划到期日（提前终止日）的折合年化收益率超过业绩比较基准下限但未达到业绩比较基准上限，则超过业绩比较基准下限的部分管理人收取〖50%〗作为浮动管理费，即：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H=E×NAV0×[(K-R)×〖80%〗+(R-S)×〖50%〗]×N÷365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理财计划到期（提前终止）时应</w:t>
      </w:r>
      <w:r>
        <w:rPr>
          <w:rFonts w:hint="eastAsia" w:ascii="宋体" w:hAnsi="宋体" w:cs="宋体"/>
          <w:bCs/>
          <w:color w:val="000000"/>
          <w:sz w:val="24"/>
          <w:highlight w:val="none"/>
        </w:rPr>
        <w:t>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投资者持有</w:t>
      </w:r>
      <w:r>
        <w:rPr>
          <w:rFonts w:hint="eastAsia" w:ascii="宋体" w:hAnsi="宋体" w:cs="宋体"/>
          <w:bCs/>
          <w:color w:val="000000"/>
          <w:sz w:val="24"/>
          <w:highlight w:val="none"/>
        </w:rPr>
        <w:t>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w:t>
      </w:r>
      <w:r>
        <w:rPr>
          <w:rFonts w:hint="eastAsia" w:ascii="宋体" w:hAnsi="宋体" w:cs="宋体"/>
          <w:bCs/>
          <w:color w:val="000000"/>
          <w:sz w:val="24"/>
          <w:highlight w:val="none"/>
          <w:lang w:val="en-US" w:eastAsia="zh-CN"/>
        </w:rPr>
        <w:t>持有</w:t>
      </w:r>
      <w:r>
        <w:rPr>
          <w:rFonts w:hint="eastAsia" w:ascii="宋体" w:hAnsi="宋体" w:cs="宋体"/>
          <w:bCs/>
          <w:color w:val="000000"/>
          <w:sz w:val="24"/>
          <w:highlight w:val="none"/>
        </w:rPr>
        <w:t>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lang w:val="en-US" w:eastAsia="zh-CN"/>
        </w:rPr>
        <w:t>理财计划成立日之初的</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lang w:val="en-US" w:eastAsia="zh-CN"/>
        </w:rPr>
        <w:t>理财计划到期日</w:t>
      </w:r>
      <w:r>
        <w:rPr>
          <w:rFonts w:hint="eastAsia" w:ascii="宋体" w:hAnsi="宋体" w:cs="宋体"/>
          <w:bCs/>
          <w:color w:val="000000"/>
          <w:sz w:val="24"/>
          <w:highlight w:val="none"/>
        </w:rPr>
        <w:t>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N为</w:t>
      </w:r>
      <w:r>
        <w:rPr>
          <w:rFonts w:hint="eastAsia" w:ascii="宋体" w:hAnsi="宋体" w:cs="宋体"/>
          <w:bCs/>
          <w:color w:val="000000"/>
          <w:sz w:val="24"/>
          <w:highlight w:val="none"/>
          <w:lang w:val="en-US" w:eastAsia="zh-CN"/>
        </w:rPr>
        <w:t>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bCs/>
          <w:color w:val="000000"/>
          <w:sz w:val="24"/>
          <w:highlight w:val="none"/>
          <w:lang w:val="en-US" w:eastAsia="zh-CN"/>
        </w:rPr>
        <w:t>理财计划运作期间每单位份额的实际分红金额合计</w:t>
      </w:r>
      <w:r>
        <w:rPr>
          <w:rFonts w:hint="eastAsia" w:ascii="宋体" w:hAnsi="宋体" w:cs="宋体"/>
          <w:bCs/>
          <w:color w:val="000000"/>
          <w:sz w:val="24"/>
          <w:highlight w:val="none"/>
        </w:rPr>
        <w:t>（如有）</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1"/>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1"/>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1"/>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firstLine="480" w:firstLineChars="200"/>
        <w:jc w:val="left"/>
        <w:outlineLvl w:val="9"/>
        <w:rPr>
          <w:rFonts w:hint="eastAsia" w:ascii="宋体" w:hAnsi="宋体" w:cs="宋体"/>
          <w:b/>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净值未扣除浮动管理费前的为1.0615，此时，(1.0615÷1.0000-1)×365÷362=6.20%&gt;5.00%，即在〖4.00%-5.00%〗部分的投资收益管理人收取80%作为浮动管理费，超过〖5.00%〗部分的投资收益管理人收取100%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100,000×1.0000×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[（1.0615÷1.0000-1）×365÷362-5.00%]×100%+(5.00%-4.00%)×80%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×362÷365=1,984.52（元）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100,000.00×（1.0615-1.0000）-1,984.52= 4,165.48（元）。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扣除托管费、固定管理费、销售服务费（如有）后，投资收益率超过业绩比较基准下限，但未达到业绩比较基准上限。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1.0415，此时，(1.0415÷1.0000-1)×365÷362=4.18%，即投资收益超过〖4.00%〗但未达到〖5.00%〗，则超过〖4.00%〗部分的投资收益管理人收取80%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100,000.00×1.0000×[(1.0415÷1.0000-1)×365÷362-4.00%]×80%×362÷365=146.30（元）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100,000.00×（1.0415-1.0000）-146.30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4"/>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2"/>
  </w:num>
  <w:num w:numId="15">
    <w:abstractNumId w:val="4"/>
  </w:num>
  <w:num w:numId="16">
    <w:abstractNumId w:val="0"/>
  </w:num>
  <w:num w:numId="17">
    <w:abstractNumId w:val="35"/>
  </w:num>
  <w:num w:numId="18">
    <w:abstractNumId w:val="24"/>
  </w:num>
  <w:num w:numId="19">
    <w:abstractNumId w:val="16"/>
  </w:num>
  <w:num w:numId="20">
    <w:abstractNumId w:val="32"/>
  </w:num>
  <w:num w:numId="21">
    <w:abstractNumId w:val="18"/>
  </w:num>
  <w:num w:numId="22">
    <w:abstractNumId w:val="5"/>
  </w:num>
  <w:num w:numId="23">
    <w:abstractNumId w:val="38"/>
  </w:num>
  <w:num w:numId="24">
    <w:abstractNumId w:val="3"/>
  </w:num>
  <w:num w:numId="25">
    <w:abstractNumId w:val="41"/>
  </w:num>
  <w:num w:numId="26">
    <w:abstractNumId w:val="31"/>
  </w:num>
  <w:num w:numId="27">
    <w:abstractNumId w:val="43"/>
  </w:num>
  <w:num w:numId="28">
    <w:abstractNumId w:val="26"/>
  </w:num>
  <w:num w:numId="29">
    <w:abstractNumId w:val="20"/>
  </w:num>
  <w:num w:numId="30">
    <w:abstractNumId w:val="34"/>
  </w:num>
  <w:num w:numId="31">
    <w:abstractNumId w:val="1"/>
  </w:num>
  <w:num w:numId="32">
    <w:abstractNumId w:val="21"/>
  </w:num>
  <w:num w:numId="33">
    <w:abstractNumId w:val="13"/>
  </w:num>
  <w:num w:numId="34">
    <w:abstractNumId w:val="37"/>
  </w:num>
  <w:num w:numId="35">
    <w:abstractNumId w:val="29"/>
  </w:num>
  <w:num w:numId="36">
    <w:abstractNumId w:val="15"/>
  </w:num>
  <w:num w:numId="37">
    <w:abstractNumId w:val="40"/>
  </w:num>
  <w:num w:numId="38">
    <w:abstractNumId w:val="11"/>
  </w:num>
  <w:num w:numId="39">
    <w:abstractNumId w:val="9"/>
  </w:num>
  <w:num w:numId="40">
    <w:abstractNumId w:val="12"/>
  </w:num>
  <w:num w:numId="41">
    <w:abstractNumId w:val="30"/>
  </w:num>
  <w:num w:numId="42">
    <w:abstractNumId w:val="19"/>
  </w:num>
  <w:num w:numId="43">
    <w:abstractNumId w:val="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CE3874"/>
    <w:rsid w:val="27EB3D24"/>
    <w:rsid w:val="28B13D99"/>
    <w:rsid w:val="2A4135AD"/>
    <w:rsid w:val="2AD52CEA"/>
    <w:rsid w:val="2B683C5D"/>
    <w:rsid w:val="2B8255D3"/>
    <w:rsid w:val="2BC31156"/>
    <w:rsid w:val="2C016B4D"/>
    <w:rsid w:val="2CED7384"/>
    <w:rsid w:val="2D131CD0"/>
    <w:rsid w:val="2DD45D89"/>
    <w:rsid w:val="2F237638"/>
    <w:rsid w:val="2F6A71CE"/>
    <w:rsid w:val="307B1E47"/>
    <w:rsid w:val="33A72F4F"/>
    <w:rsid w:val="348C31DF"/>
    <w:rsid w:val="348E01C6"/>
    <w:rsid w:val="34AF19D4"/>
    <w:rsid w:val="354C4323"/>
    <w:rsid w:val="35CD15B7"/>
    <w:rsid w:val="35D86BDE"/>
    <w:rsid w:val="35FD5667"/>
    <w:rsid w:val="36043B09"/>
    <w:rsid w:val="36310E4A"/>
    <w:rsid w:val="36591675"/>
    <w:rsid w:val="372216A6"/>
    <w:rsid w:val="38663D34"/>
    <w:rsid w:val="39310E98"/>
    <w:rsid w:val="3AA66AF1"/>
    <w:rsid w:val="3AFC4E01"/>
    <w:rsid w:val="3B885E8A"/>
    <w:rsid w:val="3C4454BA"/>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D2251B"/>
    <w:rsid w:val="5CE31ABB"/>
    <w:rsid w:val="5CF01D88"/>
    <w:rsid w:val="5D5C0387"/>
    <w:rsid w:val="5DF35554"/>
    <w:rsid w:val="608F3A1C"/>
    <w:rsid w:val="61423886"/>
    <w:rsid w:val="6336483C"/>
    <w:rsid w:val="646D7D7D"/>
    <w:rsid w:val="64A47711"/>
    <w:rsid w:val="64BB6AA4"/>
    <w:rsid w:val="64EB1FB1"/>
    <w:rsid w:val="65085FDD"/>
    <w:rsid w:val="65F53E4A"/>
    <w:rsid w:val="66A625FE"/>
    <w:rsid w:val="66BC7D07"/>
    <w:rsid w:val="672D0717"/>
    <w:rsid w:val="681473C1"/>
    <w:rsid w:val="68782DAE"/>
    <w:rsid w:val="69644745"/>
    <w:rsid w:val="69BC658F"/>
    <w:rsid w:val="6A042D14"/>
    <w:rsid w:val="6ABE1B22"/>
    <w:rsid w:val="6B29233B"/>
    <w:rsid w:val="6B8C2015"/>
    <w:rsid w:val="6C1B5E3A"/>
    <w:rsid w:val="6C3E06A6"/>
    <w:rsid w:val="6D966DB7"/>
    <w:rsid w:val="6EE209DA"/>
    <w:rsid w:val="70597F18"/>
    <w:rsid w:val="7082330A"/>
    <w:rsid w:val="725917A9"/>
    <w:rsid w:val="73631A55"/>
    <w:rsid w:val="74D666A1"/>
    <w:rsid w:val="77B75243"/>
    <w:rsid w:val="77C21A5F"/>
    <w:rsid w:val="77D23D86"/>
    <w:rsid w:val="792D1E0D"/>
    <w:rsid w:val="79321117"/>
    <w:rsid w:val="79932ACB"/>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框文本 字符"/>
    <w:link w:val="3"/>
    <w:uiPriority w:val="0"/>
    <w:rPr>
      <w:rFonts w:ascii="Calibri" w:hAnsi="Calibri" w:cs="黑体"/>
      <w:kern w:val="2"/>
      <w:sz w:val="18"/>
      <w:szCs w:val="18"/>
    </w:rPr>
  </w:style>
  <w:style w:type="character" w:customStyle="1" w:styleId="16">
    <w:name w:val="批注主题 字符"/>
    <w:link w:val="7"/>
    <w:uiPriority w:val="0"/>
    <w:rPr>
      <w:rFonts w:ascii="Calibri" w:hAnsi="Calibri" w:cs="黑体"/>
      <w:b/>
      <w:bCs/>
      <w:kern w:val="2"/>
      <w:sz w:val="21"/>
      <w:szCs w:val="24"/>
    </w:rPr>
  </w:style>
  <w:style w:type="character" w:customStyle="1" w:styleId="17">
    <w:name w:val="批注文字 字符"/>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35760</Words>
  <Characters>38190</Characters>
  <Lines>259</Lines>
  <Paragraphs>72</Paragraphs>
  <TotalTime>1</TotalTime>
  <ScaleCrop>false</ScaleCrop>
  <LinksUpToDate>false</LinksUpToDate>
  <CharactersWithSpaces>38593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2025-09-11T06:39:33Z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