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cs="宋体"/>
          <w:b/>
          <w:bCs/>
          <w:sz w:val="44"/>
          <w:szCs w:val="44"/>
          <w:highlight w:val="none"/>
          <w:lang w:eastAsia="zh-CN"/>
        </w:rPr>
        <w:t>幸福99丰裕固收386天25177期理财</w:t>
      </w:r>
      <w:r>
        <w:rPr>
          <w:rFonts w:hint="eastAsia" w:ascii="宋体" w:hAnsi="宋体" w:cs="宋体"/>
          <w:b/>
          <w:bCs/>
          <w:sz w:val="44"/>
          <w:szCs w:val="44"/>
          <w:highlight w:val="none"/>
        </w:rPr>
        <w:t>风险揭示书</w:t>
      </w:r>
    </w:p>
    <w:p>
      <w:pPr>
        <w:jc w:val="center"/>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理财非存款、产品有风险、投资须谨慎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国家金融监督管理总局相关监督规定，杭银理财有限责任公司作为本理财计划的管理人郑重提示：在购买理财计划前，请仔细阅读本理财计划完整合同（包括但不限于理财计划风险揭示书、理财计划说明书、投资者权益须知、理财计划投资协议书和理财计划</w:t>
      </w:r>
      <w:r>
        <w:rPr>
          <w:rFonts w:hint="eastAsia" w:ascii="宋体" w:hAnsi="宋体" w:cs="宋体"/>
          <w:bCs/>
          <w:sz w:val="24"/>
          <w:highlight w:val="none"/>
          <w:lang w:eastAsia="zh-CN"/>
        </w:rPr>
        <w:t>（</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w:t>
      </w:r>
      <w:r>
        <w:rPr>
          <w:rFonts w:hint="eastAsia" w:ascii="宋体" w:hAnsi="宋体" w:cs="宋体"/>
          <w:bCs/>
          <w:sz w:val="24"/>
          <w:highlight w:val="none"/>
        </w:rPr>
        <w:t>销售协议书，</w:t>
      </w:r>
      <w:r>
        <w:rPr>
          <w:rFonts w:hint="eastAsia" w:ascii="宋体" w:hAnsi="宋体" w:cs="宋体"/>
          <w:b/>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2"/>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购买力风险：如发生通货膨胀，则所投资产的收益可能会被通货膨胀抵消，从而对理财计划收益的实际购买力产生影响。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提前或延期终止风险：为保护投资者利益，在理财计划存续期间，管理人可根据理财计划说明书约定的情形提前或延期终止本理财计划。如理财计划被提前或延期终止，则投资者将面临提前终止再投资或延期兑付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信息传递风险：1.理财计划管理人将按照本理财计划销售文件中约定的信息披露方式、途径向投资者公示本理财计划的各类信息和重大事件，投资者应及时查询、了解。由于投资者未能及时主动了解理财计划信息或由于不</w:t>
      </w:r>
      <w:r>
        <w:rPr>
          <w:rFonts w:hint="eastAsia" w:ascii="宋体" w:hAnsi="宋体" w:cs="宋体"/>
          <w:b/>
          <w:sz w:val="24"/>
          <w:highlight w:val="none"/>
          <w:lang w:val="en-US" w:eastAsia="zh-CN"/>
        </w:rPr>
        <w:t>可</w:t>
      </w:r>
      <w:r>
        <w:rPr>
          <w:rFonts w:hint="eastAsia" w:ascii="宋体" w:hAnsi="宋体" w:cs="宋体"/>
          <w:b/>
          <w:sz w:val="24"/>
          <w:highlight w:val="none"/>
        </w:rPr>
        <w:t>抗力及/或意外事件的影响导致投资者无法及时了解理财计划信息，从而影响投资者的投资决策，由此产生的责任和风险由投资者自行承担。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理财计划本金或收益蒙受部分或全部损失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2"/>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理财计划特定风险</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资金流动性风险：本理财计划认购份额确认后，封闭式运作，产品终止前投资者不得提前赎回。</w:t>
      </w:r>
    </w:p>
    <w:p>
      <w:pPr>
        <w:numPr>
          <w:ilvl w:val="0"/>
          <w:numId w:val="5"/>
        </w:numPr>
        <w:spacing w:line="360" w:lineRule="auto"/>
        <w:jc w:val="left"/>
        <w:rPr>
          <w:rFonts w:hint="eastAsia" w:ascii="宋体" w:hAnsi="宋体" w:cs="宋体"/>
          <w:b/>
          <w:sz w:val="24"/>
          <w:highlight w:val="none"/>
        </w:rPr>
      </w:pPr>
      <w:r>
        <w:rPr>
          <w:rFonts w:hint="eastAsia" w:ascii="宋体" w:hAnsi="宋体" w:cs="宋体"/>
          <w:b/>
          <w:sz w:val="24"/>
          <w:highlight w:val="none"/>
        </w:rPr>
        <w:t>收益不达业绩比较基准风险：本理财计划可投资于债券及非标准化债权类资产等固定收益类及权益类资产，因融资人违约及市场波动或导致投资者的本金出现损失。</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bookmarkStart w:id="0" w:name="OLE_LINK1"/>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bookmarkEnd w:id="0"/>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240" w:firstLineChars="100"/>
        <w:jc w:val="left"/>
        <w:rPr>
          <w:rFonts w:hint="eastAsia" w:ascii="宋体" w:hAnsi="宋体" w:cs="宋体"/>
          <w:bCs/>
          <w:sz w:val="24"/>
          <w:highlight w:val="none"/>
        </w:rPr>
      </w:pP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cs="宋体"/>
          <w:b/>
          <w:sz w:val="24"/>
          <w:highlight w:val="none"/>
          <w:lang w:val="en-US" w:eastAsia="zh-CN"/>
        </w:rPr>
        <w:t>公募</w:t>
      </w:r>
      <w:r>
        <w:rPr>
          <w:rFonts w:hint="eastAsia" w:ascii="宋体" w:hAnsi="宋体" w:cs="宋体"/>
          <w:b/>
          <w:sz w:val="24"/>
          <w:highlight w:val="none"/>
        </w:rPr>
        <w:t>、</w:t>
      </w:r>
      <w:r>
        <w:rPr>
          <w:rFonts w:hint="eastAsia" w:ascii="宋体" w:hAnsi="宋体" w:cs="宋体"/>
          <w:b/>
          <w:sz w:val="24"/>
          <w:highlight w:val="none"/>
          <w:lang w:val="en-US" w:eastAsia="zh-CN"/>
        </w:rPr>
        <w:t>封闭式</w:t>
      </w:r>
      <w:r>
        <w:rPr>
          <w:rFonts w:hint="eastAsia" w:ascii="宋体" w:hAnsi="宋体" w:cs="宋体"/>
          <w:b/>
          <w:sz w:val="24"/>
          <w:highlight w:val="none"/>
        </w:rPr>
        <w:t>、〖</w:t>
      </w:r>
      <w:r>
        <w:rPr>
          <w:rFonts w:hint="eastAsia" w:ascii="宋体" w:hAnsi="宋体" w:cs="宋体"/>
          <w:b/>
          <w:sz w:val="24"/>
          <w:highlight w:val="none"/>
          <w:lang w:val="en-US" w:eastAsia="zh-CN"/>
        </w:rPr>
        <w:t>固定收益类</w:t>
      </w:r>
      <w:r>
        <w:rPr>
          <w:rFonts w:hint="eastAsia" w:ascii="宋体" w:hAnsi="宋体" w:cs="宋体"/>
          <w:b/>
          <w:sz w:val="24"/>
          <w:highlight w:val="none"/>
        </w:rPr>
        <w:t>〗净值型理财计划，〖386天〗</w:t>
      </w:r>
      <w:r>
        <w:rPr>
          <w:rFonts w:hint="eastAsia" w:ascii="宋体" w:hAnsi="宋体" w:cs="宋体"/>
          <w:bCs/>
          <w:color w:val="000000"/>
          <w:sz w:val="24"/>
          <w:highlight w:val="none"/>
        </w:rPr>
        <w:t>，</w:t>
      </w:r>
      <w:r>
        <w:rPr>
          <w:rFonts w:hint="eastAsia" w:ascii="宋体" w:hAnsi="宋体" w:cs="宋体"/>
          <w:b/>
          <w:sz w:val="24"/>
          <w:highlight w:val="none"/>
        </w:rPr>
        <w:t>不保证本金与收益。理财计划过往业绩不代表其未来表现，不等于理财计划实际收益，投资须谨慎！根据本公司理财产品内部风险评级，该理财计划风险评级结果为〖</w:t>
      </w:r>
      <w:r>
        <w:rPr>
          <w:rFonts w:hint="eastAsia" w:ascii="宋体" w:hAnsi="宋体" w:cs="宋体"/>
          <w:b/>
          <w:sz w:val="24"/>
          <w:highlight w:val="none"/>
          <w:lang w:val="en-US" w:eastAsia="zh-CN"/>
        </w:rPr>
        <w:t>R2</w:t>
      </w:r>
      <w:r>
        <w:rPr>
          <w:rFonts w:hint="eastAsia" w:ascii="宋体" w:hAnsi="宋体" w:cs="宋体"/>
          <w:b/>
          <w:sz w:val="24"/>
          <w:highlight w:val="none"/>
        </w:rPr>
        <w:t>〗,〖</w:t>
      </w:r>
      <w:r>
        <w:rPr>
          <w:rFonts w:hint="eastAsia" w:ascii="宋体" w:hAnsi="宋体" w:cs="宋体"/>
          <w:b/>
          <w:sz w:val="24"/>
          <w:highlight w:val="none"/>
          <w:lang w:val="en-US" w:eastAsia="zh-CN"/>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（本风险等级为我公司内部风险评级结果，仅供参考,理财计划通过代理销售机构渠道销售的，理财计划产品评级应当以代理销售机构最终披露的评级结果为准），</w:t>
      </w:r>
      <w:r>
        <w:rPr>
          <w:rFonts w:hint="eastAsia" w:ascii="宋体" w:hAnsi="宋体" w:cs="宋体"/>
          <w:b/>
          <w:sz w:val="24"/>
          <w:highlight w:val="none"/>
        </w:rPr>
        <w:t>总体风险〖</w:t>
      </w:r>
      <w:r>
        <w:rPr>
          <w:rFonts w:hint="eastAsia" w:ascii="宋体" w:hAnsi="宋体" w:cs="宋体"/>
          <w:b/>
          <w:sz w:val="24"/>
          <w:highlight w:val="none"/>
          <w:lang w:val="en-US" w:eastAsia="zh-CN"/>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本理财计划适合〖机构投资者〗以及〖稳健型、平衡型、成长型、进取型〗的个人投资者。</w:t>
      </w:r>
      <w:r>
        <w:rPr>
          <w:rFonts w:hint="eastAsia" w:ascii="宋体" w:hAnsi="宋体" w:cs="宋体"/>
          <w:b w:val="0"/>
          <w:bCs/>
          <w:sz w:val="24"/>
          <w:highlight w:val="none"/>
        </w:rPr>
        <w:t>本理财计划投资者适当性评估由销售机构负责，销售机构应确保个人投资者的风险承受能力不低于本理财计划风险评级。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理财计划管理人有权按照国内外反洗钱相关适用的法律法规和监管要求，从销售机构获得相应必要的投资者身份信息并报送投资者身份信息及其持有理财产品信息。销售机构将在合法、合理且必要时向管理人提供投资者身份识别信息（投资者身份识别信息包括但不限于：投资者的姓名、性别、国籍、职业、住所地或者工作单位地址、常居地地址、联系方式、身份证明文件的种类、号码和有效期限、代理人信息、受益所有人信息），以及在合法、合理且必要时进一步提供身份证明文件的复印件和影印件以及其他必要信息。投资者签署后即表示同意并配合提供前述信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Cs/>
          <w:sz w:val="24"/>
          <w:highlight w:val="none"/>
        </w:rPr>
      </w:pPr>
      <w:r>
        <w:rPr>
          <w:rFonts w:hint="eastAsia" w:ascii="宋体" w:hAnsi="宋体" w:cs="宋体"/>
          <w:bCs/>
          <w:sz w:val="24"/>
          <w:highlight w:val="none"/>
        </w:rPr>
        <w:t>风险提示方：杭银理财有限责任公司</w:t>
      </w:r>
    </w:p>
    <w:p>
      <w:pPr>
        <w:pStyle w:val="14"/>
        <w:spacing w:line="360" w:lineRule="auto"/>
        <w:jc w:val="center"/>
        <w:outlineLvl w:val="1"/>
        <w:rPr>
          <w:rFonts w:hint="eastAsia" w:ascii="宋体" w:hAnsi="宋体" w:cs="宋体"/>
          <w:b/>
          <w:color w:val="auto"/>
          <w:highlight w:val="none"/>
        </w:rPr>
      </w:pPr>
      <w:r>
        <w:rPr>
          <w:rFonts w:hint="eastAsia" w:ascii="宋体" w:hAnsi="宋体" w:cs="宋体"/>
          <w:b/>
          <w:color w:val="auto"/>
          <w:highlight w:val="none"/>
        </w:rPr>
        <w:br w:type="page"/>
      </w:r>
      <w:r>
        <w:rPr>
          <w:rFonts w:hint="eastAsia" w:ascii="宋体" w:hAnsi="宋体" w:cs="宋体"/>
          <w:b/>
          <w:color w:val="auto"/>
          <w:highlight w:val="none"/>
        </w:rPr>
        <w:t>投资者确认栏（个人投资者填写）</w:t>
      </w:r>
    </w:p>
    <w:p>
      <w:pPr>
        <w:pStyle w:val="14"/>
        <w:spacing w:line="360" w:lineRule="auto"/>
        <w:jc w:val="both"/>
        <w:rPr>
          <w:rFonts w:hint="eastAsia" w:ascii="宋体" w:hAnsi="宋体" w:cs="宋体"/>
          <w:b/>
          <w:color w:val="auto"/>
          <w:highlight w:val="none"/>
        </w:rPr>
      </w:pPr>
    </w:p>
    <w:p>
      <w:pPr>
        <w:pStyle w:val="14"/>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4"/>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4"/>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如超过一年未进行风险承受能力评估或影响本人风险承受能力的因素发生变化，本人将于再次购买理财计划时及时完成风险承受能力评估。</w:t>
      </w:r>
    </w:p>
    <w:p>
      <w:pPr>
        <w:pStyle w:val="14"/>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14"/>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计划的资金为合法自有资金，不存在使用借款、贷款等非自有资金的情形；且系为合法目的投资本理财计划，而非为洗钱等违法违规之目的，本人将配合管理人或销售机构开展客户身份识别及尽职调查、反恐怖融资以及非居民金融账户尽职调查等，及时、真实、准确提供身份信息及资金来源信息。</w:t>
      </w:r>
    </w:p>
    <w:p>
      <w:pPr>
        <w:pStyle w:val="14"/>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 xml:space="preserve">“本人已经阅读上述风险揭示，愿意承担投资风险。”如通过线上渠道购买，认/申购交易确认即视为投资者同意自身风险承受能力等级并确认风险揭示内容，愿意承担投资风险，与书面签署具有同等效力。） </w:t>
      </w:r>
    </w:p>
    <w:p>
      <w:pPr>
        <w:pStyle w:val="14"/>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4"/>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rPr>
          <w:rFonts w:hint="eastAsia" w:ascii="宋体" w:hAnsi="宋体"/>
          <w:b/>
          <w:kern w:val="0"/>
          <w:szCs w:val="21"/>
          <w:highlight w:val="none"/>
        </w:rPr>
      </w:pPr>
    </w:p>
    <w:p>
      <w:pPr>
        <w:pStyle w:val="14"/>
        <w:spacing w:line="360" w:lineRule="auto"/>
        <w:ind w:firstLine="482" w:firstLineChars="200"/>
        <w:jc w:val="center"/>
        <w:outlineLvl w:val="1"/>
        <w:rPr>
          <w:rFonts w:hint="eastAsia" w:ascii="宋体" w:hAnsi="宋体" w:cs="宋体"/>
          <w:b/>
          <w:bCs/>
          <w:color w:val="auto"/>
          <w:highlight w:val="none"/>
        </w:rPr>
      </w:pPr>
      <w:r>
        <w:rPr>
          <w:rFonts w:hint="eastAsia" w:ascii="宋体" w:hAnsi="宋体" w:cs="宋体"/>
          <w:b/>
          <w:bCs/>
          <w:color w:val="auto"/>
          <w:highlight w:val="none"/>
        </w:rPr>
        <w:br w:type="page"/>
      </w:r>
      <w:r>
        <w:rPr>
          <w:rFonts w:hint="eastAsia" w:ascii="宋体" w:hAnsi="宋体" w:cs="宋体"/>
          <w:b/>
          <w:bCs/>
          <w:color w:val="auto"/>
          <w:highlight w:val="none"/>
        </w:rPr>
        <w:t>投资者确认栏（机构投资者）</w:t>
      </w:r>
    </w:p>
    <w:p>
      <w:pPr>
        <w:pStyle w:val="14"/>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cs="宋体"/>
          <w:b/>
          <w:bCs/>
          <w:color w:val="auto"/>
          <w:highlight w:val="none"/>
          <w:u w:val="single"/>
        </w:rPr>
        <w:t>接受本风险揭示书及《理财计划产品说明书》《投资者权益须知》《理财计划投资协议书》《理财计划销售协议书》等本理财计划合同全部内容，自愿且有能力承担投资本理财计划的风险。</w:t>
      </w:r>
    </w:p>
    <w:p>
      <w:pPr>
        <w:pStyle w:val="14"/>
        <w:spacing w:line="360" w:lineRule="auto"/>
        <w:ind w:firstLine="482" w:firstLineChars="200"/>
        <w:jc w:val="both"/>
        <w:rPr>
          <w:rFonts w:hint="eastAsia" w:ascii="宋体" w:hAnsi="宋体" w:cs="宋体"/>
          <w:b/>
          <w:bCs/>
          <w:color w:val="auto"/>
          <w:highlight w:val="none"/>
          <w:u w:val="single"/>
        </w:rPr>
      </w:pPr>
      <w:r>
        <w:rPr>
          <w:rFonts w:hint="eastAsia" w:ascii="宋体" w:hAnsi="宋体" w:cs="宋体"/>
          <w:b/>
          <w:bCs/>
          <w:color w:val="auto"/>
          <w:highlight w:val="none"/>
          <w:u w:val="single"/>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jc w:val="both"/>
        <w:rPr>
          <w:rFonts w:hint="eastAsia" w:ascii="宋体" w:hAnsi="宋体" w:cs="宋体"/>
          <w:color w:val="auto"/>
          <w:highlight w:val="none"/>
        </w:rPr>
      </w:pPr>
      <w:r>
        <w:rPr>
          <w:rFonts w:hint="eastAsia" w:ascii="宋体" w:hAnsi="宋体" w:cs="宋体"/>
          <w:color w:val="auto"/>
          <w:highlight w:val="none"/>
        </w:rPr>
        <w:t>投资者（公章）                          法定代表人或授权代理人（签章）</w:t>
      </w: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p>
    <w:p>
      <w:pPr>
        <w:pStyle w:val="14"/>
        <w:spacing w:line="360" w:lineRule="auto"/>
        <w:ind w:firstLine="480" w:firstLineChars="200"/>
        <w:jc w:val="righ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highlight w:val="none"/>
          <w:u w:val="single"/>
        </w:rPr>
        <w:t xml:space="preserve">      </w:t>
      </w:r>
      <w:r>
        <w:rPr>
          <w:rFonts w:hint="eastAsia" w:ascii="宋体" w:hAnsi="宋体" w:cs="宋体"/>
          <w:color w:val="auto"/>
          <w:highlight w:val="none"/>
        </w:rPr>
        <w:t>年</w:t>
      </w:r>
      <w:r>
        <w:rPr>
          <w:rFonts w:hint="eastAsia" w:ascii="宋体" w:hAnsi="宋体" w:cs="宋体"/>
          <w:highlight w:val="none"/>
          <w:u w:val="single"/>
        </w:rPr>
        <w:t xml:space="preserve">    </w:t>
      </w:r>
      <w:r>
        <w:rPr>
          <w:rFonts w:hint="eastAsia" w:ascii="宋体" w:hAnsi="宋体" w:cs="宋体"/>
          <w:color w:val="auto"/>
          <w:highlight w:val="none"/>
        </w:rPr>
        <w:t>月</w:t>
      </w:r>
      <w:r>
        <w:rPr>
          <w:rFonts w:hint="eastAsia" w:ascii="宋体" w:hAnsi="宋体" w:cs="宋体"/>
          <w:highlight w:val="none"/>
          <w:u w:val="single"/>
        </w:rPr>
        <w:t xml:space="preserve">    </w:t>
      </w:r>
      <w:r>
        <w:rPr>
          <w:rFonts w:hint="eastAsia" w:ascii="宋体" w:hAnsi="宋体" w:cs="宋体"/>
          <w:color w:val="auto"/>
          <w:highlight w:val="none"/>
        </w:rPr>
        <w:t>日</w:t>
      </w:r>
    </w:p>
    <w:p>
      <w:pPr>
        <w:jc w:val="both"/>
        <w:outlineLvl w:val="9"/>
        <w:rPr>
          <w:rFonts w:hint="eastAsia" w:ascii="Calibri" w:hAnsi="Calibri" w:eastAsia="宋体" w:cs="黑体"/>
          <w:b/>
          <w:bCs w:val="0"/>
          <w:sz w:val="44"/>
          <w:szCs w:val="44"/>
          <w:highlight w:val="none"/>
          <w:lang w:val="en-US" w:eastAsia="zh-CN"/>
        </w:rPr>
      </w:pPr>
      <w:bookmarkStart w:id="1" w:name="_GoBack"/>
      <w:bookmarkEnd w:id="1"/>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CEBF199A"/>
    <w:multiLevelType w:val="singleLevel"/>
    <w:tmpl w:val="CEBF199A"/>
    <w:lvl w:ilvl="0" w:tentative="0">
      <w:start w:val="1"/>
      <w:numFmt w:val="chineseCounting"/>
      <w:suff w:val="nothing"/>
      <w:lvlText w:val="（%1）"/>
      <w:lvlJc w:val="left"/>
      <w:pPr>
        <w:ind w:left="0" w:firstLine="420"/>
      </w:pPr>
      <w:rPr>
        <w:rFonts w:hint="eastAsia"/>
      </w:r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5FFB4E2"/>
    <w:rsid w:val="162A128A"/>
    <w:rsid w:val="16317ED3"/>
    <w:rsid w:val="16563388"/>
    <w:rsid w:val="17432384"/>
    <w:rsid w:val="17611875"/>
    <w:rsid w:val="1783542D"/>
    <w:rsid w:val="179972B0"/>
    <w:rsid w:val="17C82AD1"/>
    <w:rsid w:val="18FC27C6"/>
    <w:rsid w:val="1A835642"/>
    <w:rsid w:val="1B4B1291"/>
    <w:rsid w:val="1B757EAF"/>
    <w:rsid w:val="1CAD01AC"/>
    <w:rsid w:val="1D4F0AE0"/>
    <w:rsid w:val="1D866C77"/>
    <w:rsid w:val="1D9446FE"/>
    <w:rsid w:val="1DFF113E"/>
    <w:rsid w:val="1E831DF3"/>
    <w:rsid w:val="1E856DEB"/>
    <w:rsid w:val="1F3C1565"/>
    <w:rsid w:val="20BD2325"/>
    <w:rsid w:val="24A67BC4"/>
    <w:rsid w:val="251A3318"/>
    <w:rsid w:val="25801A05"/>
    <w:rsid w:val="27CE3874"/>
    <w:rsid w:val="27EB3D24"/>
    <w:rsid w:val="28B13D99"/>
    <w:rsid w:val="29416969"/>
    <w:rsid w:val="2A4135AD"/>
    <w:rsid w:val="2A584C16"/>
    <w:rsid w:val="2AD52CEA"/>
    <w:rsid w:val="2B683C5D"/>
    <w:rsid w:val="2B8255D3"/>
    <w:rsid w:val="2CED7384"/>
    <w:rsid w:val="2D0C28EF"/>
    <w:rsid w:val="2D131CD0"/>
    <w:rsid w:val="2DD45D89"/>
    <w:rsid w:val="2F74749A"/>
    <w:rsid w:val="2FAF18BB"/>
    <w:rsid w:val="2FAF3215"/>
    <w:rsid w:val="307B1E47"/>
    <w:rsid w:val="32FF4CC1"/>
    <w:rsid w:val="33C67AA9"/>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0570634"/>
    <w:rsid w:val="41487A0A"/>
    <w:rsid w:val="42342BAA"/>
    <w:rsid w:val="425B6A60"/>
    <w:rsid w:val="426E7500"/>
    <w:rsid w:val="43685ADB"/>
    <w:rsid w:val="44045C03"/>
    <w:rsid w:val="446A4F91"/>
    <w:rsid w:val="46DB254E"/>
    <w:rsid w:val="478A2A1D"/>
    <w:rsid w:val="47C36E36"/>
    <w:rsid w:val="47FFEEA7"/>
    <w:rsid w:val="48A3615E"/>
    <w:rsid w:val="48B73C2B"/>
    <w:rsid w:val="48E00B0C"/>
    <w:rsid w:val="49CB5098"/>
    <w:rsid w:val="4B7B050C"/>
    <w:rsid w:val="4B954EA0"/>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7C8521F"/>
    <w:rsid w:val="5851778C"/>
    <w:rsid w:val="58A020D2"/>
    <w:rsid w:val="5A5F3178"/>
    <w:rsid w:val="5A6368AB"/>
    <w:rsid w:val="5A7E2982"/>
    <w:rsid w:val="5B24597E"/>
    <w:rsid w:val="5B7358EA"/>
    <w:rsid w:val="5BEF430C"/>
    <w:rsid w:val="5C531CB6"/>
    <w:rsid w:val="5CF01D88"/>
    <w:rsid w:val="5D5C0387"/>
    <w:rsid w:val="5E9456EF"/>
    <w:rsid w:val="5FDF50F0"/>
    <w:rsid w:val="608F3A1C"/>
    <w:rsid w:val="6336483C"/>
    <w:rsid w:val="636F22E5"/>
    <w:rsid w:val="646D7D7D"/>
    <w:rsid w:val="64A47711"/>
    <w:rsid w:val="64BB6AA4"/>
    <w:rsid w:val="64EB1FB1"/>
    <w:rsid w:val="65085FDD"/>
    <w:rsid w:val="66A625FE"/>
    <w:rsid w:val="66BC7D07"/>
    <w:rsid w:val="672D0717"/>
    <w:rsid w:val="68782DAE"/>
    <w:rsid w:val="68A1454F"/>
    <w:rsid w:val="69644745"/>
    <w:rsid w:val="69BC658F"/>
    <w:rsid w:val="6A042D14"/>
    <w:rsid w:val="6ABE1B22"/>
    <w:rsid w:val="6AF26EB9"/>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DE14DC"/>
    <w:rsid w:val="792D1E0D"/>
    <w:rsid w:val="79321117"/>
    <w:rsid w:val="79EF62DB"/>
    <w:rsid w:val="7A3A7C0C"/>
    <w:rsid w:val="7A835F66"/>
    <w:rsid w:val="7A8955BC"/>
    <w:rsid w:val="7A9D6576"/>
    <w:rsid w:val="7AAF2916"/>
    <w:rsid w:val="7BBBE85A"/>
    <w:rsid w:val="7BF7B220"/>
    <w:rsid w:val="7C6B433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5"/>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color w:val="000000"/>
      <w:sz w:val="24"/>
      <w:szCs w:val="24"/>
      <w:lang w:val="en-US" w:eastAsia="zh-CN" w:bidi="ar-SA"/>
    </w:rPr>
  </w:style>
  <w:style w:type="character" w:customStyle="1" w:styleId="15">
    <w:name w:val="批注文字 Char"/>
    <w:link w:val="2"/>
    <w:uiPriority w:val="0"/>
    <w:rPr>
      <w:rFonts w:ascii="Calibri" w:hAnsi="Calibri" w:cs="黑体"/>
      <w:kern w:val="2"/>
      <w:sz w:val="21"/>
      <w:szCs w:val="24"/>
    </w:rPr>
  </w:style>
  <w:style w:type="character" w:customStyle="1" w:styleId="16">
    <w:name w:val="批注主题 Char"/>
    <w:link w:val="7"/>
    <w:uiPriority w:val="0"/>
    <w:rPr>
      <w:rFonts w:ascii="Calibri" w:hAnsi="Calibri" w:cs="黑体"/>
      <w:b/>
      <w:bCs/>
      <w:kern w:val="2"/>
      <w:sz w:val="21"/>
      <w:szCs w:val="24"/>
    </w:rPr>
  </w:style>
  <w:style w:type="character" w:customStyle="1" w:styleId="17">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38450</Words>
  <Characters>41390</Characters>
  <Lines>272</Lines>
  <Paragraphs>76</Paragraphs>
  <TotalTime>2</TotalTime>
  <ScaleCrop>false</ScaleCrop>
  <LinksUpToDate>false</LinksUpToDate>
  <CharactersWithSpaces>41888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2025-09-11T06:32:53Z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