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lang w:eastAsia="zh-CN"/>
        </w:rPr>
        <w:t>幸福99丰裕固收386天25177期理财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color w:val="auto"/>
          <w:sz w:val="24"/>
          <w:highlight w:val="none"/>
        </w:rPr>
      </w:pPr>
      <w:r>
        <w:rPr>
          <w:rFonts w:hint="eastAsia" w:ascii="宋体" w:hAnsi="宋体" w:cs="宋体"/>
          <w:color w:val="000000"/>
          <w:sz w:val="24"/>
          <w:highlight w:val="none"/>
        </w:rPr>
        <w:t>备案编号</w:t>
      </w:r>
      <w:r>
        <w:rPr>
          <w:rFonts w:hint="eastAsia" w:ascii="宋体" w:hAnsi="宋体" w:cs="宋体"/>
          <w:color w:val="auto"/>
          <w:sz w:val="24"/>
          <w:highlight w:val="none"/>
        </w:rPr>
        <w:t>:</w:t>
      </w:r>
      <w:r>
        <w:rPr>
          <w:rFonts w:hint="eastAsia" w:ascii="宋体" w:hAnsi="宋体" w:cs="宋体"/>
          <w:bCs/>
          <w:color w:val="auto"/>
          <w:sz w:val="24"/>
          <w:highlight w:val="none"/>
        </w:rPr>
        <w:t>〖</w:t>
      </w:r>
      <w:r>
        <w:rPr>
          <w:rFonts w:hint="eastAsia" w:ascii="宋体" w:hAnsi="宋体" w:cs="宋体"/>
          <w:color w:val="000000"/>
          <w:sz w:val="24"/>
          <w:highlight w:val="none"/>
          <w:lang w:val="en-US" w:eastAsia="zh-CN"/>
        </w:rPr>
        <w:t>Z7002225000335</w:t>
      </w:r>
      <w:r>
        <w:rPr>
          <w:rFonts w:hint="eastAsia" w:ascii="宋体" w:hAnsi="宋体" w:cs="宋体"/>
          <w:bCs/>
          <w:color w:val="auto"/>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理财计划销售协议书》，将共同构成投资者与管理人之间的理财计划销售文件。</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w:t>
      </w:r>
      <w:r>
        <w:rPr>
          <w:rFonts w:hint="eastAsia" w:ascii="宋体" w:hAnsi="宋体" w:cs="宋体"/>
          <w:bCs/>
          <w:color w:val="auto"/>
          <w:kern w:val="2"/>
          <w:highlight w:val="none"/>
          <w:u w:val="single"/>
        </w:rPr>
        <w:t>https://www.hzbankwealth.com.cn。</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rPr>
          <w:rFonts w:hint="eastAsia" w:ascii="宋体" w:hAnsi="宋体" w:cs="宋体"/>
          <w:bCs/>
          <w:color w:val="auto"/>
          <w:kern w:val="2"/>
          <w:highlight w:val="none"/>
          <w:u w:val="single"/>
        </w:rPr>
        <w:instrText xml:space="preserve"> HYPERLINK "http://www.hzbank.com.cn" </w:instrText>
      </w:r>
      <w:r>
        <w:fldChar w:fldCharType="separate"/>
      </w:r>
      <w:r>
        <w:rPr>
          <w:rFonts w:hint="eastAsia" w:ascii="宋体" w:hAnsi="宋体" w:cs="宋体"/>
          <w:bCs/>
          <w:color w:val="auto"/>
          <w:kern w:val="2"/>
          <w:highlight w:val="none"/>
          <w:u w:val="single"/>
        </w:rPr>
        <w:t>www.hzbank.com.cn</w:t>
      </w:r>
      <w:r>
        <w:fldChar w:fldCharType="end"/>
      </w:r>
      <w:r>
        <w:rPr>
          <w:rFonts w:hint="eastAsia" w:ascii="宋体" w:hAnsi="宋体" w:cs="宋体"/>
          <w:bCs/>
          <w:color w:val="auto"/>
          <w:kern w:val="2"/>
          <w:highlight w:val="none"/>
        </w:rPr>
        <w:t>，客服热线为95398。</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highlight w:val="none"/>
        </w:rPr>
        <w:t>〖</w:t>
      </w:r>
      <w:r>
        <w:rPr>
          <w:rFonts w:hint="eastAsia" w:ascii="宋体" w:hAnsi="宋体" w:cs="宋体"/>
          <w:bCs/>
          <w:color w:val="auto"/>
          <w:kern w:val="2"/>
          <w:highlight w:val="none"/>
        </w:rPr>
        <w:t>杭州银行股份有限公司</w:t>
      </w:r>
      <w:r>
        <w:rPr>
          <w:rFonts w:hint="eastAsia" w:ascii="宋体" w:hAnsi="宋体" w:cs="宋体"/>
          <w:highlight w:val="none"/>
        </w:rPr>
        <w:t>〗</w:t>
      </w:r>
      <w:r>
        <w:rPr>
          <w:rFonts w:hint="eastAsia" w:ascii="宋体" w:hAnsi="宋体" w:cs="宋体"/>
          <w:bCs/>
          <w:color w:val="auto"/>
          <w:kern w:val="2"/>
          <w:highlight w:val="none"/>
        </w:rPr>
        <w:t>。</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国家金融监督管理总局、中国证券监督管理委员会、外汇管理局、银行业理财登记托管中心等。</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幸福99丰裕固收386天25177期理财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幸福99丰裕固收386天25177期理财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幸福99丰裕固收386天25177期理财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幸福99丰裕固收386天25177期理财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理财计划销售协议书：</w:t>
      </w:r>
      <w:r>
        <w:rPr>
          <w:rFonts w:hint="eastAsia" w:ascii="宋体" w:hAnsi="宋体" w:cs="宋体"/>
          <w:bCs/>
          <w:color w:val="auto"/>
          <w:kern w:val="2"/>
          <w:highlight w:val="none"/>
        </w:rPr>
        <w:t>指作为</w:t>
      </w:r>
      <w:r>
        <w:rPr>
          <w:rFonts w:hint="eastAsia" w:ascii="宋体" w:hAnsi="宋体" w:cs="宋体"/>
          <w:bCs/>
          <w:color w:val="auto"/>
          <w:kern w:val="2"/>
          <w:highlight w:val="none"/>
          <w:lang w:eastAsia="zh-CN"/>
        </w:rPr>
        <w:t>幸福99丰裕固收386天25177期理财</w:t>
      </w:r>
      <w:r>
        <w:rPr>
          <w:rFonts w:hint="eastAsia" w:ascii="宋体" w:hAnsi="宋体" w:cs="宋体"/>
          <w:bCs/>
          <w:color w:val="auto"/>
          <w:kern w:val="2"/>
          <w:highlight w:val="none"/>
        </w:rPr>
        <w:t>合同不可分割组成部分的理财计划销售协议书，以及对该文件的有效修改与补充。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指《理财计划风险揭示书》《理财计划产品说明书》《投资者权益须知》《理财计划投资协议书》《理财计划销售协议书》五个部分。</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cs="宋体"/>
          <w:bCs/>
          <w:color w:val="auto"/>
          <w:kern w:val="2"/>
          <w:highlight w:val="none"/>
          <w:lang w:eastAsia="zh-CN"/>
        </w:rPr>
        <w:t>幸福99丰裕固收386天25177期理财</w:t>
      </w:r>
      <w:r>
        <w:rPr>
          <w:rFonts w:hint="eastAsia" w:ascii="宋体" w:hAnsi="宋体" w:cs="宋体"/>
          <w:bCs/>
          <w:highlight w:val="none"/>
        </w:rPr>
        <w:t>。</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4"/>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4"/>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的正常交易日。如涉及到监管条例部分，统一以监管条例表述替代。</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指理财计划成立后，理财计划不接受投资者申购赎回的时间。</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4"/>
        <w:numPr>
          <w:ilvl w:val="0"/>
          <w:numId w:val="7"/>
        </w:numPr>
        <w:adjustRightInd/>
        <w:spacing w:line="360" w:lineRule="auto"/>
        <w:ind w:left="0" w:firstLine="0"/>
        <w:rPr>
          <w:rFonts w:hint="eastAsia" w:ascii="宋体" w:hAnsi="宋体" w:cs="宋体"/>
          <w:b/>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4"/>
        <w:numPr>
          <w:ilvl w:val="0"/>
          <w:numId w:val="7"/>
        </w:numPr>
        <w:adjustRightInd/>
        <w:spacing w:line="360" w:lineRule="auto"/>
        <w:ind w:left="0" w:firstLine="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4"/>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4"/>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4"/>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4"/>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4"/>
        <w:numPr>
          <w:ilvl w:val="0"/>
          <w:numId w:val="9"/>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4"/>
        <w:adjustRightInd/>
        <w:spacing w:line="360" w:lineRule="auto"/>
        <w:rPr>
          <w:rFonts w:hint="eastAsia" w:ascii="宋体" w:hAnsi="宋体" w:cs="宋体"/>
          <w:bCs/>
          <w:color w:val="auto"/>
          <w:kern w:val="2"/>
          <w:highlight w:val="none"/>
        </w:rPr>
      </w:pPr>
    </w:p>
    <w:p>
      <w:pPr>
        <w:pStyle w:val="14"/>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cs="宋体"/>
          <w:b/>
          <w:sz w:val="24"/>
          <w:highlight w:val="none"/>
          <w:lang w:val="en-US" w:eastAsia="zh-CN"/>
        </w:rPr>
        <w:t>R2</w:t>
      </w:r>
      <w:r>
        <w:rPr>
          <w:rFonts w:hint="eastAsia" w:ascii="宋体" w:hAnsi="宋体" w:cs="宋体"/>
          <w:b/>
          <w:color w:val="auto"/>
          <w:kern w:val="2"/>
          <w:highlight w:val="none"/>
        </w:rPr>
        <w:t>〗，〖</w:t>
      </w:r>
      <w:r>
        <w:rPr>
          <w:rFonts w:hint="eastAsia" w:ascii="宋体" w:hAnsi="宋体" w:cs="宋体"/>
          <w:b/>
          <w:sz w:val="24"/>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502"/>
        <w:gridCol w:w="5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内部风险评级</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风险程度</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R1</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低</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R2</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中低</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R3</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R4</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中高</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R5</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高</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进取型</w:t>
            </w:r>
          </w:p>
        </w:tc>
      </w:tr>
    </w:tbl>
    <w:p>
      <w:pPr>
        <w:pStyle w:val="14"/>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auto"/>
          <w:kern w:val="2"/>
          <w:highlight w:val="none"/>
        </w:rPr>
        <w:t>投资者风险承受能力评级水平以销售机构评估为准。</w:t>
      </w:r>
    </w:p>
    <w:p>
      <w:pPr>
        <w:pStyle w:val="14"/>
        <w:adjustRightInd/>
        <w:spacing w:line="360" w:lineRule="auto"/>
        <w:rPr>
          <w:rFonts w:hint="eastAsia" w:ascii="宋体" w:hAnsi="宋体" w:cs="宋体"/>
          <w:bCs/>
          <w:color w:val="auto"/>
          <w:kern w:val="2"/>
          <w:highlight w:val="none"/>
        </w:rPr>
      </w:pPr>
    </w:p>
    <w:p>
      <w:pPr>
        <w:pStyle w:val="14"/>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产品名称</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幸福99丰裕固收386天25177期理财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产品简称</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丰裕固收25177期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产品编号</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〖FYG25177〗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登记编码</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本理财计划在全国银行业理财信息登记系统的登记编码是〖Z7002225000335〗，投资者可依据该编码在“中国理财网（www.chinawealth.com.cn）”查询本理财计划信息。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发行对象</w:t>
            </w:r>
          </w:p>
        </w:tc>
        <w:tc>
          <w:tcPr>
            <w:tcW w:w="7185" w:type="dxa"/>
            <w:noWrap w:val="0"/>
            <w:vAlign w:val="center"/>
          </w:tcPr>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本理财计划适合</w:t>
            </w:r>
            <w:r>
              <w:rPr>
                <w:rFonts w:hint="eastAsia" w:ascii="宋体" w:hAnsi="宋体" w:eastAsia="宋体" w:cs="宋体"/>
                <w:b/>
                <w:kern w:val="2"/>
                <w:sz w:val="21"/>
                <w:szCs w:val="21"/>
                <w:highlight w:val="none"/>
                <w:lang w:val="en-US" w:eastAsia="zh-CN" w:bidi="ar-SA"/>
              </w:rPr>
              <w:t>〖</w:t>
            </w:r>
            <w:r>
              <w:rPr>
                <w:rFonts w:hint="eastAsia" w:ascii="宋体" w:hAnsi="宋体" w:eastAsia="宋体" w:cs="宋体"/>
                <w:b/>
                <w:color w:val="000000"/>
                <w:kern w:val="2"/>
                <w:sz w:val="21"/>
                <w:szCs w:val="21"/>
                <w:highlight w:val="none"/>
                <w:lang w:val="en-US" w:eastAsia="zh-CN" w:bidi="ar-SA"/>
              </w:rPr>
              <w:t>机构投资者〗以及〖稳健型、平衡型、成长型、进取型〗的个人投资者。</w:t>
            </w:r>
            <w:r>
              <w:rPr>
                <w:rFonts w:hint="eastAsia" w:ascii="宋体" w:hAnsi="宋体" w:eastAsia="宋体" w:cs="宋体"/>
                <w:bCs/>
                <w:kern w:val="2"/>
                <w:sz w:val="21"/>
                <w:szCs w:val="24"/>
                <w:highlight w:val="none"/>
                <w:lang w:val="en-US" w:eastAsia="zh-CN" w:bidi="ar-SA"/>
              </w:rPr>
              <w:t>投资者风险承受能力评级水平以销售机构评估为准。</w:t>
            </w:r>
          </w:p>
          <w:p>
            <w:pPr>
              <w:widowControl/>
              <w:spacing w:line="300" w:lineRule="auto"/>
              <w:contextualSpacing/>
              <w:jc w:val="both"/>
              <w:rPr>
                <w:rFonts w:hint="eastAsia" w:ascii="宋体" w:hAnsi="宋体" w:eastAsia="宋体" w:cs="黑体"/>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其中：</w:t>
            </w:r>
            <w:r>
              <w:rPr>
                <w:rFonts w:hint="eastAsia" w:ascii="宋体" w:hAnsi="宋体" w:eastAsia="宋体" w:cs="黑体"/>
                <w:color w:val="000000"/>
                <w:kern w:val="2"/>
                <w:sz w:val="21"/>
                <w:szCs w:val="21"/>
                <w:highlight w:val="none"/>
                <w:lang w:val="en-US" w:eastAsia="zh-CN" w:bidi="ar-SA"/>
              </w:rPr>
              <w:t xml:space="preserve"> </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b w:val="0"/>
                <w:bCs/>
                <w:color w:val="000000"/>
                <w:kern w:val="2"/>
                <w:sz w:val="21"/>
                <w:szCs w:val="21"/>
                <w:highlight w:val="none"/>
                <w:lang w:val="en-US" w:eastAsia="zh-CN" w:bidi="ar-SA"/>
              </w:rPr>
              <w:t>A份额（销售代码〖FYG25177A〗）：普通个人投资者和机构客户。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B份额（销售代码〖FYG25177B〗）：普通个人投资者和机构客户。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C份额（销售代码〖FYG25177C〗）：普通个人投资者和机构客户。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D份额（销售代码〖FYG25177D〗）：普通个人投资者和机构客户。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E份额（公司专属）（销售代码〖FYG25177E〗）：普通个人投资者和机构客户。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F份额（销售代码〖FYG25177F〗）：普通个人投资者和机构客户。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G份额（汉口银行专属）（销售代码〖FYG25177G〗）：普通个人投资者和机构客户。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H份额（北行专属）（销售代码〖FYG25177H〗）：普通个人投资者和机构客户。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I份额（爽盈优选）（销售代码〖FYG25177I〗）：普通个人投资者和机构客户。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J份额（销售代码〖FYG25177J〗）：普通个人投资者和机构客户。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K份额（鲲鹏优选）（销售代码〖FYG25177K〗）：普通个人投资者和机构客户。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N份额惠享款（长长财富·专属）（销售代码〖FYG25177N〗）：普通个人投资者和机构客户。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O份额（销售代码〖FYG25177O〗）：普通个人投资者和机构客户。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P份额（芙蓉锦程·优选）（销售代码〖FYG25177P〗）：普通个人投资者和机构客户。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Q份额惠享款（候鸟专属）（销售代码〖FYG25177Q〗）：普通个人投资者和机构客户。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R份额惠享款吉行十二号（销售代码〖FYG25177R〗）：普通个人投资者和机构客户。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S份额惠享款（齐鲁-逢六有约）（销售代码〖FYG25177S〗）：普通个人投资者和机构客户。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U份额惠享款（销售代码〖FYG25177U〗）：普通个人投资者和机构客户。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V份额（金芙蓉专属）（销售代码〖FYG25177V〗）：普通个人投资者和机构客户。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W份额惠享款（销售代码〖FYG25177W〗）：普通个人投资者和机构客户。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X份额（销售代码〖FYG25177X〗）：普通个人投资者。</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Y份额惠享款（销售代码〖FYG25177Y〗）：普通个人投资者和机构客户。</w:t>
            </w:r>
            <w:r>
              <w:rPr>
                <w:rFonts w:hint="eastAsia" w:ascii="宋体" w:hAnsi="宋体" w:eastAsia="宋体" w:cs="宋体"/>
                <w:b w:val="0"/>
                <w:bCs/>
                <w:color w:val="000000"/>
                <w:kern w:val="2"/>
                <w:sz w:val="21"/>
                <w:szCs w:val="21"/>
                <w:highlight w:val="none"/>
                <w:lang w:val="en-US" w:eastAsia="zh-CN" w:bidi="ar-SA"/>
              </w:rPr>
              <w:br w:type="textWrapping"/>
            </w:r>
            <w:r>
              <w:rPr>
                <w:rFonts w:hint="eastAsia" w:ascii="宋体" w:hAnsi="宋体" w:eastAsia="宋体" w:cs="宋体"/>
                <w:b w:val="0"/>
                <w:bCs/>
                <w:color w:val="000000"/>
                <w:kern w:val="2"/>
                <w:sz w:val="21"/>
                <w:szCs w:val="21"/>
                <w:highlight w:val="none"/>
                <w:lang w:val="en-US" w:eastAsia="zh-CN" w:bidi="ar-SA"/>
              </w:rPr>
              <w:t>Z份额惠享款（销售代码〖FYG25177Z〗）：普通个人投资者和机构客户。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产品类型</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〖固定收益类〗</w:t>
            </w:r>
            <w:r>
              <w:rPr>
                <w:rFonts w:hint="eastAsia" w:ascii="宋体" w:hAnsi="宋体" w:eastAsia="宋体" w:cs="宋体"/>
                <w:color w:val="000000"/>
                <w:kern w:val="2"/>
                <w:sz w:val="21"/>
                <w:szCs w:val="21"/>
                <w:highlight w:val="none"/>
                <w:lang w:val="en-US" w:eastAsia="zh-CN" w:bidi="ar-SA"/>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运作模式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分级产品</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销售范围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全国</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可通过杭银理财直销渠道和代理销售机构的</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营业网点、网上银行、手机银行</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交易币种</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发行规模上限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〖2025〗年〖9〗月〖16〗日-〖2025〗年〖9〗月〖22〗日</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认购时间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认购期首日〖9：00〗至认购结束日〖17：00〗</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成立日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〖2025〗年〖9〗月〖23〗日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到期日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〖2026〗年〖10〗月〖14〗日，若到期日为非工作日则顺延至下一个工作日。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理财期限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〖386〗天（实际理财期限受制于管理人提前终止权等条款）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认购起点金额</w:t>
            </w:r>
          </w:p>
        </w:tc>
        <w:tc>
          <w:tcPr>
            <w:tcW w:w="7185" w:type="dxa"/>
            <w:noWrap w:val="0"/>
            <w:vAlign w:val="center"/>
          </w:tcPr>
          <w:p>
            <w:pPr>
              <w:widowControl/>
              <w:spacing w:line="360" w:lineRule="auto"/>
              <w:contextualSpacing/>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〖Q份额〗起点〖10000〗元整，超过认购起点部分，应为〖1〗元的整数倍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〖S份额〗起点〖1〗元整，超过认购起点部分，应为〖1〗元的整数倍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〖U份额〗起点〖100000〗元整，超过认购起点部分，应为〖1〗元的整数倍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〖V份额〗起点〖1000000〗元整，超过认购起点部分，应为〖1〗元的整数倍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产品成立</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kern w:val="2"/>
                <w:sz w:val="21"/>
                <w:szCs w:val="21"/>
                <w:highlight w:val="none"/>
                <w:lang w:val="en-US" w:eastAsia="zh-CN" w:bidi="ar-SA"/>
              </w:rPr>
              <w:t>〖3000〗</w:t>
            </w:r>
            <w:r>
              <w:rPr>
                <w:rFonts w:hint="eastAsia" w:ascii="宋体" w:hAnsi="宋体" w:eastAsia="宋体" w:cs="宋体"/>
                <w:color w:val="000000"/>
                <w:kern w:val="2"/>
                <w:sz w:val="21"/>
                <w:szCs w:val="21"/>
                <w:highlight w:val="none"/>
                <w:lang w:val="en-US" w:eastAsia="zh-CN" w:bidi="ar-SA"/>
              </w:rPr>
              <w:t>万元，则管理人可宣布本理财计划不成立并在原定理财计划成立日后</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个工作日内通过管理人或销售机构发布不成立信息，投资者购买的理财资金将在原定成立日后2个工作日内划转至投资者指定理财账户，</w:t>
            </w:r>
            <w:r>
              <w:rPr>
                <w:rFonts w:hint="eastAsia" w:ascii="宋体" w:hAnsi="宋体" w:eastAsia="宋体" w:cs="宋体"/>
                <w:b/>
                <w:color w:val="000000"/>
                <w:kern w:val="2"/>
                <w:sz w:val="21"/>
                <w:szCs w:val="21"/>
                <w:highlight w:val="none"/>
                <w:lang w:val="en-US" w:eastAsia="zh-CN" w:bidi="ar-SA"/>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单户限额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单位净值=理财计划估值日理财计划总净值÷理财计划总份额，单位净值保留小数点后四位，四舍五入。</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理财计划总净值=理财计划认购总额+理财计划所获总收益-理财计划总费用（包括但不限于固定管理费、托管费、销售服务费、浮动管理费等）。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资金与收益支付方式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理财计划到期后，最快</w:t>
            </w:r>
            <w:r>
              <w:rPr>
                <w:rFonts w:hint="eastAsia" w:ascii="宋体" w:hAnsi="宋体" w:eastAsia="宋体" w:cs="宋体"/>
                <w:kern w:val="2"/>
                <w:sz w:val="21"/>
                <w:szCs w:val="21"/>
                <w:highlight w:val="none"/>
                <w:lang w:val="en-US" w:eastAsia="zh-CN" w:bidi="ar-SA"/>
              </w:rPr>
              <w:t>〖1〗</w:t>
            </w:r>
            <w:r>
              <w:rPr>
                <w:rFonts w:hint="eastAsia" w:ascii="宋体" w:hAnsi="宋体" w:eastAsia="宋体" w:cs="宋体"/>
                <w:color w:val="000000"/>
                <w:kern w:val="2"/>
                <w:sz w:val="21"/>
                <w:szCs w:val="21"/>
                <w:highlight w:val="none"/>
                <w:lang w:val="en-US" w:eastAsia="zh-CN" w:bidi="ar-SA"/>
              </w:rPr>
              <w:t>个工作日，最晚</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color w:val="000000"/>
                <w:kern w:val="2"/>
                <w:sz w:val="21"/>
                <w:szCs w:val="21"/>
                <w:highlight w:val="none"/>
                <w:lang w:val="en-US" w:eastAsia="zh-CN" w:bidi="ar-SA"/>
              </w:rPr>
              <w:t>个工作日内（遇节假日顺延）支付。如遇资金在途或法定工作日调整，实际资金到账日以公告为准。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业绩比较基准</w:t>
            </w:r>
          </w:p>
        </w:tc>
        <w:tc>
          <w:tcPr>
            <w:tcW w:w="7185" w:type="dxa"/>
            <w:noWrap w:val="0"/>
            <w:vAlign w:val="center"/>
          </w:tcPr>
          <w:p>
            <w:pPr>
              <w:widowControl/>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本理财计划〖A份额〗业绩比较基准为〖2.45%-2.75%〗（年化）。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本理财计划〖B份额〗业绩比较基准为〖2.55%-2.85%〗（年化）。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本理财计划〖C份额〗业绩比较基准为〖2.65%-2.95%〗（年化）。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本理财计划〖D份额〗业绩比较基准为〖2.60%-2.90%〗（年化）。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本理财计划〖E份额〗业绩比较基准为〖2.30%-2.60%〗（年化）。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本理财计划〖F份额〗业绩比较基准为〖2.60%-2.90%〗（年化）。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本理财计划〖G份额〗业绩比较基准为〖2.70%-3.00%〗（年化）。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本理财计划〖H份额〗业绩比较基准为〖2.55%-2.85%〗（年化）。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本理财计划〖I份额〗业绩比较基准为〖2.45%-2.75%〗（年化）。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本理财计划〖J份额〗业绩比较基准为〖2.70%-3.00%〗（年化）。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本理财计划〖K份额〗业绩比较基准为〖2.45%-2.75%〗（年化）。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本理财计划〖N份额〗业绩比较基准为〖2.55%-2.85%〗（年化）。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本理财计划〖O份额〗业绩比较基准为〖2.55%-2.85%〗（年化）。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本理财计划〖P份额〗业绩比较基准为〖2.60%-2.90%〗（年化）。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本理财计划〖Q份额〗业绩比较基准为〖2.65%-2.95%〗（年化）。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本理财计划〖R份额〗业绩比较基准为〖2.60%-2.90%〗（年化）。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本理财计划〖S份额〗业绩比较基准为〖2.61%-2.91%〗（年化）。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本理财计划〖U份额〗业绩比较基准为〖2.55%-2.85%〗（年化）。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本理财计划〖V份额〗业绩比较基准为〖2.65%-2.95%〗（年化）。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本理财计划〖W份额〗业绩比较基准为〖2.45%-2.75%〗（年化）。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本理财计划〖X份额〗业绩比较基准为〖2.70%-3.00%〗（年化）。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本理财计划〖Y份额〗业绩比较基准为〖2.55%-2.85%〗（年化）。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本理财计划〖Z份额〗业绩比较基准为〖2.65%-2.95%〗（年化）。</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业绩基准测算依据：本理财计划重点投资于货币市场工具、债券、非标准化债权类资产等资产，管理人根据固定收益市场历史表现，结合当前利率水平、资产配比及市场同类型产品情况，经综合判断得出。</w:t>
            </w:r>
          </w:p>
          <w:p>
            <w:pPr>
              <w:widowControl/>
              <w:spacing w:line="360" w:lineRule="auto"/>
              <w:jc w:val="left"/>
              <w:rPr>
                <w:rFonts w:hint="eastAsia" w:ascii="宋体" w:hAnsi="宋体" w:eastAsia="宋体" w:cs="宋体"/>
                <w:b/>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管理人有权根据市场情况及理财计划运作情况调整业绩基准，并至少于新业绩基准启用前</w:t>
            </w:r>
            <w:r>
              <w:rPr>
                <w:rFonts w:hint="eastAsia" w:ascii="宋体" w:hAnsi="宋体" w:eastAsia="宋体" w:cs="宋体"/>
                <w:kern w:val="0"/>
                <w:sz w:val="21"/>
                <w:szCs w:val="24"/>
                <w:highlight w:val="none"/>
                <w:lang w:val="en-US" w:eastAsia="zh-CN" w:bidi="ar-SA"/>
              </w:rPr>
              <w:t>〖2〗</w:t>
            </w:r>
            <w:r>
              <w:rPr>
                <w:rFonts w:hint="eastAsia" w:ascii="宋体" w:hAnsi="宋体" w:eastAsia="宋体" w:cs="宋体"/>
                <w:kern w:val="2"/>
                <w:sz w:val="21"/>
                <w:szCs w:val="21"/>
                <w:highlight w:val="none"/>
                <w:lang w:val="en-US" w:eastAsia="zh-CN" w:bidi="ar-SA"/>
              </w:rPr>
              <w:t>个工作日公告。</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本理财计划为净值型理财产品，其业绩表现将随市场波动具有不确定性。本公司提醒投资者关注，业绩比较基准不是预期收益率，并不代表理财计划的未来表现和实际收益率，不构成对理财计划收益的承诺。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产品费用</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1.销售服务费：〖A份额〗收取年化〖0.30%〗的销售服务费, 〖B份额〗收取年化〖0.20%〗的销售服务费, 〖C份额〗收取年化〖0.10%〗的销售服务费, 〖D份额〗收取年化〖0.15%〗的销售服务费, 〖E份额〗收取年化〖0.40%〗的销售服务费, 〖F份额〗收取年化〖0.15%〗的销售服务费, 〖G份额〗收取年化〖0.05%〗的销售服务费, 〖H份额〗收取年化〖0.20%〗的销售服务费, 〖I份额〗收取年化〖0.30%〗的销售服务费, 〖J份额〗收取年化〖0.05%〗的销售服务费, 〖K份额〗收取年化〖0.30%〗的销售服务费, 〖N份额〗收取年化〖0.20%〗的销售服务费, 〖O份额〗收取年化〖0.20%〗的销售服务费, 〖P份额〗收取年化〖0.15%〗的销售服务费, 〖Q份额〗收取年化〖0.10%〗的销售服务费, 〖R份额〗收取年化〖0.15%〗的销售服务费, 〖S份额〗收取年化〖0.15%〗的销售服务费, 〖U份额〗收取年化〖0.20%〗的销售服务费, 〖V份额〗收取年化〖0.10%〗的销售服务费, 〖W份额〗收取年化〖0.30%〗的销售服务费, 〖X份额〗收取年化〖0.05%〗的销售服务费, 〖Y份额〗收取年化〖0.20%〗的销售服务费, 〖Z份额〗收取年化〖0.10%〗的销售服务费。其中〖A份额〗、〖B份额〗、〖C份额〗、〖D份额〗、〖E份额〗、〖F份额〗、〖G份额〗、〖H份额〗、〖I份额〗、〖J份额〗、〖K份额〗、〖O份额〗、〖P份额〗、〖V份额〗、〖X份额〗对应份额每日计提销售服务费；〖N份额〗、〖Q份额〗、〖R份额〗、〖S份额〗、〖U份额〗、〖W份额〗、〖Y份额〗、〖Z份额〗对应份额销售服务费于产品成立日一次性收取。</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2.托管费：收取年化</w:t>
            </w:r>
            <w:r>
              <w:rPr>
                <w:rFonts w:hint="eastAsia" w:ascii="宋体" w:hAnsi="宋体" w:eastAsia="宋体" w:cs="宋体"/>
                <w:kern w:val="2"/>
                <w:sz w:val="21"/>
                <w:szCs w:val="21"/>
                <w:highlight w:val="none"/>
                <w:lang w:val="en-US" w:eastAsia="zh-CN" w:bidi="ar-SA"/>
              </w:rPr>
              <w:t>〖0.025%〗</w:t>
            </w:r>
            <w:r>
              <w:rPr>
                <w:rFonts w:hint="eastAsia" w:ascii="宋体" w:hAnsi="宋体" w:eastAsia="宋体" w:cs="宋体"/>
                <w:color w:val="000000"/>
                <w:kern w:val="2"/>
                <w:sz w:val="21"/>
                <w:szCs w:val="21"/>
                <w:highlight w:val="none"/>
                <w:lang w:val="en-US" w:eastAsia="zh-CN" w:bidi="ar-SA"/>
              </w:rPr>
              <w:t>的托管费。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3.固定管理费：〖A份额〗收取年化〖0.05%〗的固定管理费, 〖B份额〗收取年化〖0.05%〗的固定管理费, 〖C份额〗收取年化〖0.05%〗的固定管理费, 〖D份额〗收取年化〖0.05%〗的固定管理费, 〖E份额〗收取年化〖0.10%〗的固定管理费, 〖F份额〗收取年化〖0.05%〗的固定管理费, 〖G份额〗收取年化〖0.05%〗的固定管理费, 〖H份额〗收取年化〖0.05%〗的固定管理费, 〖I份额〗收取年化〖0.05%〗的固定管理费, 〖J份额〗收取年化〖0.05%〗的固定管理费, 〖K份额〗收取年化〖0.05%〗的固定管理费, 〖N份额〗收取年化〖0.05%〗的固定管理费, 〖O份额〗收取年化〖0.05%〗的固定管理费, 〖P份额〗收取年化〖0.05%〗的固定管理费, 〖Q份额〗收取年化〖0.05%〗的固定管理费, 〖R份额〗收取年化〖0.05%〗的固定管理费, 〖S份额〗收取年化〖0.04%〗的固定管理费, 〖U份额〗收取年化〖0.05%〗的固定管理费, 〖V份额〗收取年化〖0.05%〗的固定管理费, 〖W份额〗收取年化〖0.05%〗的固定管理费, 〖X份额〗收取年化〖0.05%〗的固定管理费, 〖Y份额〗收取年化〖0.05%〗的固定管理费, 〖Z份额〗收取年化〖0.05%〗的固定管理费。</w:t>
            </w:r>
          </w:p>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4.认购费：本理财计划免除认购费。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5.浮动管理费：管理人根据理财计划投资情况计算浮动管理费，本理财计划份额（除O份额）到期日（提前终止日）的折合年化收益率在〖业绩比较基准下限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至上限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〖50%〗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,在超过〖</w:t>
            </w:r>
            <w:r>
              <w:rPr>
                <w:rFonts w:hint="eastAsia" w:ascii="宋体" w:hAnsi="宋体" w:eastAsia="宋体" w:cs="宋体"/>
                <w:b w:val="0"/>
                <w:bCs/>
                <w:kern w:val="2"/>
                <w:sz w:val="21"/>
                <w:szCs w:val="21"/>
                <w:highlight w:val="none"/>
                <w:lang w:val="en-US" w:eastAsia="zh-CN" w:bidi="ar-SA"/>
              </w:rPr>
              <w:t>业绩比较基准上限</w:t>
            </w:r>
            <w:r>
              <w:rPr>
                <w:rFonts w:hint="eastAsia" w:ascii="宋体" w:hAnsi="宋体" w:eastAsia="宋体" w:cs="宋体"/>
                <w:b w:val="0"/>
                <w:bCs/>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〖80%〗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〖O份额〗到期日（提前终止日）的折合年化收益率在〖业绩比较基准下限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至中枢</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〖50%〗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,在超过〖</w:t>
            </w:r>
            <w:r>
              <w:rPr>
                <w:rFonts w:hint="eastAsia" w:ascii="宋体" w:hAnsi="宋体" w:eastAsia="宋体" w:cs="宋体"/>
                <w:b w:val="0"/>
                <w:bCs/>
                <w:kern w:val="2"/>
                <w:sz w:val="21"/>
                <w:szCs w:val="21"/>
                <w:highlight w:val="none"/>
                <w:lang w:val="en-US" w:eastAsia="zh-CN" w:bidi="ar-SA"/>
              </w:rPr>
              <w:t>业绩比较基准中枢</w:t>
            </w:r>
            <w:r>
              <w:rPr>
                <w:rFonts w:hint="eastAsia" w:ascii="宋体" w:hAnsi="宋体" w:eastAsia="宋体" w:cs="宋体"/>
                <w:b w:val="0"/>
                <w:bCs/>
                <w:color w:val="000000"/>
                <w:kern w:val="2"/>
                <w:sz w:val="21"/>
                <w:szCs w:val="21"/>
                <w:highlight w:val="none"/>
                <w:lang w:val="en-US" w:eastAsia="zh-CN" w:bidi="ar-SA"/>
              </w:rPr>
              <w:t>〗的部分,</w:t>
            </w:r>
            <w:r>
              <w:rPr>
                <w:rFonts w:hint="eastAsia" w:ascii="宋体" w:hAnsi="宋体" w:eastAsia="宋体" w:cs="宋体"/>
                <w:b/>
                <w:bCs w:val="0"/>
                <w:color w:val="000000"/>
                <w:kern w:val="2"/>
                <w:sz w:val="21"/>
                <w:szCs w:val="21"/>
                <w:highlight w:val="none"/>
                <w:lang w:val="en-US" w:eastAsia="zh-CN" w:bidi="ar-SA"/>
              </w:rPr>
              <w:t>管理人提取</w:t>
            </w:r>
            <w:r>
              <w:rPr>
                <w:rFonts w:hint="eastAsia" w:ascii="宋体" w:hAnsi="宋体" w:eastAsia="宋体" w:cs="宋体"/>
                <w:b/>
                <w:bCs w:val="0"/>
                <w:kern w:val="2"/>
                <w:sz w:val="21"/>
                <w:szCs w:val="21"/>
                <w:highlight w:val="none"/>
                <w:lang w:val="en-US" w:eastAsia="zh-CN" w:bidi="ar-SA"/>
              </w:rPr>
              <w:t>〖60%〗</w:t>
            </w:r>
            <w:r>
              <w:rPr>
                <w:rFonts w:hint="eastAsia" w:ascii="宋体" w:hAnsi="宋体" w:eastAsia="宋体" w:cs="宋体"/>
                <w:b/>
                <w:bCs w:val="0"/>
                <w:color w:val="000000"/>
                <w:kern w:val="2"/>
                <w:sz w:val="21"/>
                <w:szCs w:val="21"/>
                <w:highlight w:val="none"/>
                <w:lang w:val="en-US" w:eastAsia="zh-CN" w:bidi="ar-SA"/>
              </w:rPr>
              <w:t>作为浮动管理费</w:t>
            </w:r>
            <w:r>
              <w:rPr>
                <w:rFonts w:hint="eastAsia" w:ascii="宋体" w:hAnsi="宋体" w:eastAsia="宋体" w:cs="宋体"/>
                <w:b w:val="0"/>
                <w:bCs/>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提前终止</w:t>
            </w:r>
          </w:p>
        </w:tc>
        <w:tc>
          <w:tcPr>
            <w:tcW w:w="7185" w:type="dxa"/>
            <w:noWrap w:val="0"/>
            <w:vAlign w:val="center"/>
          </w:tcPr>
          <w:p>
            <w:pPr>
              <w:widowControl/>
              <w:spacing w:line="360" w:lineRule="auto"/>
              <w:contextualSpacing/>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税费规定</w:t>
            </w:r>
          </w:p>
        </w:tc>
        <w:tc>
          <w:tcPr>
            <w:tcW w:w="7185" w:type="dxa"/>
            <w:noWrap w:val="0"/>
            <w:vAlign w:val="center"/>
          </w:tcPr>
          <w:p>
            <w:pPr>
              <w:widowControl w:val="0"/>
              <w:spacing w:line="360" w:lineRule="auto"/>
              <w:jc w:val="both"/>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融资服务</w:t>
            </w:r>
          </w:p>
        </w:tc>
        <w:tc>
          <w:tcPr>
            <w:tcW w:w="7185" w:type="dxa"/>
            <w:noWrap w:val="0"/>
            <w:vAlign w:val="bottom"/>
          </w:tcPr>
          <w:p>
            <w:pPr>
              <w:widowControl w:val="0"/>
              <w:spacing w:line="360" w:lineRule="auto"/>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2"/>
                <w:sz w:val="21"/>
                <w:szCs w:val="21"/>
                <w:highlight w:val="none"/>
                <w:lang w:val="en-US" w:eastAsia="zh-CN" w:bidi="ar-SA"/>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认购期内按照活期存款利率计息，认购期内的利息不计入认购本金份额。到期日（或理财计划实际终止日）到理财资金返还到账日为清算期，清算期内不计付利息。</w:t>
            </w:r>
            <w:r>
              <w:rPr>
                <w:rFonts w:hint="eastAsia" w:ascii="宋体" w:hAnsi="宋体" w:eastAsia="宋体" w:cs="宋体"/>
                <w:color w:val="000000"/>
                <w:kern w:val="0"/>
                <w:sz w:val="21"/>
                <w:szCs w:val="21"/>
                <w:highlight w:val="none"/>
                <w:lang w:val="en-US" w:eastAsia="zh-CN" w:bidi="ar-SA"/>
              </w:rPr>
              <w:t>（具体以销售机构规定为准）</w:t>
            </w:r>
          </w:p>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firstLine="480" w:firstLineChars="200"/>
        <w:jc w:val="left"/>
        <w:outlineLvl w:val="9"/>
        <w:rPr>
          <w:rFonts w:hint="eastAsia" w:ascii="宋体" w:hAnsi="宋体" w:cs="宋体"/>
          <w:b w:val="0"/>
          <w:bCs/>
          <w:color w:val="auto"/>
          <w:sz w:val="24"/>
          <w:highlight w:val="none"/>
        </w:rPr>
      </w:pPr>
      <w:r>
        <w:rPr>
          <w:rFonts w:hint="eastAsia" w:ascii="宋体" w:hAnsi="宋体" w:cs="宋体"/>
          <w:bCs/>
          <w:color w:val="auto"/>
          <w:kern w:val="2"/>
          <w:sz w:val="24"/>
          <w:highlight w:val="none"/>
        </w:rPr>
        <w:t>本理财计划自成立日起</w:t>
      </w:r>
      <w:r>
        <w:rPr>
          <w:rFonts w:hint="eastAsia" w:ascii="宋体" w:hAnsi="宋体" w:cs="宋体"/>
          <w:bCs/>
          <w:sz w:val="24"/>
          <w:highlight w:val="none"/>
        </w:rPr>
        <w:t>〖</w:t>
      </w:r>
      <w:r>
        <w:rPr>
          <w:rFonts w:hint="eastAsia" w:ascii="宋体" w:hAnsi="宋体" w:cs="宋体"/>
          <w:bCs/>
          <w:color w:val="auto"/>
          <w:kern w:val="2"/>
          <w:sz w:val="24"/>
          <w:highlight w:val="none"/>
          <w:lang w:val="en-US" w:eastAsia="zh-CN"/>
        </w:rPr>
        <w:t>1个月</w:t>
      </w:r>
      <w:r>
        <w:rPr>
          <w:rFonts w:hint="eastAsia" w:ascii="宋体" w:hAnsi="宋体" w:cs="宋体"/>
          <w:bCs/>
          <w:sz w:val="24"/>
          <w:highlight w:val="none"/>
        </w:rPr>
        <w:t>〗</w:t>
      </w:r>
      <w:r>
        <w:rPr>
          <w:rFonts w:hint="eastAsia" w:ascii="宋体" w:hAnsi="宋体" w:cs="宋体"/>
          <w:bCs/>
          <w:color w:val="auto"/>
          <w:kern w:val="2"/>
          <w:sz w:val="24"/>
          <w:highlight w:val="none"/>
        </w:rPr>
        <w:t>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固定收益类资产：包括但不限于各类债券、存款、货币市场金融工具、债券基金、质押式及买断式回购、非标准化债权类资产，其他符合监管要求的固定收益类资产及资产管理产品。</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权益类资产：</w:t>
      </w:r>
      <w:r>
        <w:rPr>
          <w:rFonts w:hint="eastAsia" w:ascii="宋体" w:hAnsi="宋体" w:cs="宋体"/>
          <w:bCs/>
          <w:color w:val="auto"/>
          <w:kern w:val="2"/>
          <w:sz w:val="24"/>
          <w:highlight w:val="none"/>
          <w:lang w:val="en-US" w:eastAsia="zh-CN"/>
        </w:rPr>
        <w:t>仅限境内发行优先股和永续债。</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r>
        <w:rPr>
          <w:rFonts w:hint="eastAsia" w:ascii="宋体" w:hAnsi="宋体" w:cs="宋体"/>
          <w:bCs/>
          <w:color w:val="FF0000"/>
          <w:sz w:val="24"/>
          <w:highlight w:val="none"/>
        </w:rPr>
        <w:t xml:space="preserve"> </w:t>
      </w:r>
    </w:p>
    <w:tbl>
      <w:tblPr>
        <w:tblStyle w:val="8"/>
        <w:tblW w:w="829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90"/>
        <w:gridCol w:w="4716"/>
        <w:gridCol w:w="17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投资资产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配置比例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restart"/>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固定收益类资产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90%-100%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continue"/>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权益类资产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0%-10%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特殊资产类型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非标准化债权类资产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0%-50%</w:t>
            </w:r>
          </w:p>
        </w:tc>
      </w:tr>
    </w:tbl>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4"/>
        <w:numPr>
          <w:ilvl w:val="0"/>
          <w:numId w:val="14"/>
        </w:numPr>
        <w:adjustRightInd/>
        <w:spacing w:line="360" w:lineRule="auto"/>
        <w:ind w:firstLine="458" w:firstLineChars="190"/>
        <w:rPr>
          <w:rFonts w:ascii="宋体" w:hAnsi="宋体" w:cs="宋体"/>
          <w:b/>
          <w:bCs w:val="0"/>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4"/>
        <w:numPr>
          <w:ilvl w:val="0"/>
          <w:numId w:val="15"/>
        </w:numPr>
        <w:adjustRightInd/>
        <w:spacing w:line="360" w:lineRule="auto"/>
        <w:rPr>
          <w:rFonts w:hint="eastAsia" w:ascii="宋体" w:hAnsi="宋体" w:cs="宋体"/>
          <w:bCs/>
          <w:color w:val="auto"/>
          <w:kern w:val="2"/>
          <w:highlight w:val="none"/>
        </w:rPr>
      </w:pPr>
      <w:r>
        <w:rPr>
          <w:rFonts w:hint="eastAsia" w:ascii="宋体" w:hAnsi="宋体" w:cs="宋体"/>
          <w:bCs/>
          <w:color w:val="auto"/>
          <w:kern w:val="2"/>
          <w:highlight w:val="none"/>
        </w:rPr>
        <w:t>资产配置策略</w:t>
      </w:r>
    </w:p>
    <w:p>
      <w:pPr>
        <w:pStyle w:val="14"/>
        <w:adjustRightInd/>
        <w:spacing w:line="360" w:lineRule="auto"/>
        <w:rPr>
          <w:rFonts w:ascii="宋体" w:cs="宋体"/>
          <w:sz w:val="21"/>
          <w:szCs w:val="21"/>
          <w:highlight w:val="none"/>
        </w:rPr>
      </w:pPr>
      <w:r>
        <w:rPr>
          <w:rFonts w:hint="eastAsia" w:ascii="宋体" w:hAnsi="宋体" w:cs="宋体"/>
          <w:bCs/>
          <w:color w:val="auto"/>
          <w:kern w:val="2"/>
          <w:highlight w:val="none"/>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债券投资策略</w:t>
      </w:r>
    </w:p>
    <w:p>
      <w:pPr>
        <w:pStyle w:val="14"/>
        <w:adjustRightInd/>
        <w:spacing w:line="360" w:lineRule="auto"/>
        <w:ind w:firstLine="480" w:firstLineChars="200"/>
        <w:rPr>
          <w:rFonts w:hint="eastAsia" w:ascii="宋体" w:hAnsi="宋体" w:cs="宋体"/>
          <w:bCs/>
          <w:highlight w:val="none"/>
        </w:rPr>
      </w:pPr>
      <w:r>
        <w:rPr>
          <w:rFonts w:hint="eastAsia" w:ascii="宋体" w:hAnsi="宋体" w:cs="宋体"/>
          <w:bCs/>
          <w:color w:val="auto"/>
          <w:kern w:val="2"/>
          <w:highlight w:val="none"/>
        </w:rPr>
        <w:t>管理人本着稳健投资的理念，在研究债券市场宏观环境和利率走势的基础上，严格评估信用风险，通过久期策略、骑乘策略、杠杆策略和交易策略等，配置固定收益资产及资产管理产品，力争获取稳定收益。</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非标准化债权类资产投资策略</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0" w:firstLine="480" w:firstLineChars="200"/>
        <w:jc w:val="left"/>
        <w:outlineLvl w:val="2"/>
        <w:rPr>
          <w:rFonts w:hint="eastAsia" w:ascii="宋体" w:hAnsi="宋体" w:cs="宋体"/>
          <w:b/>
          <w:sz w:val="24"/>
          <w:highlight w:val="none"/>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拟投资市场、资产的流动性风险评估</w:t>
      </w:r>
    </w:p>
    <w:p>
      <w:pPr>
        <w:spacing w:line="360" w:lineRule="auto"/>
        <w:ind w:left="420"/>
        <w:jc w:val="left"/>
        <w:rPr>
          <w:rFonts w:hint="eastAsia" w:ascii="宋体" w:hAnsi="宋体" w:cs="宋体"/>
          <w:bCs/>
          <w:sz w:val="24"/>
          <w:highlight w:val="none"/>
        </w:rPr>
      </w:pPr>
      <w:r>
        <w:rPr>
          <w:rFonts w:hint="eastAsia" w:ascii="宋体" w:hAnsi="宋体" w:cs="宋体"/>
          <w:bCs/>
          <w:sz w:val="24"/>
          <w:highlight w:val="none"/>
        </w:rPr>
        <w:t>本理财计划拟投资市场可能面临的流动性风险如下：</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投资于权益类、其他类资产的可能流动性风险（如有）：权益类</w:t>
      </w:r>
      <w:r>
        <w:rPr>
          <w:rFonts w:hint="eastAsia" w:ascii="宋体" w:hAnsi="宋体" w:cs="宋体"/>
          <w:bCs/>
          <w:sz w:val="24"/>
          <w:highlight w:val="none"/>
          <w:lang w:val="en-US" w:eastAsia="zh-CN"/>
        </w:rPr>
        <w:t>、其他类</w:t>
      </w:r>
      <w:r>
        <w:rPr>
          <w:rFonts w:hint="eastAsia" w:ascii="宋体" w:hAnsi="宋体" w:cs="宋体"/>
          <w:bCs/>
          <w:sz w:val="24"/>
          <w:highlight w:val="none"/>
        </w:rPr>
        <w:t>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以上风险仅为列举性质，未能详尽列明拟投资市场和资产面临的全部流动性风险</w:t>
      </w:r>
      <w:r>
        <w:rPr>
          <w:rFonts w:ascii="宋体" w:hAnsi="宋体" w:cs="宋体"/>
          <w:bCs/>
          <w:sz w:val="24"/>
          <w:highlight w:val="none"/>
        </w:rPr>
        <w:t>可能导致投资者投资本金及收益损失</w:t>
      </w:r>
      <w:r>
        <w:rPr>
          <w:rFonts w:hint="eastAsia" w:ascii="宋体" w:hAnsi="宋体" w:cs="宋体"/>
          <w:bCs/>
          <w:sz w:val="24"/>
          <w:highlight w:val="none"/>
        </w:rPr>
        <w:t>或延期兑付</w:t>
      </w:r>
      <w:r>
        <w:rPr>
          <w:rFonts w:ascii="宋体" w:hAnsi="宋体" w:cs="宋体"/>
          <w:bCs/>
          <w:sz w:val="24"/>
          <w:highlight w:val="none"/>
        </w:rPr>
        <w:t>的所有因素</w:t>
      </w:r>
      <w:r>
        <w:rPr>
          <w:rFonts w:hint="eastAsia" w:ascii="宋体" w:hAnsi="宋体" w:cs="宋体"/>
          <w:bCs/>
          <w:sz w:val="24"/>
          <w:highlight w:val="none"/>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6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托管人名称</w:t>
            </w:r>
          </w:p>
        </w:tc>
        <w:tc>
          <w:tcPr>
            <w:tcW w:w="6553" w:type="dxa"/>
            <w:noWrap w:val="0"/>
            <w:vAlign w:val="top"/>
          </w:tcPr>
          <w:p>
            <w:pPr>
              <w:widowControl w:val="0"/>
              <w:spacing w:line="360" w:lineRule="auto"/>
              <w:jc w:val="left"/>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托管人住所</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托管人职责</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2"/>
        </w:numPr>
        <w:spacing w:line="360" w:lineRule="auto"/>
        <w:ind w:firstLine="482"/>
        <w:jc w:val="left"/>
        <w:outlineLvl w:val="2"/>
        <w:rPr>
          <w:rFonts w:hint="eastAsia" w:ascii="宋体" w:hAnsi="宋体" w:cs="宋体"/>
          <w:bCs/>
          <w:color w:val="000000"/>
          <w:sz w:val="24"/>
          <w:highlight w:val="none"/>
        </w:rPr>
      </w:pPr>
      <w:r>
        <w:rPr>
          <w:rFonts w:hint="eastAsia" w:ascii="宋体" w:hAnsi="宋体" w:cs="宋体"/>
          <w:b/>
          <w:sz w:val="24"/>
          <w:highlight w:val="none"/>
        </w:rPr>
        <w:t>销售机构</w:t>
      </w:r>
    </w:p>
    <w:tbl>
      <w:tblPr>
        <w:tblStyle w:val="8"/>
        <w:tblW w:w="8522" w:type="dxa"/>
        <w:tblInd w:w="0" w:type="dxa"/>
        <w:tblLayout w:type="fixed"/>
        <w:tblCellMar>
          <w:top w:w="0" w:type="dxa"/>
          <w:left w:w="108" w:type="dxa"/>
          <w:bottom w:w="0" w:type="dxa"/>
          <w:right w:w="108" w:type="dxa"/>
        </w:tblCellMar>
      </w:tblPr>
      <w:tblGrid>
        <w:gridCol w:w="675"/>
        <w:gridCol w:w="1701"/>
        <w:gridCol w:w="1105"/>
        <w:gridCol w:w="5041"/>
      </w:tblGrid>
      <w:tr>
        <w:tblPrEx>
          <w:tblLayout w:type="fixed"/>
          <w:tblCellMar>
            <w:top w:w="0" w:type="dxa"/>
            <w:left w:w="108" w:type="dxa"/>
            <w:bottom w:w="0" w:type="dxa"/>
            <w:right w:w="108" w:type="dxa"/>
          </w:tblCellMar>
        </w:tblPrEx>
        <w:trPr>
          <w:trHeight w:val="300" w:hRule="atLeast"/>
        </w:trPr>
        <w:tc>
          <w:tcPr>
            <w:tcW w:w="675"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销售机构信息</w:t>
            </w: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杭州银行股份有限公司</w:t>
            </w:r>
          </w:p>
        </w:tc>
        <w:tc>
          <w:tcPr>
            <w:tcW w:w="110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single" w:color="auto" w:sz="4" w:space="0"/>
              <w:left w:val="nil"/>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95398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苏州银行股份有限公司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江苏省苏州工业园区钟园路728号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96067</w:t>
            </w:r>
          </w:p>
        </w:tc>
      </w:tr>
      <w:tr>
        <w:tblPrEx>
          <w:tblLayout w:type="fixed"/>
          <w:tblCellMar>
            <w:top w:w="0" w:type="dxa"/>
            <w:left w:w="108" w:type="dxa"/>
            <w:bottom w:w="0" w:type="dxa"/>
            <w:right w:w="108" w:type="dxa"/>
          </w:tblCellMar>
        </w:tblPrEx>
        <w:trPr>
          <w:trHeight w:val="51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厦门银行股份有限公司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福建省厦门市思明区湖滨北路101号商业银行大厦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400-858-8888</w:t>
            </w:r>
          </w:p>
        </w:tc>
      </w:tr>
      <w:tr>
        <w:tblPrEx>
          <w:tblLayout w:type="fixed"/>
          <w:tblCellMar>
            <w:top w:w="0" w:type="dxa"/>
            <w:left w:w="108" w:type="dxa"/>
            <w:bottom w:w="0" w:type="dxa"/>
            <w:right w:w="108" w:type="dxa"/>
          </w:tblCellMar>
        </w:tblPrEx>
        <w:trPr>
          <w:trHeight w:val="30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中信银行股份有限公司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北京市朝阳区光华路10号院1号楼6-30层、32-42层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95558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齐鲁银行股份有限公司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山东省济南市历下区经十路10817号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400-609-6588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甘肃银行股份有限公司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甘肃省兰州市城关区东岗西路525—1号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4008696666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杭银理财有限责任公司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浙江省杭州市拱墅区庆春路38号金龙财富中心</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400-8950-999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绍兴银行股份有限公司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浙江省绍兴市越城区中兴南路1号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4000896528</w:t>
            </w:r>
          </w:p>
        </w:tc>
      </w:tr>
      <w:tr>
        <w:tblPrEx>
          <w:tblLayout w:type="fixed"/>
          <w:tblCellMar>
            <w:top w:w="0" w:type="dxa"/>
            <w:left w:w="108" w:type="dxa"/>
            <w:bottom w:w="0" w:type="dxa"/>
            <w:right w:w="108" w:type="dxa"/>
          </w:tblCellMar>
        </w:tblPrEx>
        <w:trPr>
          <w:trHeight w:val="72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浙江萧山农村商业银行股份有限公司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浙江省杭州市萧山区城厢街道人民路258号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4008896596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海南银行股份有限公司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海南省海口市龙华区海秀东路31号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0898-96566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秦皇岛银行股份有限公司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河北省秦皇岛市海港区河北大街西段560号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0335-96336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温州银行股份有限公司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浙江省温州市鹿城区会展路1316号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0577-96699</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中邮邮惠万家银行有限责任公司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上海市虹口区东大名路1080号25层、26层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95504</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大连农村商业银行股份有限公司</w:t>
            </w: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辽宁省大连经济技术开发区五彩城A区1栋-A1号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10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color w:val="000000"/>
                <w:kern w:val="0"/>
                <w:sz w:val="21"/>
                <w:szCs w:val="21"/>
                <w:highlight w:val="none"/>
                <w:u w:val="none"/>
                <w:lang w:val="en-US" w:eastAsia="zh-CN" w:bidi="ar"/>
              </w:rPr>
              <w:t>96689</w:t>
            </w:r>
          </w:p>
        </w:tc>
      </w:tr>
      <w:tr>
        <w:tblPrEx>
          <w:tblLayout w:type="fixed"/>
          <w:tblCellMar>
            <w:top w:w="0" w:type="dxa"/>
            <w:left w:w="108" w:type="dxa"/>
            <w:bottom w:w="0" w:type="dxa"/>
            <w:right w:w="108" w:type="dxa"/>
          </w:tblCellMar>
        </w:tblPrEx>
        <w:trPr>
          <w:trHeight w:val="29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吉林银行股份有限公司</w:t>
            </w: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经济开发区东南湖大路1817号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400-88-96666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福建海峡银行股份有限公司</w:t>
            </w: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福建省福州市台江区江滨中大道358号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400-893-9999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兰州银行股份有限公司</w:t>
            </w:r>
          </w:p>
        </w:tc>
        <w:tc>
          <w:tcPr>
            <w:tcW w:w="1105"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甘肃省兰州市酒泉路211号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400-88-96799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left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color w:val="000000"/>
                <w:kern w:val="0"/>
                <w:sz w:val="21"/>
                <w:szCs w:val="21"/>
                <w:highlight w:val="none"/>
                <w:lang w:val="en-US" w:eastAsia="zh-CN" w:bidi="ar"/>
              </w:rPr>
              <w:t>厦门农村商业银行股份有限公司</w:t>
            </w:r>
          </w:p>
        </w:tc>
        <w:tc>
          <w:tcPr>
            <w:tcW w:w="1105"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中国(福建)自由贸易试验区厦门片区东港北路31号(1层、17层、19层、27-28层、30-31层)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40083-96336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highlight w:val="none"/>
                <w:u w:val="none"/>
                <w:lang w:val="en-US" w:eastAsia="zh-CN" w:bidi="ar"/>
              </w:rPr>
              <w:t>汉口银行股份有限公司</w:t>
            </w: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湖北省武汉市江汉区建设大道933号武汉商业银行大厦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val="0"/>
              <w:jc w:val="center"/>
              <w:textAlignment w:val="center"/>
              <w:rPr>
                <w:rFonts w:hint="eastAsia" w:ascii="宋体" w:hAnsi="宋体" w:eastAsia="宋体" w:cs="宋体"/>
                <w:i w:val="0"/>
                <w:color w:val="000000"/>
                <w:kern w:val="0"/>
                <w:sz w:val="21"/>
                <w:szCs w:val="21"/>
                <w:highlight w:val="none"/>
                <w:u w:val="none"/>
                <w:lang w:val="en-US" w:eastAsia="zh-CN" w:bidi="ar"/>
              </w:rPr>
            </w:pPr>
          </w:p>
        </w:tc>
        <w:tc>
          <w:tcPr>
            <w:tcW w:w="110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5041"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400-609-6558</w:t>
            </w:r>
          </w:p>
        </w:tc>
      </w:tr>
      <w:tr>
        <w:tblPrEx>
          <w:tblLayout w:type="fixed"/>
          <w:tblCellMar>
            <w:top w:w="0" w:type="dxa"/>
            <w:left w:w="108" w:type="dxa"/>
            <w:bottom w:w="0" w:type="dxa"/>
            <w:right w:w="108" w:type="dxa"/>
          </w:tblCellMar>
        </w:tblPrEx>
        <w:trPr>
          <w:trHeight w:val="163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销售机构职责</w:t>
            </w:r>
          </w:p>
        </w:tc>
        <w:tc>
          <w:tcPr>
            <w:tcW w:w="7847"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主要负责理财计划推广、投资者风险承受能力评估、投资者适当性管理、理财计划份额认购、申购及赎回办理。</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后续如新增</w:t>
      </w:r>
      <w:r>
        <w:rPr>
          <w:rFonts w:hint="eastAsia" w:ascii="宋体" w:hAnsi="宋体" w:cs="宋体"/>
          <w:bCs/>
          <w:color w:val="000000"/>
          <w:sz w:val="24"/>
          <w:highlight w:val="none"/>
          <w:lang w:val="en-US" w:eastAsia="zh-CN"/>
        </w:rPr>
        <w:t>/减少销售机构或销售机构信息变更，请以管理人最新公告或官方网站展示为准</w:t>
      </w:r>
      <w:r>
        <w:rPr>
          <w:rFonts w:hint="eastAsia" w:ascii="宋体" w:hAnsi="宋体" w:cs="宋体"/>
          <w:bCs/>
          <w:color w:val="000000"/>
          <w:sz w:val="24"/>
          <w:highlight w:val="none"/>
        </w:rPr>
        <w:t>。</w:t>
      </w:r>
    </w:p>
    <w:p>
      <w:pPr>
        <w:spacing w:line="360" w:lineRule="auto"/>
        <w:ind w:firstLine="480" w:firstLineChars="200"/>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本理财计划估值日为每个工作日，定期由理财管理人和理财托管人核对估值结果并向投资者披露，具体日期以管理人公告为准。</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货币市场工具类资产</w:t>
      </w:r>
    </w:p>
    <w:p>
      <w:pPr>
        <w:pStyle w:val="14"/>
        <w:adjustRightInd/>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银行存款及回购，以本金列示，按商定利率在实际持有期间内逐日计提利息。</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债券及同业存单类资产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以收取合同现金流量为目的并持有到期的债券及同业存单类资产，按摊余成本法进行计量。其余债券及同业存单类资产，按市价法估值。市价法不能确定公允价值的，采用估值技术进行估值。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债权类资产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rPr>
        <w:t xml:space="preserve">    对于符合监管要求的债权类资产，按照摊余成本法进行计量。其余债权类资产，按市价法估值。市价法不能确定其公允价值的，采用估值技术进行估值。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股权类资产</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上市流通股票按估值日其所在证券交易所的收盘价估值；估值日无交易，且最近交易日后未发生影响公允价值计量的重大事件的，以最近交易日的收盘价估值。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未上市股票的估值：</w:t>
      </w:r>
    </w:p>
    <w:p>
      <w:pPr>
        <w:spacing w:line="360" w:lineRule="auto"/>
        <w:rPr>
          <w:rFonts w:hint="eastAsia" w:ascii="宋体" w:hAnsi="宋体"/>
          <w:sz w:val="24"/>
          <w:highlight w:val="none"/>
        </w:rPr>
      </w:pPr>
      <w:r>
        <w:rPr>
          <w:rFonts w:hint="eastAsia" w:ascii="宋体" w:hAnsi="宋体" w:cs="宋体"/>
          <w:bCs/>
          <w:color w:val="000000"/>
          <w:sz w:val="24"/>
          <w:highlight w:val="none"/>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2）首次公开发行有明确锁定期的股票，同一股票在交易所上市后，按交易所上市的同一股票的市价估值；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3）首次发行未上市的股票，按发行价格进行估值；</w:t>
      </w:r>
    </w:p>
    <w:p>
      <w:pPr>
        <w:spacing w:line="360" w:lineRule="auto"/>
        <w:rPr>
          <w:rFonts w:hint="eastAsia" w:ascii="宋体" w:hAnsi="宋体"/>
          <w:sz w:val="24"/>
          <w:highlight w:val="none"/>
        </w:rPr>
      </w:pPr>
      <w:r>
        <w:rPr>
          <w:rFonts w:hint="eastAsia" w:ascii="宋体" w:hAnsi="宋体"/>
          <w:sz w:val="24"/>
          <w:highlight w:val="none"/>
        </w:rPr>
        <w:t xml:space="preserve">      4）因持有股票而享有的配股权，采用估值技术确定公允价值。</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非上市股权的估值：</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基金、资产管理计划类资产</w:t>
      </w:r>
    </w:p>
    <w:p>
      <w:p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4"/>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4"/>
        <w:spacing w:line="360" w:lineRule="auto"/>
        <w:ind w:firstLine="480" w:firstLineChars="200"/>
        <w:rPr>
          <w:rFonts w:hint="eastAsia" w:ascii="宋体" w:hAnsi="宋体" w:cs="宋体"/>
          <w:bCs/>
          <w:highlight w:val="none"/>
        </w:rPr>
      </w:pPr>
      <w:r>
        <w:rPr>
          <w:rFonts w:hint="eastAsia" w:ascii="宋体" w:hAnsi="宋体" w:cs="宋体"/>
          <w:bCs/>
          <w:kern w:val="2"/>
          <w:highlight w:val="none"/>
        </w:rPr>
        <w:t>以</w:t>
      </w:r>
      <w:r>
        <w:rPr>
          <w:rFonts w:hint="eastAsia" w:ascii="宋体" w:hAnsi="宋体" w:cs="宋体"/>
          <w:bCs/>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1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理财计划投资所涉及的交易市场遇法定节假日或因其他原因暂停营业时暂停估值，该种情况理财计划估值日期提前到上一交易日。</w:t>
      </w:r>
    </w:p>
    <w:p>
      <w:pPr>
        <w:numPr>
          <w:ilvl w:val="0"/>
          <w:numId w:val="2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本理财计划涉及费用包括销售服务费、托管费、固定管理费、认购费、浮动管理费以及理财计划运作和清算中产生的其他费用等。</w:t>
      </w:r>
    </w:p>
    <w:p>
      <w:pPr>
        <w:numPr>
          <w:ilvl w:val="0"/>
          <w:numId w:val="27"/>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销售服务费</w:t>
      </w:r>
    </w:p>
    <w:p>
      <w:pPr>
        <w:spacing w:line="360" w:lineRule="auto"/>
        <w:ind w:firstLine="420" w:firstLineChars="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理财计划财产分为每日计提销售服务费的〖A份额〗、〖B份额〗、〖C份额〗、〖D份额〗、〖E份额〗、〖F份额〗、〖G份额〗、〖H份额〗、〖I份额〗、〖J份额〗、〖K份额〗、〖O份额〗、〖P份额〗、〖V份额〗、〖X份额〗和销售服务费于产品成立日一次性收取的〖N份额〗、〖Q份额〗、〖R份额〗、〖S份额〗、〖U份额〗、〖W份额〗、〖Y份额〗、〖Z份额〗。A份额的年化销售服务费率为〖0.30%〗, B份额的年化销售服务费率为〖0.20%〗, C份额的年化销售服务费率为〖0.10%〗, D份额的年化销售服务费率为〖0.15%〗, E份额的年化销售服务费率为〖0.40%〗, F份额的年化销售服务费率为〖0.15%〗, G份额的年化销售服务费率为〖0.05%〗, H份额的年化销售服务费率为〖0.20%〗, I份额的年化销售服务费率为〖0.30%〗, J份额的年化销售服务费率为〖0.05%〗, K份额的年化销售服务费率为〖0.30%〗, N份额的年化销售服务费率为〖0.20%〗, O份额的年化销售服务费率为〖0.20%〗, P份额的年化销售服务费率为〖0.15%〗, Q份额的年化销售服务费率为〖0.10%〗, R份额的年化销售服务费率为〖0.15%〗, S份额的年化销售服务费率为〖0.15%〗, U份额的年化销售服务费率为〖0.20%〗, V份额的年化销售服务费率为〖0.10%〗, W份额的年化销售服务费率为〖0.30%〗, X份额的年化销售服务费率为〖0.05%〗, Y份额的年化销售服务费率为〖0.20%〗, Z份额的年化销售服务费率为〖0.10%〗。两种计算方法如下：</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（1）销售费按日计提</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H1＝E1×〖0.30%〗÷365</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H1为〖A份额〗每日应计提的销售服务费</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E1为〖A份额〗前一日资产净值</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销售服务费原则上按日计提。</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（2）销售费一次性收取</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H2＝E2×〖0.20%〗×P÷365</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H2为〖N份额〗应计提的销售服务费</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E2为〖N份额〗成立日产品份额</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P为产品投资期限天数</w:t>
      </w:r>
      <w:r>
        <w:rPr>
          <w:rFonts w:hint="eastAsia" w:ascii="宋体" w:hAnsi="宋体" w:cs="宋体"/>
          <w:bCs/>
          <w:color w:val="000000"/>
          <w:sz w:val="24"/>
          <w:highlight w:val="none"/>
          <w:lang w:val="en-US" w:eastAsia="zh-CN"/>
        </w:rPr>
        <w:br w:type="textWrapping"/>
      </w:r>
      <w:r>
        <w:rPr>
          <w:rFonts w:hint="eastAsia" w:ascii="宋体" w:hAnsi="宋体" w:cs="宋体"/>
          <w:bCs/>
          <w:color w:val="000000"/>
          <w:sz w:val="24"/>
          <w:highlight w:val="none"/>
          <w:lang w:val="en-US" w:eastAsia="zh-CN"/>
        </w:rPr>
        <w:t xml:space="preserve">    销售服务费于产品成立日一次性收取，每日摊销。</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bCs/>
          <w:color w:val="000000"/>
          <w:sz w:val="24"/>
          <w:highlight w:val="none"/>
          <w:lang w:val="en-US" w:eastAsia="zh-CN"/>
        </w:rPr>
        <w:t>0.025</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bCs/>
          <w:color w:val="000000"/>
          <w:sz w:val="24"/>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理财计划财产A份额的年化固定管理费率为〖0.05%〗, B份额的年化固定管理费率为〖0.05%〗, C份额的年化固定管理费率为〖0.05%〗, D份额的年化固定管理费率为〖0.05%〗, E份额的年化固定管理费率为〖0.10%〗, F份额的年化固定管理费率为〖0.05%〗, G份额的年化固定管理费率为〖0.05%〗, H份额的年化固定管理费率为〖0.05%〗, I份额的年化固定管理费率为〖0.05%〗, J份额的年化固定管理费率为〖0.05%〗, K份额的年化固定管理费率为〖0.05%〗, N份额的年化固定管理费率为〖0.05%〗, O份额的年化固定管理费率为〖0.05%〗, P份额的年化固定管理费率为〖0.05%〗, Q份额的年化固定管理费率为〖0.05%〗, R份额的年化固定管理费率为〖0.05%〗, S份额的年化固定管理费率为〖0.04%〗, U份额的年化固定管理费率为〖0.05%〗, V份额的年化固定管理费率为〖0.05%〗, W份额的年化固定管理费率为〖0.05%〗, X份额的年化固定管理费率为〖0.05%〗, Y份额的年化固定管理费率为〖0.05%〗, Z份额的年化固定管理费率为〖0.05%〗, 以〖A份额〗为例，计算方法如下：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H＝E×〖0.05%</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sz w:val="24"/>
          <w:highlight w:val="none"/>
          <w:lang w:val="en-US" w:eastAsia="zh-CN"/>
        </w:rPr>
        <w:t>A</w:t>
      </w:r>
      <w:r>
        <w:rPr>
          <w:rFonts w:hint="eastAsia" w:ascii="宋体" w:hAnsi="宋体" w:cs="宋体"/>
          <w:bCs/>
          <w:color w:val="000000"/>
          <w:sz w:val="24"/>
          <w:highlight w:val="none"/>
        </w:rPr>
        <w:t>份额每日应计提的固定管理费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sz w:val="24"/>
          <w:highlight w:val="none"/>
          <w:lang w:val="en-US" w:eastAsia="zh-CN"/>
        </w:rPr>
        <w:t>A</w:t>
      </w:r>
      <w:r>
        <w:rPr>
          <w:rFonts w:hint="eastAsia" w:ascii="宋体" w:hAnsi="宋体" w:cs="宋体"/>
          <w:bCs/>
          <w:color w:val="000000"/>
          <w:sz w:val="24"/>
          <w:highlight w:val="none"/>
        </w:rPr>
        <w:t>份额前一日资产净值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固定管理费原则上按日计提，如理财计划实际运作结果不达业绩比较基准下限时，管理人有权减免固定管理费。</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理财管理人根据理财计划投资情况计算浮动管理费，浮动管理费原则上按估值日计提，到期收取。以〖A份额〗为例，具体计算方法如下：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（1）若本理财计划到期日（提前终止日）的折合年化收益率超过业绩比较基准下限但未达到业绩比较基准上限，则超过业绩比较基准下限的部分管理人收取〖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（2）若本理财计划到期日（提前终止日）的折合年化收益率超过业绩比较基准上限，则〖业绩比较基准下限(含)至上限(含)〗的部分管理人收取〖</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%〗作为浮动管理费，超过〖业绩比较基准上限〗的部分管理人收取〖</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eastAsia="宋体" w:cs="宋体"/>
          <w:b w:val="0"/>
          <w:bCs/>
          <w:color w:val="000000"/>
          <w:kern w:val="2"/>
          <w:sz w:val="24"/>
          <w:szCs w:val="24"/>
          <w:highlight w:val="none"/>
          <w:lang w:val="en-US" w:eastAsia="zh-CN" w:bidi="ar-SA"/>
        </w:rPr>
        <w:t>80</w:t>
      </w:r>
      <w:r>
        <w:rPr>
          <w:rFonts w:hint="eastAsia" w:ascii="宋体" w:hAnsi="宋体" w:cs="宋体"/>
          <w:bCs/>
          <w:color w:val="000000"/>
          <w:sz w:val="24"/>
          <w:highlight w:val="none"/>
        </w:rPr>
        <w:t>%〗+(R-S)×〖</w:t>
      </w:r>
      <w:r>
        <w:rPr>
          <w:rFonts w:hint="eastAsia" w:ascii="宋体" w:hAnsi="宋体" w:eastAsia="宋体" w:cs="宋体"/>
          <w:b w:val="0"/>
          <w:bCs/>
          <w:color w:val="000000"/>
          <w:kern w:val="2"/>
          <w:sz w:val="24"/>
          <w:szCs w:val="24"/>
          <w:highlight w:val="none"/>
          <w:lang w:val="en-US" w:eastAsia="zh-CN" w:bidi="ar-SA"/>
        </w:rPr>
        <w:t>50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H为理财计划到期（提前终止）时应收取浮动管理费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E为投资者持有份额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K为收取浮动管理费前投资者持有份额对应持有区间折合年化收益率</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NAV0为理财计划成立日之初的单位净值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NAV1为理财计划到期日未扣除浮动管理费前的单位净值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S为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业绩比较基准下限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T为理财计划运作期间每单位份额的实际分红金额合计（如有）</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1"/>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1"/>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1"/>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numPr>
          <w:ilvl w:val="0"/>
          <w:numId w:val="0"/>
        </w:numPr>
        <w:spacing w:line="360" w:lineRule="auto"/>
        <w:ind w:left="420" w:firstLine="0"/>
        <w:jc w:val="left"/>
        <w:outlineLvl w:val="2"/>
        <w:rPr>
          <w:rFonts w:hint="eastAsia" w:ascii="宋体" w:hAnsi="宋体" w:cs="宋体"/>
          <w:b/>
          <w:sz w:val="24"/>
          <w:highlight w:val="none"/>
        </w:rPr>
      </w:pPr>
      <w:r>
        <w:rPr>
          <w:rFonts w:hint="eastAsia" w:ascii="宋体" w:hAnsi="宋体" w:cs="宋体"/>
          <w:bCs/>
          <w:color w:val="000000"/>
          <w:sz w:val="24"/>
          <w:highlight w:val="none"/>
        </w:rPr>
        <w:t>以下示例均为假设情况，不构成业绩预测，不代表本理财计划实际投资业绩。</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到期时扣除托管费、固定管理费、销售服务费（如有）后，如理财计划未扣除浮动管理费前的净值为1.0615，此时，(1.0615÷1.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00-1)×365÷362=6.20%&gt;5.00%，即</w:t>
      </w:r>
      <w:r>
        <w:rPr>
          <w:rFonts w:hint="eastAsia" w:ascii="宋体" w:hAnsi="宋体" w:cs="宋体"/>
          <w:bCs/>
          <w:color w:val="000000"/>
          <w:sz w:val="24"/>
          <w:highlight w:val="none"/>
          <w:lang w:val="en-US" w:eastAsia="zh-CN"/>
        </w:rPr>
        <w:t>在</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4.00%-5.00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投资收益</w:t>
      </w:r>
      <w:r>
        <w:rPr>
          <w:rFonts w:hint="eastAsia" w:ascii="宋体" w:hAnsi="宋体" w:cs="宋体"/>
          <w:bCs/>
          <w:color w:val="000000"/>
          <w:sz w:val="24"/>
          <w:highlight w:val="none"/>
          <w:lang w:val="en-US" w:eastAsia="zh-CN"/>
        </w:rPr>
        <w:t>管理人收取80%作为浮动管理费，</w:t>
      </w:r>
      <w:r>
        <w:rPr>
          <w:rFonts w:hint="eastAsia" w:ascii="宋体" w:hAnsi="宋体" w:cs="宋体"/>
          <w:bCs/>
          <w:color w:val="000000"/>
          <w:sz w:val="24"/>
          <w:highlight w:val="none"/>
        </w:rPr>
        <w:t>超过〖5.00%〗</w:t>
      </w:r>
      <w:r>
        <w:rPr>
          <w:rFonts w:hint="eastAsia" w:ascii="宋体" w:hAnsi="宋体" w:cs="宋体"/>
          <w:bCs/>
          <w:color w:val="000000"/>
          <w:sz w:val="24"/>
          <w:highlight w:val="none"/>
          <w:lang w:val="en-US" w:eastAsia="zh-CN"/>
        </w:rPr>
        <w:t>部分的</w:t>
      </w:r>
      <w:r>
        <w:rPr>
          <w:rFonts w:hint="eastAsia" w:ascii="宋体" w:hAnsi="宋体" w:cs="宋体"/>
          <w:bCs/>
          <w:color w:val="000000"/>
          <w:sz w:val="24"/>
          <w:highlight w:val="none"/>
        </w:rPr>
        <w:t>投资</w:t>
      </w:r>
      <w:r>
        <w:rPr>
          <w:rFonts w:hint="eastAsia" w:ascii="宋体" w:hAnsi="宋体" w:cs="宋体"/>
          <w:bCs/>
          <w:color w:val="000000"/>
          <w:sz w:val="24"/>
          <w:highlight w:val="none"/>
          <w:lang w:val="en-US" w:eastAsia="zh-CN"/>
        </w:rPr>
        <w:t>收益管理人收取100%作为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1.0615÷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100</w:t>
      </w:r>
      <w:r>
        <w:rPr>
          <w:rFonts w:hint="eastAsia" w:ascii="宋体" w:hAnsi="宋体" w:cs="宋体"/>
          <w:bCs/>
          <w:color w:val="000000"/>
          <w:sz w:val="24"/>
          <w:highlight w:val="none"/>
        </w:rPr>
        <w:t>%+(5</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%-4</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%)×80%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×362÷365=</w:t>
      </w:r>
      <w:r>
        <w:rPr>
          <w:rFonts w:hint="eastAsia" w:ascii="宋体" w:hAnsi="宋体" w:cs="宋体"/>
          <w:bCs/>
          <w:color w:val="000000"/>
          <w:sz w:val="24"/>
          <w:highlight w:val="none"/>
          <w:lang w:val="en-US" w:eastAsia="zh-CN"/>
        </w:rPr>
        <w:t>1,984.52</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0,000.00×（1.0615-1.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00）-1,984.52= 4,165.48（元）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w:t>
      </w:r>
      <w:r>
        <w:rPr>
          <w:rFonts w:hint="eastAsia" w:ascii="宋体" w:hAnsi="宋体" w:cs="宋体"/>
          <w:b/>
          <w:color w:val="000000"/>
          <w:sz w:val="24"/>
          <w:highlight w:val="none"/>
          <w:lang w:val="en-US" w:eastAsia="zh-CN"/>
        </w:rPr>
        <w:t>业绩比较基准下限</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但未达到业绩比较基准上限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eastAsia="宋体" w:cs="宋体"/>
          <w:bCs/>
          <w:color w:val="000000"/>
          <w:sz w:val="24"/>
          <w:highlight w:val="none"/>
          <w:lang w:val="en-US" w:eastAsia="zh-CN"/>
        </w:rPr>
      </w:pPr>
      <w:r>
        <w:rPr>
          <w:rFonts w:hint="eastAsia" w:ascii="宋体" w:hAnsi="宋体" w:cs="宋体"/>
          <w:bCs/>
          <w:color w:val="000000"/>
          <w:sz w:val="24"/>
          <w:highlight w:val="none"/>
        </w:rPr>
        <w:t>以某投资者投资10万元为例，假设购买时理财计划净值为1.0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val="en-US" w:eastAsia="zh-CN"/>
        </w:rPr>
        <w:t>如</w:t>
      </w:r>
      <w:r>
        <w:rPr>
          <w:rFonts w:hint="eastAsia" w:ascii="宋体" w:hAnsi="宋体" w:cs="宋体"/>
          <w:bCs/>
          <w:color w:val="000000"/>
          <w:sz w:val="24"/>
          <w:highlight w:val="none"/>
        </w:rPr>
        <w:t>理财计划未扣除浮动管理费前的净值为1.0415，此时，(1.0</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00-1)×365÷362=4.18%，即投资收益超过〖4.00%〗</w:t>
      </w:r>
      <w:r>
        <w:rPr>
          <w:rFonts w:hint="eastAsia" w:ascii="宋体" w:hAnsi="宋体" w:cs="宋体"/>
          <w:bCs/>
          <w:color w:val="000000"/>
          <w:sz w:val="24"/>
          <w:highlight w:val="none"/>
          <w:lang w:val="en-US" w:eastAsia="zh-CN"/>
        </w:rPr>
        <w:t>但未达到</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.00%〗，则超过〖4.00%〗部分</w:t>
      </w:r>
      <w:r>
        <w:rPr>
          <w:rFonts w:hint="eastAsia" w:ascii="宋体" w:hAnsi="宋体" w:cs="宋体"/>
          <w:bCs/>
          <w:color w:val="000000"/>
          <w:sz w:val="24"/>
          <w:highlight w:val="none"/>
          <w:lang w:val="en-US" w:eastAsia="zh-CN"/>
        </w:rPr>
        <w:t>的</w:t>
      </w:r>
      <w:r>
        <w:rPr>
          <w:rFonts w:hint="eastAsia" w:ascii="宋体" w:hAnsi="宋体" w:cs="宋体"/>
          <w:bCs/>
          <w:color w:val="000000"/>
          <w:sz w:val="24"/>
          <w:highlight w:val="none"/>
        </w:rPr>
        <w:t>投资收益管理人收取</w:t>
      </w:r>
      <w:r>
        <w:rPr>
          <w:rFonts w:hint="eastAsia" w:ascii="宋体" w:hAnsi="宋体" w:cs="宋体"/>
          <w:bCs/>
          <w:color w:val="000000"/>
          <w:sz w:val="24"/>
          <w:highlight w:val="none"/>
          <w:lang w:val="en-US" w:eastAsia="zh-CN"/>
        </w:rPr>
        <w:t>80%作为</w:t>
      </w:r>
      <w:r>
        <w:rPr>
          <w:rFonts w:hint="eastAsia" w:ascii="宋体" w:hAnsi="宋体" w:cs="宋体"/>
          <w:bCs/>
          <w:color w:val="000000"/>
          <w:sz w:val="24"/>
          <w:highlight w:val="none"/>
        </w:rPr>
        <w:t>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1.0415÷</w:t>
      </w:r>
      <w:r>
        <w:rPr>
          <w:rFonts w:hint="eastAsia" w:ascii="宋体" w:hAnsi="宋体" w:cs="宋体"/>
          <w:bCs/>
          <w:color w:val="000000"/>
          <w:sz w:val="24"/>
          <w:highlight w:val="none"/>
          <w:lang w:val="en-US" w:eastAsia="zh-CN"/>
        </w:rPr>
        <w:t>1.0000-1)</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362-4.00%]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80%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w:t>
      </w:r>
      <w:r>
        <w:rPr>
          <w:rFonts w:hint="eastAsia" w:ascii="宋体" w:hAnsi="宋体" w:cs="宋体"/>
          <w:bCs/>
          <w:color w:val="000000"/>
          <w:sz w:val="24"/>
          <w:highlight w:val="none"/>
        </w:rPr>
        <w:t>÷365=146.30（元）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100,000.00×（1.0415-1.</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00）-146.30 =4</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003.70（元）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三</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扣除托管费、固定管理费、销售服务费（如有）后，投资收益率未达到〖</w:t>
      </w:r>
      <w:r>
        <w:rPr>
          <w:rFonts w:hint="eastAsia" w:ascii="宋体" w:hAnsi="宋体" w:cs="宋体"/>
          <w:b/>
          <w:color w:val="000000"/>
          <w:sz w:val="24"/>
          <w:highlight w:val="none"/>
          <w:lang w:val="en-US" w:eastAsia="zh-CN"/>
        </w:rPr>
        <w:t>业绩比较基准下限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到期时扣除托管费、固定管理费、销售服务费（如有）后，如理财计划未扣除浮动管理费前的净值为1.0362，此时，(1.0362÷1.00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-1)×365÷362=3.65%&lt;</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.00%，即投资收益未达到〖4.00%〗，则投资管理人不收取浮动管理费，投资者最终收益为：100,000.00×(1.0365-1.00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）=3,650.00（元）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val="en-US" w:eastAsia="zh-CN"/>
        </w:rPr>
        <w:t>四</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扣除托管费、固定管理费、销售服务费（如有）后，投资发生亏损。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以某投资者投资10万元为例，假设购买时理财计划净值为1.00元，折算份额为100,000.00份，假设份额成立日（含）至估值日（含）的区间天数为362天,</w:t>
      </w:r>
      <w:r>
        <w:rPr>
          <w:rFonts w:hint="eastAsia" w:ascii="宋体" w:hAnsi="宋体" w:cs="宋体"/>
          <w:bCs/>
          <w:color w:val="000000"/>
          <w:sz w:val="24"/>
          <w:highlight w:val="none"/>
          <w:lang w:val="en-US" w:eastAsia="zh-CN"/>
        </w:rPr>
        <w:t>业绩比较基准为4.00%-5.00%</w:t>
      </w:r>
      <w:r>
        <w:rPr>
          <w:rFonts w:hint="eastAsia" w:ascii="宋体" w:hAnsi="宋体" w:cs="宋体"/>
          <w:bCs/>
          <w:color w:val="000000"/>
          <w:sz w:val="24"/>
          <w:highlight w:val="none"/>
        </w:rPr>
        <w:t>。假设</w:t>
      </w:r>
      <w:r>
        <w:rPr>
          <w:rFonts w:hint="eastAsia" w:ascii="宋体" w:hAnsi="宋体" w:cs="宋体"/>
          <w:bCs/>
          <w:color w:val="000000"/>
          <w:sz w:val="24"/>
          <w:highlight w:val="none"/>
          <w:lang w:val="en-US" w:eastAsia="zh-CN"/>
        </w:rPr>
        <w:t>理财产品</w:t>
      </w:r>
      <w:r>
        <w:rPr>
          <w:rFonts w:hint="eastAsia" w:ascii="宋体" w:hAnsi="宋体" w:cs="宋体"/>
          <w:bCs/>
          <w:color w:val="000000"/>
          <w:sz w:val="24"/>
          <w:highlight w:val="none"/>
        </w:rPr>
        <w:t>到期时扣除托管费、固定管理费、销售服务费（如有）后，如理财计划未扣除浮动管理费前的净值为0.9975，则投资管理人不收取浮动管理费，投资者最终收益为：100,000.00×（0.9975-1.00</w:t>
      </w:r>
      <w:r>
        <w:rPr>
          <w:rFonts w:hint="eastAsia" w:ascii="宋体" w:hAnsi="宋体" w:cs="宋体"/>
          <w:bCs/>
          <w:color w:val="000000"/>
          <w:sz w:val="24"/>
          <w:highlight w:val="none"/>
          <w:lang w:val="en-US" w:eastAsia="zh-CN"/>
        </w:rPr>
        <w:t>00</w:t>
      </w:r>
      <w:r>
        <w:rPr>
          <w:rFonts w:hint="eastAsia" w:ascii="宋体" w:hAnsi="宋体" w:cs="宋体"/>
          <w:bCs/>
          <w:color w:val="000000"/>
          <w:sz w:val="24"/>
          <w:highlight w:val="none"/>
        </w:rPr>
        <w:t>）=-250.00（元）。</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6"/>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1〗个工作日、最晚〖3〗个工作日内（遇节假日顺延）将资金按规定的要求划入投资者授权指定的理财账户。（具体以销售机构规定为准）</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highlight w:val="none"/>
        </w:rPr>
        <w:t>〖</w:t>
      </w:r>
      <w:r>
        <w:rPr>
          <w:rFonts w:hint="eastAsia" w:ascii="宋体" w:hAnsi="宋体" w:cs="宋体"/>
          <w:bCs/>
          <w:sz w:val="24"/>
          <w:highlight w:val="none"/>
        </w:rPr>
        <w:t>2</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highlight w:val="none"/>
        </w:rPr>
        <w:t>〖</w:t>
      </w:r>
      <w:r>
        <w:rPr>
          <w:rFonts w:hint="eastAsia" w:ascii="宋体" w:hAnsi="宋体" w:cs="宋体"/>
          <w:sz w:val="24"/>
          <w:szCs w:val="24"/>
          <w:highlight w:val="none"/>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如发生以下事项时，管理人可对本理财计划行使全部或部分提前终止权：</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融资人行使提前到期或还款权利的。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4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发行公告：管理人应在理财计划成立日后3个工作日内披露，包括成立日期、募集规模等信息。</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p>
    <w:p>
      <w:pPr>
        <w:numPr>
          <w:ilvl w:val="0"/>
          <w:numId w:val="0"/>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如本理财计划成立不足90个工作日或剩余存续期不超过90个工作日的，管理人可不编制当期的季度、半年和年度报告等运行报告。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4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3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4"/>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授权使用时限与履行相关法律法规和监管要求的必要时限一致。</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被告人所在地有管辖权的人民法院诉讼解决。</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2">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3">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4">
    <w:nsid w:val="F574F5B6"/>
    <w:multiLevelType w:val="singleLevel"/>
    <w:tmpl w:val="F574F5B6"/>
    <w:lvl w:ilvl="0" w:tentative="0">
      <w:start w:val="1"/>
      <w:numFmt w:val="decimal"/>
      <w:suff w:val="nothing"/>
      <w:lvlText w:val="（%1）"/>
      <w:lvlJc w:val="left"/>
    </w:lvl>
  </w:abstractNum>
  <w:abstractNum w:abstractNumId="25">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2F21FDB"/>
    <w:multiLevelType w:val="multilevel"/>
    <w:tmpl w:val="62F21FD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5"/>
  </w:num>
  <w:num w:numId="4">
    <w:abstractNumId w:val="23"/>
  </w:num>
  <w:num w:numId="5">
    <w:abstractNumId w:val="28"/>
  </w:num>
  <w:num w:numId="6">
    <w:abstractNumId w:val="22"/>
  </w:num>
  <w:num w:numId="7">
    <w:abstractNumId w:val="17"/>
  </w:num>
  <w:num w:numId="8">
    <w:abstractNumId w:val="10"/>
  </w:num>
  <w:num w:numId="9">
    <w:abstractNumId w:val="14"/>
  </w:num>
  <w:num w:numId="10">
    <w:abstractNumId w:val="7"/>
  </w:num>
  <w:num w:numId="11">
    <w:abstractNumId w:val="8"/>
  </w:num>
  <w:num w:numId="12">
    <w:abstractNumId w:val="6"/>
  </w:num>
  <w:num w:numId="13">
    <w:abstractNumId w:val="27"/>
  </w:num>
  <w:num w:numId="14">
    <w:abstractNumId w:val="42"/>
  </w:num>
  <w:num w:numId="15">
    <w:abstractNumId w:val="4"/>
  </w:num>
  <w:num w:numId="16">
    <w:abstractNumId w:val="0"/>
  </w:num>
  <w:num w:numId="17">
    <w:abstractNumId w:val="35"/>
  </w:num>
  <w:num w:numId="18">
    <w:abstractNumId w:val="24"/>
  </w:num>
  <w:num w:numId="19">
    <w:abstractNumId w:val="16"/>
  </w:num>
  <w:num w:numId="20">
    <w:abstractNumId w:val="32"/>
  </w:num>
  <w:num w:numId="21">
    <w:abstractNumId w:val="18"/>
  </w:num>
  <w:num w:numId="22">
    <w:abstractNumId w:val="5"/>
  </w:num>
  <w:num w:numId="23">
    <w:abstractNumId w:val="38"/>
  </w:num>
  <w:num w:numId="24">
    <w:abstractNumId w:val="3"/>
  </w:num>
  <w:num w:numId="25">
    <w:abstractNumId w:val="41"/>
  </w:num>
  <w:num w:numId="26">
    <w:abstractNumId w:val="31"/>
  </w:num>
  <w:num w:numId="27">
    <w:abstractNumId w:val="43"/>
  </w:num>
  <w:num w:numId="28">
    <w:abstractNumId w:val="26"/>
  </w:num>
  <w:num w:numId="29">
    <w:abstractNumId w:val="20"/>
  </w:num>
  <w:num w:numId="30">
    <w:abstractNumId w:val="34"/>
  </w:num>
  <w:num w:numId="31">
    <w:abstractNumId w:val="1"/>
  </w:num>
  <w:num w:numId="32">
    <w:abstractNumId w:val="21"/>
  </w:num>
  <w:num w:numId="33">
    <w:abstractNumId w:val="13"/>
  </w:num>
  <w:num w:numId="34">
    <w:abstractNumId w:val="37"/>
  </w:num>
  <w:num w:numId="35">
    <w:abstractNumId w:val="29"/>
  </w:num>
  <w:num w:numId="36">
    <w:abstractNumId w:val="15"/>
  </w:num>
  <w:num w:numId="37">
    <w:abstractNumId w:val="40"/>
  </w:num>
  <w:num w:numId="38">
    <w:abstractNumId w:val="11"/>
  </w:num>
  <w:num w:numId="39">
    <w:abstractNumId w:val="9"/>
  </w:num>
  <w:num w:numId="40">
    <w:abstractNumId w:val="12"/>
  </w:num>
  <w:num w:numId="41">
    <w:abstractNumId w:val="30"/>
  </w:num>
  <w:num w:numId="42">
    <w:abstractNumId w:val="19"/>
  </w:num>
  <w:num w:numId="43">
    <w:abstractNumId w:val="2"/>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460442C"/>
    <w:rsid w:val="04CC55AF"/>
    <w:rsid w:val="0500018B"/>
    <w:rsid w:val="05B13762"/>
    <w:rsid w:val="07376664"/>
    <w:rsid w:val="09130B13"/>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5FFB4E2"/>
    <w:rsid w:val="162A128A"/>
    <w:rsid w:val="16317ED3"/>
    <w:rsid w:val="16563388"/>
    <w:rsid w:val="17432384"/>
    <w:rsid w:val="17611875"/>
    <w:rsid w:val="1783542D"/>
    <w:rsid w:val="179972B0"/>
    <w:rsid w:val="17C82AD1"/>
    <w:rsid w:val="18FC27C6"/>
    <w:rsid w:val="1A835642"/>
    <w:rsid w:val="1B4B1291"/>
    <w:rsid w:val="1B757EAF"/>
    <w:rsid w:val="1CAD01AC"/>
    <w:rsid w:val="1D4F0AE0"/>
    <w:rsid w:val="1D866C77"/>
    <w:rsid w:val="1D9446FE"/>
    <w:rsid w:val="1DFF113E"/>
    <w:rsid w:val="1E831DF3"/>
    <w:rsid w:val="1E856DEB"/>
    <w:rsid w:val="1F3C1565"/>
    <w:rsid w:val="20BD2325"/>
    <w:rsid w:val="24A67BC4"/>
    <w:rsid w:val="251A3318"/>
    <w:rsid w:val="25801A05"/>
    <w:rsid w:val="27CE3874"/>
    <w:rsid w:val="27EB3D24"/>
    <w:rsid w:val="28B13D99"/>
    <w:rsid w:val="29416969"/>
    <w:rsid w:val="2A4135AD"/>
    <w:rsid w:val="2A584C16"/>
    <w:rsid w:val="2AD52CEA"/>
    <w:rsid w:val="2B683C5D"/>
    <w:rsid w:val="2B8255D3"/>
    <w:rsid w:val="2CED7384"/>
    <w:rsid w:val="2D0C28EF"/>
    <w:rsid w:val="2D131CD0"/>
    <w:rsid w:val="2DD45D89"/>
    <w:rsid w:val="2F74749A"/>
    <w:rsid w:val="2FAF18BB"/>
    <w:rsid w:val="2FAF3215"/>
    <w:rsid w:val="307B1E47"/>
    <w:rsid w:val="32FF4CC1"/>
    <w:rsid w:val="33C67AA9"/>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0570634"/>
    <w:rsid w:val="41487A0A"/>
    <w:rsid w:val="42342BAA"/>
    <w:rsid w:val="425B6A60"/>
    <w:rsid w:val="426E7500"/>
    <w:rsid w:val="43685ADB"/>
    <w:rsid w:val="44045C03"/>
    <w:rsid w:val="446A4F91"/>
    <w:rsid w:val="46DB254E"/>
    <w:rsid w:val="478A2A1D"/>
    <w:rsid w:val="47C36E36"/>
    <w:rsid w:val="47FFEEA7"/>
    <w:rsid w:val="48A3615E"/>
    <w:rsid w:val="48B73C2B"/>
    <w:rsid w:val="48E00B0C"/>
    <w:rsid w:val="49CB5098"/>
    <w:rsid w:val="4B7B050C"/>
    <w:rsid w:val="4B954EA0"/>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7C8521F"/>
    <w:rsid w:val="5851778C"/>
    <w:rsid w:val="58A020D2"/>
    <w:rsid w:val="5A5F3178"/>
    <w:rsid w:val="5A6368AB"/>
    <w:rsid w:val="5A7E2982"/>
    <w:rsid w:val="5B24597E"/>
    <w:rsid w:val="5B7358EA"/>
    <w:rsid w:val="5BEF430C"/>
    <w:rsid w:val="5C531CB6"/>
    <w:rsid w:val="5CF01D88"/>
    <w:rsid w:val="5D5C0387"/>
    <w:rsid w:val="5E9456EF"/>
    <w:rsid w:val="5FDF50F0"/>
    <w:rsid w:val="608F3A1C"/>
    <w:rsid w:val="6336483C"/>
    <w:rsid w:val="636F22E5"/>
    <w:rsid w:val="646D7D7D"/>
    <w:rsid w:val="64A47711"/>
    <w:rsid w:val="64BB6AA4"/>
    <w:rsid w:val="64EB1FB1"/>
    <w:rsid w:val="65085FDD"/>
    <w:rsid w:val="66A625FE"/>
    <w:rsid w:val="66BC7D07"/>
    <w:rsid w:val="672D0717"/>
    <w:rsid w:val="683D4928"/>
    <w:rsid w:val="68782DAE"/>
    <w:rsid w:val="68A1454F"/>
    <w:rsid w:val="69644745"/>
    <w:rsid w:val="69BC658F"/>
    <w:rsid w:val="6A042D14"/>
    <w:rsid w:val="6ABE1B22"/>
    <w:rsid w:val="6AF26EB9"/>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DE14DC"/>
    <w:rsid w:val="792D1E0D"/>
    <w:rsid w:val="79321117"/>
    <w:rsid w:val="79EF62DB"/>
    <w:rsid w:val="7A3A7C0C"/>
    <w:rsid w:val="7A835F66"/>
    <w:rsid w:val="7A8955BC"/>
    <w:rsid w:val="7A9D6576"/>
    <w:rsid w:val="7AAF2916"/>
    <w:rsid w:val="7BBBE85A"/>
    <w:rsid w:val="7BF7B220"/>
    <w:rsid w:val="7C6B433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Style w:val="8"/>
      <w:tblLayout w:type="fixed"/>
      <w:tblCellMar>
        <w:top w:w="0" w:type="dxa"/>
        <w:left w:w="108" w:type="dxa"/>
        <w:bottom w:w="0" w:type="dxa"/>
        <w:right w:w="108" w:type="dxa"/>
      </w:tblCellMar>
    </w:tblPr>
  </w:style>
  <w:style w:type="paragraph" w:styleId="2">
    <w:name w:val="annotation text"/>
    <w:basedOn w:val="1"/>
    <w:link w:val="15"/>
    <w:uiPriority w:val="0"/>
    <w:pPr>
      <w:jc w:val="left"/>
    </w:pPr>
    <w:rPr>
      <w:rFonts w:cs="Times New Roman"/>
    </w:rPr>
  </w:style>
  <w:style w:type="paragraph" w:styleId="3">
    <w:name w:val="Balloon Text"/>
    <w:basedOn w:val="1"/>
    <w:link w:val="17"/>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6"/>
    <w:uiPriority w:val="0"/>
    <w:rPr>
      <w:b/>
      <w:bCs/>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List Paragraph"/>
    <w:basedOn w:val="1"/>
    <w:unhideWhenUsed/>
    <w:uiPriority w:val="99"/>
    <w:pPr>
      <w:ind w:firstLine="420" w:firstLineChars="200"/>
    </w:pPr>
  </w:style>
  <w:style w:type="paragraph" w:customStyle="1" w:styleId="14">
    <w:name w:val="Default"/>
    <w:qFormat/>
    <w:uiPriority w:val="0"/>
    <w:pPr>
      <w:widowControl w:val="0"/>
      <w:autoSpaceDE w:val="0"/>
      <w:autoSpaceDN w:val="0"/>
      <w:adjustRightInd w:val="0"/>
    </w:pPr>
    <w:rPr>
      <w:color w:val="000000"/>
      <w:sz w:val="24"/>
      <w:szCs w:val="24"/>
      <w:lang w:val="en-US" w:eastAsia="zh-CN" w:bidi="ar-SA"/>
    </w:rPr>
  </w:style>
  <w:style w:type="character" w:customStyle="1" w:styleId="15">
    <w:name w:val="批注文字 Char"/>
    <w:link w:val="2"/>
    <w:uiPriority w:val="0"/>
    <w:rPr>
      <w:rFonts w:ascii="Calibri" w:hAnsi="Calibri" w:cs="黑体"/>
      <w:kern w:val="2"/>
      <w:sz w:val="21"/>
      <w:szCs w:val="24"/>
    </w:rPr>
  </w:style>
  <w:style w:type="character" w:customStyle="1" w:styleId="16">
    <w:name w:val="批注主题 Char"/>
    <w:link w:val="7"/>
    <w:uiPriority w:val="0"/>
    <w:rPr>
      <w:rFonts w:ascii="Calibri" w:hAnsi="Calibri" w:cs="黑体"/>
      <w:b/>
      <w:bCs/>
      <w:kern w:val="2"/>
      <w:sz w:val="21"/>
      <w:szCs w:val="24"/>
    </w:rPr>
  </w:style>
  <w:style w:type="character" w:customStyle="1" w:styleId="17">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38450</Words>
  <Characters>41390</Characters>
  <Lines>272</Lines>
  <Paragraphs>76</Paragraphs>
  <TotalTime>2</TotalTime>
  <ScaleCrop>false</ScaleCrop>
  <LinksUpToDate>false</LinksUpToDate>
  <CharactersWithSpaces>41888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2025-09-11T06:33:03Z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