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029BC" w14:textId="24AD6FAC" w:rsidR="00B55224" w:rsidRPr="00ED20E8" w:rsidRDefault="00472485" w:rsidP="00472485">
      <w:pPr>
        <w:adjustRightInd w:val="0"/>
        <w:snapToGrid w:val="0"/>
        <w:spacing w:line="312" w:lineRule="auto"/>
        <w:jc w:val="center"/>
        <w:rPr>
          <w:rFonts w:ascii="黑体" w:eastAsia="黑体" w:hAnsi="黑体" w:hint="eastAsia"/>
          <w:b/>
          <w:sz w:val="44"/>
          <w:szCs w:val="44"/>
        </w:rPr>
      </w:pPr>
      <w:r w:rsidRPr="00ED20E8">
        <w:rPr>
          <w:rFonts w:ascii="黑体" w:eastAsia="黑体" w:hAnsi="黑体" w:hint="eastAsia"/>
          <w:b/>
          <w:sz w:val="44"/>
          <w:szCs w:val="44"/>
        </w:rPr>
        <w:t>宁银理财宁欣日日薪固定收益类日开理财57号（最短持有14天）</w:t>
      </w:r>
      <w:r w:rsidR="002E1AE2" w:rsidRPr="00ED20E8">
        <w:rPr>
          <w:rFonts w:ascii="黑体" w:eastAsia="黑体" w:hAnsi="黑体" w:hint="eastAsia"/>
          <w:b/>
          <w:sz w:val="44"/>
          <w:szCs w:val="44"/>
        </w:rPr>
        <w:t>产品代理销售协议书</w:t>
      </w:r>
    </w:p>
    <w:p w14:paraId="3F4DDD33" w14:textId="77777777" w:rsidR="00B55224" w:rsidRPr="00ED20E8" w:rsidRDefault="002E1AE2">
      <w:pPr>
        <w:adjustRightInd w:val="0"/>
        <w:snapToGrid w:val="0"/>
        <w:spacing w:line="312" w:lineRule="auto"/>
        <w:jc w:val="center"/>
        <w:rPr>
          <w:rFonts w:ascii="黑体" w:eastAsia="黑体" w:hAnsi="黑体" w:hint="eastAsia"/>
          <w:b/>
          <w:sz w:val="24"/>
        </w:rPr>
      </w:pPr>
      <w:r w:rsidRPr="00ED20E8">
        <w:rPr>
          <w:rFonts w:ascii="黑体" w:eastAsia="黑体" w:hAnsi="黑体" w:hint="eastAsia"/>
          <w:b/>
          <w:sz w:val="24"/>
        </w:rPr>
        <w:t>（</w:t>
      </w:r>
      <w:r w:rsidRPr="00ED20E8">
        <w:rPr>
          <w:rFonts w:ascii="黑体" w:eastAsia="黑体" w:hAnsi="黑体"/>
          <w:b/>
          <w:sz w:val="24"/>
        </w:rPr>
        <w:t>202</w:t>
      </w:r>
      <w:r w:rsidRPr="00ED20E8">
        <w:rPr>
          <w:rFonts w:ascii="黑体" w:eastAsia="黑体" w:hAnsi="黑体" w:hint="eastAsia"/>
          <w:b/>
          <w:sz w:val="24"/>
        </w:rPr>
        <w:t>4</w:t>
      </w:r>
      <w:r w:rsidRPr="00ED20E8">
        <w:rPr>
          <w:rFonts w:ascii="黑体" w:eastAsia="黑体" w:hAnsi="黑体"/>
          <w:b/>
          <w:sz w:val="24"/>
        </w:rPr>
        <w:t>02</w:t>
      </w:r>
      <w:r w:rsidRPr="00ED20E8">
        <w:rPr>
          <w:rFonts w:ascii="黑体" w:eastAsia="黑体" w:hAnsi="黑体" w:hint="eastAsia"/>
          <w:b/>
          <w:sz w:val="24"/>
        </w:rPr>
        <w:t>版）</w:t>
      </w:r>
    </w:p>
    <w:p w14:paraId="292BC771" w14:textId="3E3884BB" w:rsidR="00B55224" w:rsidRPr="00ED20E8" w:rsidRDefault="002E1AE2">
      <w:pPr>
        <w:adjustRightInd w:val="0"/>
        <w:snapToGrid w:val="0"/>
        <w:spacing w:line="312" w:lineRule="auto"/>
        <w:rPr>
          <w:rFonts w:ascii="黑体" w:eastAsia="黑体" w:hAnsi="黑体" w:hint="eastAsia"/>
          <w:sz w:val="24"/>
        </w:rPr>
      </w:pPr>
      <w:r w:rsidRPr="00ED20E8">
        <w:rPr>
          <w:rFonts w:ascii="黑体" w:eastAsia="黑体" w:hAnsi="黑体" w:hint="eastAsia"/>
          <w:sz w:val="24"/>
        </w:rPr>
        <w:t xml:space="preserve"> </w:t>
      </w:r>
      <w:r w:rsidRPr="00ED20E8">
        <w:rPr>
          <w:rFonts w:ascii="黑体" w:eastAsia="黑体" w:hAnsi="黑体"/>
          <w:sz w:val="24"/>
        </w:rPr>
        <w:t xml:space="preserve">   </w:t>
      </w:r>
      <w:r w:rsidR="003B164D" w:rsidRPr="003B164D">
        <w:rPr>
          <w:rFonts w:ascii="黑体" w:eastAsia="黑体" w:hAnsi="黑体" w:hint="eastAsia"/>
          <w:sz w:val="24"/>
        </w:rPr>
        <w:t>重庆银行股份有限公司</w:t>
      </w:r>
      <w:r w:rsidRPr="00ED20E8">
        <w:rPr>
          <w:rFonts w:ascii="黑体" w:eastAsia="黑体" w:hAnsi="黑体" w:hint="eastAsia"/>
          <w:sz w:val="24"/>
        </w:rPr>
        <w:t>（以下简称“乙方”）与其代理销售的理财产品的购买方（以下简称“甲方”）经平等友好协商，本着自愿、诚实信用的原则，就乙方向甲方销售理财产品及提供理财服务相关</w:t>
      </w:r>
      <w:r w:rsidRPr="00ED20E8">
        <w:rPr>
          <w:rFonts w:ascii="黑体" w:eastAsia="黑体" w:hAnsi="黑体"/>
          <w:sz w:val="24"/>
        </w:rPr>
        <w:t>事宜</w:t>
      </w:r>
      <w:r w:rsidRPr="00ED20E8">
        <w:rPr>
          <w:rFonts w:ascii="黑体" w:eastAsia="黑体" w:hAnsi="黑体" w:hint="eastAsia"/>
          <w:sz w:val="24"/>
        </w:rPr>
        <w:t>，达成如下协议（以下</w:t>
      </w:r>
      <w:r w:rsidRPr="00ED20E8">
        <w:rPr>
          <w:rFonts w:ascii="黑体" w:eastAsia="黑体" w:hAnsi="黑体"/>
          <w:sz w:val="24"/>
        </w:rPr>
        <w:t>简称“</w:t>
      </w:r>
      <w:r w:rsidRPr="00ED20E8">
        <w:rPr>
          <w:rFonts w:ascii="黑体" w:eastAsia="黑体" w:hAnsi="黑体" w:hint="eastAsia"/>
          <w:sz w:val="24"/>
        </w:rPr>
        <w:t>本协议</w:t>
      </w:r>
      <w:r w:rsidRPr="00ED20E8">
        <w:rPr>
          <w:rFonts w:ascii="黑体" w:eastAsia="黑体" w:hAnsi="黑体"/>
          <w:sz w:val="24"/>
        </w:rPr>
        <w:t>”）</w:t>
      </w:r>
      <w:r w:rsidRPr="00ED20E8">
        <w:rPr>
          <w:rFonts w:ascii="黑体" w:eastAsia="黑体" w:hAnsi="黑体" w:hint="eastAsia"/>
          <w:sz w:val="24"/>
        </w:rPr>
        <w:t>：</w:t>
      </w:r>
    </w:p>
    <w:p w14:paraId="0F8F12B2" w14:textId="77777777" w:rsidR="00B55224" w:rsidRPr="00ED20E8" w:rsidRDefault="002E1AE2">
      <w:pPr>
        <w:adjustRightInd w:val="0"/>
        <w:snapToGrid w:val="0"/>
        <w:spacing w:line="312" w:lineRule="auto"/>
        <w:ind w:firstLineChars="196" w:firstLine="472"/>
        <w:rPr>
          <w:rFonts w:ascii="黑体" w:eastAsia="黑体" w:hAnsi="黑体" w:hint="eastAsia"/>
          <w:b/>
          <w:sz w:val="24"/>
        </w:rPr>
      </w:pPr>
      <w:r w:rsidRPr="00ED20E8">
        <w:rPr>
          <w:rFonts w:ascii="黑体" w:eastAsia="黑体" w:hAnsi="黑体" w:hint="eastAsia"/>
          <w:b/>
          <w:bCs/>
          <w:sz w:val="24"/>
        </w:rPr>
        <w:t>第一</w:t>
      </w:r>
      <w:r w:rsidRPr="00ED20E8">
        <w:rPr>
          <w:rFonts w:ascii="黑体" w:eastAsia="黑体" w:hAnsi="黑体" w:hint="eastAsia"/>
          <w:b/>
          <w:sz w:val="24"/>
        </w:rPr>
        <w:t>条 释义</w:t>
      </w:r>
    </w:p>
    <w:p w14:paraId="7ECCE591" w14:textId="77777777" w:rsidR="00B55224" w:rsidRPr="00ED20E8" w:rsidRDefault="002E1AE2">
      <w:pPr>
        <w:adjustRightInd w:val="0"/>
        <w:snapToGrid w:val="0"/>
        <w:spacing w:line="312" w:lineRule="auto"/>
        <w:ind w:firstLineChars="225" w:firstLine="540"/>
        <w:jc w:val="left"/>
        <w:rPr>
          <w:rFonts w:ascii="黑体" w:eastAsia="黑体" w:hAnsi="黑体" w:hint="eastAsia"/>
          <w:bCs/>
          <w:sz w:val="24"/>
        </w:rPr>
      </w:pPr>
      <w:r w:rsidRPr="00ED20E8">
        <w:rPr>
          <w:rFonts w:ascii="黑体" w:eastAsia="黑体" w:hAnsi="黑体" w:hint="eastAsia"/>
          <w:bCs/>
          <w:sz w:val="24"/>
        </w:rPr>
        <w:t>甲方与乙方约定，本协议及本理财产品的《理财产品说明书》、《风险揭示书》、《投资协议书》、《投资者权益须知》等理财产品销售文件中所涉以下名词均具有以下含义：</w:t>
      </w:r>
    </w:p>
    <w:p w14:paraId="158FE0A4" w14:textId="09B508FD" w:rsidR="00B55224" w:rsidRPr="00ED20E8" w:rsidRDefault="002E1AE2">
      <w:pPr>
        <w:pStyle w:val="af"/>
        <w:numPr>
          <w:ilvl w:val="0"/>
          <w:numId w:val="1"/>
        </w:numPr>
        <w:adjustRightInd w:val="0"/>
        <w:snapToGrid w:val="0"/>
        <w:spacing w:line="312" w:lineRule="auto"/>
        <w:ind w:firstLineChars="0"/>
        <w:jc w:val="left"/>
        <w:rPr>
          <w:rFonts w:ascii="黑体" w:eastAsia="黑体" w:hAnsi="黑体" w:hint="eastAsia"/>
          <w:b/>
          <w:bCs/>
          <w:sz w:val="24"/>
        </w:rPr>
      </w:pPr>
      <w:r w:rsidRPr="00ED20E8">
        <w:rPr>
          <w:rFonts w:ascii="黑体" w:eastAsia="黑体" w:hAnsi="黑体" w:hint="eastAsia"/>
          <w:b/>
          <w:bCs/>
          <w:sz w:val="24"/>
        </w:rPr>
        <w:t>理财计划</w:t>
      </w:r>
      <w:r w:rsidRPr="00ED20E8">
        <w:rPr>
          <w:rFonts w:ascii="黑体" w:eastAsia="黑体" w:hAnsi="黑体"/>
          <w:b/>
          <w:bCs/>
          <w:sz w:val="24"/>
        </w:rPr>
        <w:t>/</w:t>
      </w:r>
      <w:r w:rsidRPr="00ED20E8">
        <w:rPr>
          <w:rFonts w:ascii="黑体" w:eastAsia="黑体" w:hAnsi="黑体" w:hint="eastAsia"/>
          <w:b/>
          <w:bCs/>
          <w:sz w:val="24"/>
        </w:rPr>
        <w:t>理财产品</w:t>
      </w:r>
      <w:r w:rsidRPr="00ED20E8">
        <w:rPr>
          <w:rFonts w:ascii="黑体" w:eastAsia="黑体" w:hAnsi="黑体"/>
          <w:b/>
          <w:bCs/>
          <w:sz w:val="24"/>
        </w:rPr>
        <w:t>/</w:t>
      </w:r>
      <w:r w:rsidRPr="00ED20E8">
        <w:rPr>
          <w:rFonts w:ascii="黑体" w:eastAsia="黑体" w:hAnsi="黑体" w:hint="eastAsia"/>
          <w:b/>
          <w:bCs/>
          <w:sz w:val="24"/>
        </w:rPr>
        <w:t>产品：指</w:t>
      </w:r>
      <w:r w:rsidR="00472485" w:rsidRPr="00ED20E8">
        <w:rPr>
          <w:rFonts w:ascii="黑体" w:eastAsia="黑体" w:hAnsi="黑体" w:hint="eastAsia"/>
          <w:b/>
          <w:bCs/>
          <w:sz w:val="24"/>
        </w:rPr>
        <w:t>宁银理财宁欣日日薪固定收益类日开理财57号（最短持有14天）</w:t>
      </w:r>
      <w:r w:rsidRPr="00ED20E8">
        <w:rPr>
          <w:rFonts w:ascii="黑体" w:eastAsia="黑体" w:hAnsi="黑体" w:hint="eastAsia"/>
          <w:b/>
          <w:bCs/>
          <w:sz w:val="24"/>
        </w:rPr>
        <w:t>产品。</w:t>
      </w:r>
    </w:p>
    <w:p w14:paraId="4BA9BBE2" w14:textId="77777777" w:rsidR="00B55224" w:rsidRPr="00ED20E8" w:rsidRDefault="002E1AE2">
      <w:pPr>
        <w:pStyle w:val="af"/>
        <w:numPr>
          <w:ilvl w:val="0"/>
          <w:numId w:val="1"/>
        </w:numPr>
        <w:adjustRightInd w:val="0"/>
        <w:snapToGrid w:val="0"/>
        <w:spacing w:line="312" w:lineRule="auto"/>
        <w:ind w:firstLineChars="0"/>
        <w:jc w:val="left"/>
        <w:rPr>
          <w:rFonts w:ascii="黑体" w:eastAsia="黑体" w:hAnsi="黑体" w:hint="eastAsia"/>
          <w:bCs/>
          <w:sz w:val="24"/>
        </w:rPr>
      </w:pPr>
      <w:r w:rsidRPr="00ED20E8">
        <w:rPr>
          <w:rFonts w:ascii="黑体" w:eastAsia="黑体" w:hAnsi="黑体" w:hint="eastAsia"/>
          <w:bCs/>
          <w:sz w:val="24"/>
        </w:rPr>
        <w:t>管理机构/产品管理人：指宁银理财有限责任公司。</w:t>
      </w:r>
    </w:p>
    <w:p w14:paraId="4999B1CE" w14:textId="77777777" w:rsidR="00B55224" w:rsidRPr="00ED20E8" w:rsidRDefault="002E1AE2">
      <w:pPr>
        <w:adjustRightInd w:val="0"/>
        <w:snapToGrid w:val="0"/>
        <w:spacing w:line="312" w:lineRule="auto"/>
        <w:ind w:firstLineChars="200" w:firstLine="480"/>
        <w:rPr>
          <w:rFonts w:ascii="黑体" w:eastAsia="黑体" w:hAnsi="黑体" w:hint="eastAsia"/>
          <w:sz w:val="24"/>
        </w:rPr>
      </w:pPr>
      <w:r w:rsidRPr="00ED20E8">
        <w:rPr>
          <w:rFonts w:ascii="黑体" w:eastAsia="黑体" w:hAnsi="黑体" w:hint="eastAsia"/>
          <w:sz w:val="24"/>
        </w:rPr>
        <w:t>（三）投资者指定账户</w:t>
      </w:r>
      <w:r w:rsidRPr="00ED20E8">
        <w:rPr>
          <w:rFonts w:ascii="黑体" w:eastAsia="黑体" w:hAnsi="黑体"/>
          <w:sz w:val="24"/>
        </w:rPr>
        <w:t>/</w:t>
      </w:r>
      <w:r w:rsidRPr="00ED20E8">
        <w:rPr>
          <w:rFonts w:ascii="黑体" w:eastAsia="黑体" w:hAnsi="黑体" w:hint="eastAsia"/>
          <w:sz w:val="24"/>
        </w:rPr>
        <w:t>甲方指定账户：指甲方开立的用于本产品资金划转的银行账户，资金划转行为包括但不限于认（申）购时的本金扣划，赎回</w:t>
      </w:r>
      <w:r w:rsidRPr="00ED20E8">
        <w:rPr>
          <w:rFonts w:ascii="黑体" w:eastAsia="黑体" w:hAnsi="黑体"/>
          <w:sz w:val="24"/>
        </w:rPr>
        <w:t>/</w:t>
      </w:r>
      <w:r w:rsidRPr="00ED20E8">
        <w:rPr>
          <w:rFonts w:ascii="黑体" w:eastAsia="黑体" w:hAnsi="黑体" w:hint="eastAsia"/>
          <w:sz w:val="24"/>
        </w:rPr>
        <w:t>到期时的本金（如有）及收益（如有）划付</w:t>
      </w:r>
      <w:r w:rsidRPr="00ED20E8">
        <w:rPr>
          <w:rStyle w:val="ae"/>
          <w:rFonts w:ascii="黑体" w:eastAsia="黑体" w:hAnsi="黑体" w:hint="eastAsia"/>
          <w:sz w:val="24"/>
          <w:szCs w:val="24"/>
        </w:rPr>
        <w:t>等</w:t>
      </w:r>
      <w:r w:rsidRPr="00ED20E8">
        <w:rPr>
          <w:rFonts w:ascii="黑体" w:eastAsia="黑体" w:hAnsi="黑体" w:hint="eastAsia"/>
          <w:sz w:val="24"/>
        </w:rPr>
        <w:t>。</w:t>
      </w:r>
    </w:p>
    <w:p w14:paraId="28470A79" w14:textId="77777777" w:rsidR="00B55224" w:rsidRPr="00ED20E8" w:rsidRDefault="002E1AE2">
      <w:pPr>
        <w:adjustRightInd w:val="0"/>
        <w:snapToGrid w:val="0"/>
        <w:spacing w:line="312" w:lineRule="auto"/>
        <w:ind w:firstLineChars="200" w:firstLine="480"/>
        <w:rPr>
          <w:rFonts w:ascii="黑体" w:eastAsia="黑体" w:hAnsi="黑体" w:hint="eastAsia"/>
          <w:sz w:val="24"/>
        </w:rPr>
      </w:pPr>
      <w:r w:rsidRPr="00ED20E8">
        <w:rPr>
          <w:rFonts w:ascii="黑体" w:eastAsia="黑体" w:hAnsi="黑体" w:hint="eastAsia"/>
          <w:sz w:val="24"/>
        </w:rPr>
        <w:t>（四）募集期：是指</w:t>
      </w:r>
      <w:r w:rsidRPr="00ED20E8">
        <w:rPr>
          <w:rFonts w:ascii="黑体" w:eastAsia="黑体" w:hAnsi="黑体" w:hint="eastAsia"/>
          <w:color w:val="000000"/>
          <w:sz w:val="24"/>
        </w:rPr>
        <w:t>产品管理人</w:t>
      </w:r>
      <w:r w:rsidRPr="00ED20E8">
        <w:rPr>
          <w:rFonts w:ascii="黑体" w:eastAsia="黑体" w:hAnsi="黑体" w:hint="eastAsia"/>
          <w:sz w:val="24"/>
        </w:rPr>
        <w:t>确定的可接受投资者对于理财产品认购申请的时间区间。</w:t>
      </w:r>
    </w:p>
    <w:p w14:paraId="4869873E" w14:textId="77777777" w:rsidR="00B55224" w:rsidRPr="00ED20E8" w:rsidRDefault="002E1AE2">
      <w:pPr>
        <w:adjustRightInd w:val="0"/>
        <w:snapToGrid w:val="0"/>
        <w:spacing w:line="312" w:lineRule="auto"/>
        <w:ind w:firstLineChars="200" w:firstLine="480"/>
        <w:rPr>
          <w:rFonts w:ascii="黑体" w:eastAsia="黑体" w:hAnsi="黑体" w:hint="eastAsia"/>
          <w:sz w:val="24"/>
        </w:rPr>
      </w:pPr>
      <w:r w:rsidRPr="00ED20E8">
        <w:rPr>
          <w:rFonts w:ascii="黑体" w:eastAsia="黑体" w:hAnsi="黑体" w:hint="eastAsia"/>
          <w:sz w:val="24"/>
        </w:rPr>
        <w:t>（五）工作日：详见《理财产品说明书》。</w:t>
      </w:r>
    </w:p>
    <w:p w14:paraId="137633B6" w14:textId="77777777" w:rsidR="00B55224" w:rsidRPr="00ED20E8" w:rsidRDefault="002E1AE2">
      <w:pPr>
        <w:adjustRightInd w:val="0"/>
        <w:snapToGrid w:val="0"/>
        <w:spacing w:line="312" w:lineRule="auto"/>
        <w:ind w:firstLineChars="200" w:firstLine="480"/>
        <w:rPr>
          <w:rFonts w:ascii="黑体" w:eastAsia="黑体" w:hAnsi="黑体" w:hint="eastAsia"/>
          <w:color w:val="000000"/>
          <w:sz w:val="24"/>
        </w:rPr>
      </w:pPr>
      <w:r w:rsidRPr="00ED20E8">
        <w:rPr>
          <w:rFonts w:ascii="黑体" w:eastAsia="黑体" w:hAnsi="黑体" w:hint="eastAsia"/>
          <w:color w:val="000000"/>
          <w:sz w:val="24"/>
        </w:rPr>
        <w:t>（六）产品成立日：指理财产品的投资运作</w:t>
      </w:r>
      <w:r w:rsidRPr="00ED20E8">
        <w:rPr>
          <w:rFonts w:ascii="黑体" w:eastAsia="黑体" w:hAnsi="黑体"/>
          <w:color w:val="000000"/>
          <w:sz w:val="24"/>
        </w:rPr>
        <w:t>起始日</w:t>
      </w:r>
      <w:r w:rsidRPr="00ED20E8">
        <w:rPr>
          <w:rFonts w:ascii="黑体" w:eastAsia="黑体" w:hAnsi="黑体" w:hint="eastAsia"/>
          <w:color w:val="000000"/>
          <w:sz w:val="24"/>
        </w:rPr>
        <w:t>。</w:t>
      </w:r>
    </w:p>
    <w:p w14:paraId="38AA8CF5" w14:textId="77777777" w:rsidR="00B55224" w:rsidRPr="00ED20E8" w:rsidRDefault="002E1AE2">
      <w:pPr>
        <w:adjustRightInd w:val="0"/>
        <w:snapToGrid w:val="0"/>
        <w:spacing w:line="312" w:lineRule="auto"/>
        <w:ind w:firstLineChars="200" w:firstLine="480"/>
        <w:rPr>
          <w:rFonts w:ascii="黑体" w:eastAsia="黑体" w:hAnsi="黑体" w:hint="eastAsia"/>
          <w:sz w:val="24"/>
        </w:rPr>
      </w:pPr>
      <w:r w:rsidRPr="00ED20E8">
        <w:rPr>
          <w:rFonts w:ascii="黑体" w:eastAsia="黑体" w:hAnsi="黑体" w:hint="eastAsia"/>
          <w:sz w:val="24"/>
        </w:rPr>
        <w:t>（七）开放日：</w:t>
      </w:r>
      <w:r w:rsidRPr="00ED20E8">
        <w:rPr>
          <w:rFonts w:ascii="黑体" w:eastAsia="黑体" w:hAnsi="黑体" w:hint="eastAsia"/>
          <w:color w:val="000000"/>
          <w:sz w:val="24"/>
        </w:rPr>
        <w:t>产品管理人</w:t>
      </w:r>
      <w:r w:rsidRPr="00ED20E8">
        <w:rPr>
          <w:rFonts w:ascii="黑体" w:eastAsia="黑体" w:hAnsi="黑体" w:hint="eastAsia"/>
          <w:sz w:val="24"/>
        </w:rPr>
        <w:t>发行的开放式理财产品成立后，可供投资者进行申购</w:t>
      </w:r>
      <w:r w:rsidRPr="00ED20E8">
        <w:rPr>
          <w:rFonts w:ascii="黑体" w:eastAsia="黑体" w:hAnsi="黑体"/>
          <w:sz w:val="24"/>
        </w:rPr>
        <w:t>、赎回</w:t>
      </w:r>
      <w:r w:rsidRPr="00ED20E8">
        <w:rPr>
          <w:rFonts w:ascii="黑体" w:eastAsia="黑体" w:hAnsi="黑体" w:hint="eastAsia"/>
          <w:sz w:val="24"/>
        </w:rPr>
        <w:t>等交易的日期。</w:t>
      </w:r>
    </w:p>
    <w:p w14:paraId="01EE638E" w14:textId="77777777" w:rsidR="00B55224" w:rsidRPr="00ED20E8" w:rsidRDefault="002E1AE2">
      <w:pPr>
        <w:adjustRightInd w:val="0"/>
        <w:snapToGrid w:val="0"/>
        <w:spacing w:line="312" w:lineRule="auto"/>
        <w:ind w:firstLineChars="200" w:firstLine="480"/>
        <w:rPr>
          <w:rFonts w:ascii="黑体" w:eastAsia="黑体" w:hAnsi="黑体" w:hint="eastAsia"/>
          <w:sz w:val="24"/>
        </w:rPr>
      </w:pPr>
      <w:r w:rsidRPr="00ED20E8">
        <w:rPr>
          <w:rFonts w:ascii="黑体" w:eastAsia="黑体" w:hAnsi="黑体" w:hint="eastAsia"/>
          <w:sz w:val="24"/>
        </w:rPr>
        <w:t>（</w:t>
      </w:r>
      <w:r w:rsidRPr="00ED20E8">
        <w:rPr>
          <w:rFonts w:ascii="黑体" w:eastAsia="黑体" w:hAnsi="黑体" w:hint="eastAsia"/>
          <w:color w:val="000000"/>
          <w:sz w:val="24"/>
        </w:rPr>
        <w:t>八</w:t>
      </w:r>
      <w:r w:rsidRPr="00ED20E8">
        <w:rPr>
          <w:rFonts w:ascii="黑体" w:eastAsia="黑体" w:hAnsi="黑体" w:hint="eastAsia"/>
          <w:sz w:val="24"/>
        </w:rPr>
        <w:t>）申购开放日：</w:t>
      </w:r>
      <w:r w:rsidRPr="00ED20E8">
        <w:rPr>
          <w:rFonts w:ascii="黑体" w:eastAsia="黑体" w:hAnsi="黑体" w:hint="eastAsia"/>
          <w:color w:val="000000"/>
          <w:sz w:val="24"/>
        </w:rPr>
        <w:t>产品管理人</w:t>
      </w:r>
      <w:r w:rsidRPr="00ED20E8">
        <w:rPr>
          <w:rFonts w:ascii="黑体" w:eastAsia="黑体" w:hAnsi="黑体" w:hint="eastAsia"/>
          <w:sz w:val="24"/>
        </w:rPr>
        <w:t>发行的开放式理财产品成立后，可供投资者进行申购交易的日期。</w:t>
      </w:r>
    </w:p>
    <w:p w14:paraId="316DFC2E" w14:textId="77777777" w:rsidR="00B55224" w:rsidRPr="00ED20E8" w:rsidRDefault="002E1AE2">
      <w:pPr>
        <w:adjustRightInd w:val="0"/>
        <w:snapToGrid w:val="0"/>
        <w:spacing w:line="312" w:lineRule="auto"/>
        <w:ind w:firstLineChars="200" w:firstLine="480"/>
        <w:rPr>
          <w:rFonts w:ascii="黑体" w:eastAsia="黑体" w:hAnsi="黑体" w:hint="eastAsia"/>
          <w:sz w:val="24"/>
        </w:rPr>
      </w:pPr>
      <w:r w:rsidRPr="00ED20E8">
        <w:rPr>
          <w:rFonts w:ascii="黑体" w:eastAsia="黑体" w:hAnsi="黑体" w:hint="eastAsia"/>
          <w:sz w:val="24"/>
        </w:rPr>
        <w:t>（</w:t>
      </w:r>
      <w:r w:rsidRPr="00ED20E8">
        <w:rPr>
          <w:rFonts w:ascii="黑体" w:eastAsia="黑体" w:hAnsi="黑体" w:hint="eastAsia"/>
          <w:color w:val="000000"/>
          <w:sz w:val="24"/>
        </w:rPr>
        <w:t>九</w:t>
      </w:r>
      <w:r w:rsidRPr="00ED20E8">
        <w:rPr>
          <w:rFonts w:ascii="黑体" w:eastAsia="黑体" w:hAnsi="黑体" w:hint="eastAsia"/>
          <w:sz w:val="24"/>
        </w:rPr>
        <w:t>）认购：甲方在</w:t>
      </w:r>
      <w:r w:rsidRPr="00ED20E8">
        <w:rPr>
          <w:rFonts w:ascii="黑体" w:eastAsia="黑体" w:hAnsi="黑体"/>
          <w:sz w:val="24"/>
        </w:rPr>
        <w:t>募集期</w:t>
      </w:r>
      <w:r w:rsidRPr="00ED20E8">
        <w:rPr>
          <w:rFonts w:ascii="黑体" w:eastAsia="黑体" w:hAnsi="黑体" w:hint="eastAsia"/>
          <w:sz w:val="24"/>
        </w:rPr>
        <w:t>申请购买理财产品份额的</w:t>
      </w:r>
      <w:r w:rsidRPr="00ED20E8">
        <w:rPr>
          <w:rFonts w:ascii="黑体" w:eastAsia="黑体" w:hAnsi="黑体"/>
          <w:sz w:val="24"/>
        </w:rPr>
        <w:t>行为</w:t>
      </w:r>
      <w:r w:rsidRPr="00ED20E8">
        <w:rPr>
          <w:rFonts w:ascii="黑体" w:eastAsia="黑体" w:hAnsi="黑体" w:hint="eastAsia"/>
          <w:sz w:val="24"/>
        </w:rPr>
        <w:t>。</w:t>
      </w:r>
    </w:p>
    <w:p w14:paraId="63703007" w14:textId="77777777" w:rsidR="00B55224" w:rsidRPr="00ED20E8" w:rsidRDefault="002E1AE2">
      <w:pPr>
        <w:adjustRightInd w:val="0"/>
        <w:snapToGrid w:val="0"/>
        <w:spacing w:line="312" w:lineRule="auto"/>
        <w:ind w:firstLineChars="200" w:firstLine="480"/>
        <w:jc w:val="left"/>
        <w:rPr>
          <w:rFonts w:ascii="黑体" w:eastAsia="黑体" w:hAnsi="黑体" w:hint="eastAsia"/>
          <w:color w:val="000000"/>
          <w:sz w:val="24"/>
        </w:rPr>
      </w:pPr>
      <w:r w:rsidRPr="00ED20E8">
        <w:rPr>
          <w:rFonts w:ascii="黑体" w:eastAsia="黑体" w:hAnsi="黑体" w:hint="eastAsia"/>
          <w:color w:val="000000"/>
          <w:sz w:val="24"/>
        </w:rPr>
        <w:t>（十）申购</w:t>
      </w:r>
      <w:r w:rsidRPr="00ED20E8">
        <w:rPr>
          <w:rFonts w:ascii="黑体" w:eastAsia="黑体" w:hAnsi="黑体"/>
          <w:color w:val="000000"/>
          <w:sz w:val="24"/>
        </w:rPr>
        <w:t>：</w:t>
      </w:r>
      <w:r w:rsidRPr="00ED20E8">
        <w:rPr>
          <w:rFonts w:ascii="黑体" w:eastAsia="黑体" w:hAnsi="黑体" w:hint="eastAsia"/>
          <w:sz w:val="24"/>
        </w:rPr>
        <w:t>甲方在开放期申请购买理财产品份额的</w:t>
      </w:r>
      <w:r w:rsidRPr="00ED20E8">
        <w:rPr>
          <w:rFonts w:ascii="黑体" w:eastAsia="黑体" w:hAnsi="黑体"/>
          <w:sz w:val="24"/>
        </w:rPr>
        <w:t>行为</w:t>
      </w:r>
      <w:r w:rsidRPr="00ED20E8">
        <w:rPr>
          <w:rFonts w:ascii="黑体" w:eastAsia="黑体" w:hAnsi="黑体" w:hint="eastAsia"/>
          <w:sz w:val="24"/>
        </w:rPr>
        <w:t>。</w:t>
      </w:r>
    </w:p>
    <w:p w14:paraId="61EF59AD" w14:textId="77777777" w:rsidR="00B55224" w:rsidRPr="00ED20E8" w:rsidRDefault="002E1AE2">
      <w:pPr>
        <w:widowControl/>
        <w:spacing w:line="360" w:lineRule="auto"/>
        <w:ind w:firstLineChars="200" w:firstLine="480"/>
        <w:jc w:val="left"/>
        <w:rPr>
          <w:rFonts w:ascii="黑体" w:eastAsia="黑体" w:hAnsi="黑体" w:cs="宋体" w:hint="eastAsia"/>
          <w:kern w:val="0"/>
          <w:sz w:val="24"/>
        </w:rPr>
      </w:pPr>
      <w:r w:rsidRPr="00ED20E8">
        <w:rPr>
          <w:rFonts w:ascii="黑体" w:eastAsia="黑体" w:hAnsi="黑体" w:hint="eastAsia"/>
          <w:color w:val="000000"/>
          <w:sz w:val="24"/>
        </w:rPr>
        <w:t>（十一）赎回：</w:t>
      </w:r>
      <w:r w:rsidRPr="00ED20E8">
        <w:rPr>
          <w:rFonts w:ascii="黑体" w:eastAsia="黑体" w:hAnsi="黑体" w:hint="eastAsia"/>
          <w:sz w:val="24"/>
        </w:rPr>
        <w:t>甲方在开放期申请赎回理财产品份额的行为。</w:t>
      </w:r>
    </w:p>
    <w:p w14:paraId="36503995" w14:textId="77777777" w:rsidR="00B55224" w:rsidRPr="00ED20E8" w:rsidRDefault="002E1AE2">
      <w:pPr>
        <w:adjustRightInd w:val="0"/>
        <w:snapToGrid w:val="0"/>
        <w:spacing w:line="360" w:lineRule="auto"/>
        <w:ind w:firstLineChars="200" w:firstLine="480"/>
        <w:jc w:val="left"/>
        <w:rPr>
          <w:rFonts w:ascii="黑体" w:eastAsia="黑体" w:hAnsi="黑体" w:hint="eastAsia"/>
          <w:color w:val="000000"/>
          <w:sz w:val="24"/>
        </w:rPr>
      </w:pPr>
      <w:r w:rsidRPr="00ED20E8">
        <w:rPr>
          <w:rFonts w:ascii="黑体" w:eastAsia="黑体" w:hAnsi="黑体" w:hint="eastAsia"/>
          <w:color w:val="000000"/>
          <w:sz w:val="24"/>
        </w:rPr>
        <w:t>（十二）到期日：指理财</w:t>
      </w:r>
      <w:r w:rsidRPr="00ED20E8">
        <w:rPr>
          <w:rFonts w:ascii="黑体" w:eastAsia="黑体" w:hAnsi="黑体"/>
          <w:color w:val="000000"/>
          <w:sz w:val="24"/>
        </w:rPr>
        <w:t>产品的投资运作终止日</w:t>
      </w:r>
      <w:r w:rsidRPr="00ED20E8">
        <w:rPr>
          <w:rFonts w:ascii="黑体" w:eastAsia="黑体" w:hAnsi="黑体" w:hint="eastAsia"/>
          <w:color w:val="000000"/>
          <w:sz w:val="24"/>
        </w:rPr>
        <w:t>。</w:t>
      </w:r>
    </w:p>
    <w:p w14:paraId="3EBDED02" w14:textId="77777777" w:rsidR="00B55224" w:rsidRPr="00ED20E8" w:rsidRDefault="002E1AE2">
      <w:pPr>
        <w:adjustRightInd w:val="0"/>
        <w:snapToGrid w:val="0"/>
        <w:spacing w:line="312" w:lineRule="auto"/>
        <w:ind w:firstLineChars="200" w:firstLine="480"/>
        <w:jc w:val="left"/>
        <w:rPr>
          <w:rFonts w:ascii="黑体" w:eastAsia="黑体" w:hAnsi="黑体" w:hint="eastAsia"/>
          <w:color w:val="000000"/>
          <w:sz w:val="24"/>
        </w:rPr>
      </w:pPr>
      <w:r w:rsidRPr="00ED20E8">
        <w:rPr>
          <w:rFonts w:ascii="黑体" w:eastAsia="黑体" w:hAnsi="黑体" w:hint="eastAsia"/>
          <w:color w:val="000000"/>
          <w:sz w:val="24"/>
        </w:rPr>
        <w:t>（十三</w:t>
      </w:r>
      <w:r w:rsidRPr="00ED20E8">
        <w:rPr>
          <w:rFonts w:ascii="黑体" w:eastAsia="黑体" w:hAnsi="黑体"/>
          <w:color w:val="000000"/>
          <w:sz w:val="24"/>
        </w:rPr>
        <w:t>）</w:t>
      </w:r>
      <w:r w:rsidRPr="00ED20E8">
        <w:rPr>
          <w:rFonts w:ascii="黑体" w:eastAsia="黑体" w:hAnsi="黑体" w:hint="eastAsia"/>
          <w:color w:val="000000"/>
          <w:sz w:val="24"/>
        </w:rPr>
        <w:t>资金清算日：理财产品的本金（</w:t>
      </w:r>
      <w:r w:rsidRPr="00ED20E8">
        <w:rPr>
          <w:rFonts w:ascii="黑体" w:eastAsia="黑体" w:hAnsi="黑体"/>
          <w:color w:val="000000"/>
          <w:sz w:val="24"/>
        </w:rPr>
        <w:t>若有）</w:t>
      </w:r>
      <w:r w:rsidRPr="00ED20E8">
        <w:rPr>
          <w:rFonts w:ascii="黑体" w:eastAsia="黑体" w:hAnsi="黑体" w:hint="eastAsia"/>
          <w:color w:val="000000"/>
          <w:sz w:val="24"/>
        </w:rPr>
        <w:t>和收益（</w:t>
      </w:r>
      <w:r w:rsidRPr="00ED20E8">
        <w:rPr>
          <w:rFonts w:ascii="黑体" w:eastAsia="黑体" w:hAnsi="黑体"/>
          <w:color w:val="000000"/>
          <w:sz w:val="24"/>
        </w:rPr>
        <w:t>若有）</w:t>
      </w:r>
      <w:r w:rsidRPr="00ED20E8">
        <w:rPr>
          <w:rFonts w:ascii="黑体" w:eastAsia="黑体" w:hAnsi="黑体" w:hint="eastAsia"/>
          <w:color w:val="000000"/>
          <w:sz w:val="24"/>
        </w:rPr>
        <w:t>划向甲方指定账户的日期。</w:t>
      </w:r>
    </w:p>
    <w:p w14:paraId="173A4470" w14:textId="77777777" w:rsidR="00B55224" w:rsidRPr="00ED20E8" w:rsidRDefault="002E1AE2">
      <w:pPr>
        <w:adjustRightInd w:val="0"/>
        <w:snapToGrid w:val="0"/>
        <w:spacing w:line="312" w:lineRule="auto"/>
        <w:ind w:firstLineChars="200" w:firstLine="480"/>
        <w:jc w:val="left"/>
        <w:rPr>
          <w:rFonts w:ascii="黑体" w:eastAsia="黑体" w:hAnsi="黑体" w:cs="宋体" w:hint="eastAsia"/>
          <w:kern w:val="0"/>
          <w:sz w:val="24"/>
        </w:rPr>
      </w:pPr>
      <w:r w:rsidRPr="00ED20E8">
        <w:rPr>
          <w:rFonts w:ascii="黑体" w:eastAsia="黑体" w:hAnsi="黑体" w:hint="eastAsia"/>
          <w:color w:val="000000"/>
          <w:sz w:val="24"/>
        </w:rPr>
        <w:t>（十四）单位净值：指理财产品份额的单位净值，即每一份理财计划份额以人民币或其他币种计价的价格。</w:t>
      </w:r>
    </w:p>
    <w:p w14:paraId="316046F1" w14:textId="77777777" w:rsidR="00B55224" w:rsidRPr="00ED20E8" w:rsidRDefault="002E1AE2">
      <w:pPr>
        <w:adjustRightInd w:val="0"/>
        <w:snapToGrid w:val="0"/>
        <w:spacing w:line="312" w:lineRule="auto"/>
        <w:ind w:firstLineChars="200" w:firstLine="480"/>
        <w:jc w:val="left"/>
        <w:rPr>
          <w:rFonts w:ascii="黑体" w:eastAsia="黑体" w:hAnsi="黑体" w:cs="宋体" w:hint="eastAsia"/>
          <w:color w:val="000000"/>
          <w:kern w:val="0"/>
          <w:sz w:val="22"/>
        </w:rPr>
      </w:pPr>
      <w:r w:rsidRPr="00ED20E8">
        <w:rPr>
          <w:rFonts w:ascii="黑体" w:eastAsia="黑体" w:hAnsi="黑体" w:hint="eastAsia"/>
          <w:color w:val="000000"/>
          <w:sz w:val="24"/>
        </w:rPr>
        <w:t>（十五）累计净值：指理财产品份额的单位净值与产品成立后历次累计单位收益分配的总和。</w:t>
      </w:r>
    </w:p>
    <w:p w14:paraId="558E659D" w14:textId="77777777" w:rsidR="00B55224" w:rsidRPr="00ED20E8" w:rsidRDefault="002E1AE2">
      <w:pPr>
        <w:adjustRightInd w:val="0"/>
        <w:snapToGrid w:val="0"/>
        <w:spacing w:line="312" w:lineRule="auto"/>
        <w:ind w:firstLineChars="200" w:firstLine="480"/>
        <w:jc w:val="left"/>
        <w:rPr>
          <w:rFonts w:ascii="黑体" w:eastAsia="黑体" w:hAnsi="黑体" w:hint="eastAsia"/>
          <w:color w:val="000000"/>
          <w:sz w:val="24"/>
        </w:rPr>
      </w:pPr>
      <w:r w:rsidRPr="00ED20E8">
        <w:rPr>
          <w:rFonts w:ascii="黑体" w:eastAsia="黑体" w:hAnsi="黑体" w:hint="eastAsia"/>
          <w:color w:val="000000"/>
          <w:sz w:val="24"/>
        </w:rPr>
        <w:t>（十六）提前</w:t>
      </w:r>
      <w:r w:rsidRPr="00ED20E8">
        <w:rPr>
          <w:rFonts w:ascii="黑体" w:eastAsia="黑体" w:hAnsi="黑体"/>
          <w:color w:val="000000"/>
          <w:sz w:val="24"/>
        </w:rPr>
        <w:t>赎回权：</w:t>
      </w:r>
      <w:r w:rsidRPr="00ED20E8">
        <w:rPr>
          <w:rFonts w:ascii="黑体" w:eastAsia="黑体" w:hAnsi="黑体" w:hint="eastAsia"/>
          <w:color w:val="000000"/>
          <w:sz w:val="24"/>
        </w:rPr>
        <w:t>在理财产品存续期内甲方按照理财产品销售文件约定提前赎回理财产</w:t>
      </w:r>
      <w:r w:rsidRPr="00ED20E8">
        <w:rPr>
          <w:rFonts w:ascii="黑体" w:eastAsia="黑体" w:hAnsi="黑体" w:hint="eastAsia"/>
          <w:color w:val="000000"/>
          <w:sz w:val="24"/>
        </w:rPr>
        <w:lastRenderedPageBreak/>
        <w:t>品的</w:t>
      </w:r>
      <w:r w:rsidRPr="00ED20E8">
        <w:rPr>
          <w:rFonts w:ascii="黑体" w:eastAsia="黑体" w:hAnsi="黑体"/>
          <w:color w:val="000000"/>
          <w:sz w:val="24"/>
        </w:rPr>
        <w:t>权利，</w:t>
      </w:r>
      <w:r w:rsidRPr="00ED20E8">
        <w:rPr>
          <w:rFonts w:ascii="黑体" w:eastAsia="黑体" w:hAnsi="黑体" w:hint="eastAsia"/>
          <w:color w:val="000000"/>
          <w:sz w:val="24"/>
        </w:rPr>
        <w:t>甲方具体是否享有</w:t>
      </w:r>
      <w:r w:rsidRPr="00ED20E8">
        <w:rPr>
          <w:rFonts w:ascii="黑体" w:eastAsia="黑体" w:hAnsi="黑体"/>
          <w:color w:val="000000"/>
          <w:sz w:val="24"/>
        </w:rPr>
        <w:t>理财产品的提前赎回权</w:t>
      </w:r>
      <w:r w:rsidRPr="00ED20E8">
        <w:rPr>
          <w:rFonts w:ascii="黑体" w:eastAsia="黑体" w:hAnsi="黑体" w:hint="eastAsia"/>
          <w:color w:val="000000"/>
          <w:sz w:val="24"/>
        </w:rPr>
        <w:t>及</w:t>
      </w:r>
      <w:r w:rsidRPr="00ED20E8">
        <w:rPr>
          <w:rFonts w:ascii="黑体" w:eastAsia="黑体" w:hAnsi="黑体"/>
          <w:color w:val="000000"/>
          <w:sz w:val="24"/>
        </w:rPr>
        <w:t>行使</w:t>
      </w:r>
      <w:r w:rsidRPr="00ED20E8">
        <w:rPr>
          <w:rFonts w:ascii="黑体" w:eastAsia="黑体" w:hAnsi="黑体" w:hint="eastAsia"/>
          <w:color w:val="000000"/>
          <w:sz w:val="24"/>
        </w:rPr>
        <w:t>权利</w:t>
      </w:r>
      <w:r w:rsidRPr="00ED20E8">
        <w:rPr>
          <w:rFonts w:ascii="黑体" w:eastAsia="黑体" w:hAnsi="黑体"/>
          <w:color w:val="000000"/>
          <w:sz w:val="24"/>
        </w:rPr>
        <w:t>的条件和内容</w:t>
      </w:r>
      <w:r w:rsidRPr="00ED20E8">
        <w:rPr>
          <w:rFonts w:ascii="黑体" w:eastAsia="黑体" w:hAnsi="黑体" w:hint="eastAsia"/>
          <w:color w:val="000000"/>
          <w:sz w:val="24"/>
        </w:rPr>
        <w:t>，依据《理财产品说明书》的</w:t>
      </w:r>
      <w:r w:rsidRPr="00ED20E8">
        <w:rPr>
          <w:rFonts w:ascii="黑体" w:eastAsia="黑体" w:hAnsi="黑体"/>
          <w:color w:val="000000"/>
          <w:sz w:val="24"/>
        </w:rPr>
        <w:t>约定</w:t>
      </w:r>
      <w:r w:rsidRPr="00ED20E8">
        <w:rPr>
          <w:rFonts w:ascii="黑体" w:eastAsia="黑体" w:hAnsi="黑体" w:hint="eastAsia"/>
          <w:color w:val="000000"/>
          <w:sz w:val="24"/>
        </w:rPr>
        <w:t>。</w:t>
      </w:r>
    </w:p>
    <w:p w14:paraId="52DD1E9C" w14:textId="77777777" w:rsidR="00B55224" w:rsidRPr="00ED20E8" w:rsidRDefault="002E1AE2">
      <w:pPr>
        <w:adjustRightInd w:val="0"/>
        <w:snapToGrid w:val="0"/>
        <w:spacing w:line="312" w:lineRule="auto"/>
        <w:ind w:firstLineChars="200" w:firstLine="480"/>
        <w:jc w:val="left"/>
        <w:rPr>
          <w:rFonts w:ascii="黑体" w:eastAsia="黑体" w:hAnsi="黑体" w:hint="eastAsia"/>
          <w:color w:val="000000"/>
          <w:sz w:val="24"/>
        </w:rPr>
      </w:pPr>
      <w:r w:rsidRPr="00ED20E8">
        <w:rPr>
          <w:rFonts w:ascii="黑体" w:eastAsia="黑体" w:hAnsi="黑体" w:hint="eastAsia"/>
          <w:color w:val="000000"/>
          <w:sz w:val="24"/>
        </w:rPr>
        <w:t>（十七）提前终止权：在理财产品存续期内产品管理人按照理财产品销售文件约定提前终止理财产品的权利，产品管理人</w:t>
      </w:r>
      <w:r w:rsidRPr="00ED20E8">
        <w:rPr>
          <w:rFonts w:ascii="黑体" w:eastAsia="黑体" w:hAnsi="黑体"/>
          <w:color w:val="000000"/>
          <w:sz w:val="24"/>
        </w:rPr>
        <w:t>具体是否</w:t>
      </w:r>
      <w:r w:rsidRPr="00ED20E8">
        <w:rPr>
          <w:rFonts w:ascii="黑体" w:eastAsia="黑体" w:hAnsi="黑体" w:hint="eastAsia"/>
          <w:color w:val="000000"/>
          <w:sz w:val="24"/>
        </w:rPr>
        <w:t>享有</w:t>
      </w:r>
      <w:r w:rsidRPr="00ED20E8">
        <w:rPr>
          <w:rFonts w:ascii="黑体" w:eastAsia="黑体" w:hAnsi="黑体"/>
          <w:color w:val="000000"/>
          <w:sz w:val="24"/>
        </w:rPr>
        <w:t>理财产品的提前终止权</w:t>
      </w:r>
      <w:r w:rsidRPr="00ED20E8">
        <w:rPr>
          <w:rFonts w:ascii="黑体" w:eastAsia="黑体" w:hAnsi="黑体" w:hint="eastAsia"/>
          <w:color w:val="000000"/>
          <w:sz w:val="24"/>
        </w:rPr>
        <w:t>及行使权利的条件和内容，依据《理财产品说明书》的</w:t>
      </w:r>
      <w:r w:rsidRPr="00ED20E8">
        <w:rPr>
          <w:rFonts w:ascii="黑体" w:eastAsia="黑体" w:hAnsi="黑体"/>
          <w:color w:val="000000"/>
          <w:sz w:val="24"/>
        </w:rPr>
        <w:t>约定</w:t>
      </w:r>
      <w:r w:rsidRPr="00ED20E8">
        <w:rPr>
          <w:rFonts w:ascii="黑体" w:eastAsia="黑体" w:hAnsi="黑体" w:hint="eastAsia"/>
          <w:color w:val="000000"/>
          <w:sz w:val="24"/>
        </w:rPr>
        <w:t>。</w:t>
      </w:r>
    </w:p>
    <w:p w14:paraId="07EC3A11" w14:textId="77777777" w:rsidR="00B55224" w:rsidRPr="00ED20E8" w:rsidRDefault="002E1AE2">
      <w:pPr>
        <w:adjustRightInd w:val="0"/>
        <w:snapToGrid w:val="0"/>
        <w:spacing w:line="312" w:lineRule="auto"/>
        <w:ind w:firstLineChars="200" w:firstLine="480"/>
        <w:jc w:val="left"/>
        <w:rPr>
          <w:rFonts w:ascii="黑体" w:eastAsia="黑体" w:hAnsi="黑体" w:hint="eastAsia"/>
          <w:color w:val="000000"/>
          <w:sz w:val="24"/>
        </w:rPr>
      </w:pPr>
      <w:r w:rsidRPr="00ED20E8">
        <w:rPr>
          <w:rFonts w:ascii="黑体" w:eastAsia="黑体" w:hAnsi="黑体" w:hint="eastAsia"/>
          <w:color w:val="000000"/>
          <w:sz w:val="24"/>
        </w:rPr>
        <w:t>（十八）代理销售机构：指根据产品管理人委托，代理销售理财产品的机构。</w:t>
      </w:r>
    </w:p>
    <w:p w14:paraId="0C7C472A" w14:textId="77777777" w:rsidR="00B55224" w:rsidRPr="00ED20E8" w:rsidRDefault="002E1AE2">
      <w:pPr>
        <w:adjustRightInd w:val="0"/>
        <w:snapToGrid w:val="0"/>
        <w:spacing w:line="312" w:lineRule="auto"/>
        <w:ind w:firstLineChars="200" w:firstLine="480"/>
        <w:jc w:val="left"/>
        <w:rPr>
          <w:rFonts w:ascii="黑体" w:eastAsia="黑体" w:hAnsi="黑体" w:hint="eastAsia"/>
          <w:color w:val="000000"/>
          <w:sz w:val="24"/>
        </w:rPr>
      </w:pPr>
      <w:r w:rsidRPr="00ED20E8">
        <w:rPr>
          <w:rFonts w:ascii="黑体" w:eastAsia="黑体" w:hAnsi="黑体" w:hint="eastAsia"/>
          <w:color w:val="000000"/>
          <w:sz w:val="24"/>
        </w:rPr>
        <w:t>（</w:t>
      </w:r>
      <w:r w:rsidRPr="00ED20E8">
        <w:rPr>
          <w:rFonts w:ascii="黑体" w:eastAsia="黑体" w:hAnsi="黑体" w:hint="eastAsia"/>
          <w:sz w:val="24"/>
        </w:rPr>
        <w:t>十九</w:t>
      </w:r>
      <w:r w:rsidRPr="00ED20E8">
        <w:rPr>
          <w:rFonts w:ascii="黑体" w:eastAsia="黑体" w:hAnsi="黑体" w:hint="eastAsia"/>
          <w:color w:val="000000"/>
          <w:sz w:val="24"/>
        </w:rPr>
        <w:t>）销售机构：指根据产品管理人委托，可以销售本理财产品的机构，包括产品管理人和代理销售机构。</w:t>
      </w:r>
    </w:p>
    <w:p w14:paraId="16C2D773" w14:textId="77777777" w:rsidR="00B55224" w:rsidRPr="00ED20E8" w:rsidRDefault="002E1AE2">
      <w:pPr>
        <w:adjustRightInd w:val="0"/>
        <w:snapToGrid w:val="0"/>
        <w:spacing w:line="312" w:lineRule="auto"/>
        <w:ind w:firstLineChars="200" w:firstLine="480"/>
        <w:jc w:val="left"/>
        <w:rPr>
          <w:rFonts w:ascii="黑体" w:eastAsia="黑体" w:hAnsi="黑体" w:hint="eastAsia"/>
          <w:sz w:val="24"/>
        </w:rPr>
      </w:pPr>
      <w:r w:rsidRPr="00ED20E8">
        <w:rPr>
          <w:rFonts w:ascii="黑体" w:eastAsia="黑体" w:hAnsi="黑体" w:hint="eastAsia"/>
          <w:sz w:val="24"/>
        </w:rPr>
        <w:t>（二十）线下渠道：包括但</w:t>
      </w:r>
      <w:r w:rsidRPr="00ED20E8">
        <w:rPr>
          <w:rFonts w:ascii="黑体" w:eastAsia="黑体" w:hAnsi="黑体"/>
          <w:sz w:val="24"/>
        </w:rPr>
        <w:t>不限于</w:t>
      </w:r>
      <w:r w:rsidRPr="00ED20E8">
        <w:rPr>
          <w:rFonts w:ascii="黑体" w:eastAsia="黑体" w:hAnsi="黑体" w:hint="eastAsia"/>
          <w:color w:val="000000"/>
          <w:sz w:val="24"/>
        </w:rPr>
        <w:t>销售机构</w:t>
      </w:r>
      <w:r w:rsidRPr="00ED20E8">
        <w:rPr>
          <w:rFonts w:ascii="黑体" w:eastAsia="黑体" w:hAnsi="黑体"/>
          <w:sz w:val="24"/>
        </w:rPr>
        <w:t>的</w:t>
      </w:r>
      <w:r w:rsidRPr="00ED20E8">
        <w:rPr>
          <w:rFonts w:ascii="黑体" w:eastAsia="黑体" w:hAnsi="黑体" w:hint="eastAsia"/>
          <w:sz w:val="24"/>
        </w:rPr>
        <w:t>营业网点</w:t>
      </w:r>
      <w:r w:rsidRPr="00ED20E8">
        <w:rPr>
          <w:rFonts w:ascii="黑体" w:eastAsia="黑体" w:hAnsi="黑体"/>
          <w:sz w:val="24"/>
        </w:rPr>
        <w:t>等具有实体营销场所的</w:t>
      </w:r>
      <w:r w:rsidRPr="00ED20E8">
        <w:rPr>
          <w:rFonts w:ascii="黑体" w:eastAsia="黑体" w:hAnsi="黑体" w:hint="eastAsia"/>
          <w:sz w:val="24"/>
        </w:rPr>
        <w:t>销售</w:t>
      </w:r>
      <w:r w:rsidRPr="00ED20E8">
        <w:rPr>
          <w:rFonts w:ascii="黑体" w:eastAsia="黑体" w:hAnsi="黑体"/>
          <w:sz w:val="24"/>
        </w:rPr>
        <w:t>渠道。</w:t>
      </w:r>
    </w:p>
    <w:p w14:paraId="4BD00B4D" w14:textId="77777777" w:rsidR="00B55224" w:rsidRPr="00ED20E8" w:rsidRDefault="002E1AE2">
      <w:pPr>
        <w:adjustRightInd w:val="0"/>
        <w:snapToGrid w:val="0"/>
        <w:spacing w:line="312" w:lineRule="auto"/>
        <w:ind w:firstLineChars="200" w:firstLine="480"/>
        <w:jc w:val="left"/>
        <w:rPr>
          <w:rFonts w:ascii="黑体" w:eastAsia="黑体" w:hAnsi="黑体" w:hint="eastAsia"/>
          <w:sz w:val="24"/>
        </w:rPr>
      </w:pPr>
      <w:r w:rsidRPr="00ED20E8">
        <w:rPr>
          <w:rFonts w:ascii="黑体" w:eastAsia="黑体" w:hAnsi="黑体" w:hint="eastAsia"/>
          <w:sz w:val="24"/>
        </w:rPr>
        <w:t>（二十一</w:t>
      </w:r>
      <w:r w:rsidRPr="00ED20E8">
        <w:rPr>
          <w:rFonts w:ascii="黑体" w:eastAsia="黑体" w:hAnsi="黑体"/>
          <w:sz w:val="24"/>
        </w:rPr>
        <w:t>）</w:t>
      </w:r>
      <w:r w:rsidRPr="00ED20E8">
        <w:rPr>
          <w:rFonts w:ascii="黑体" w:eastAsia="黑体" w:hAnsi="黑体" w:hint="eastAsia"/>
          <w:sz w:val="24"/>
        </w:rPr>
        <w:t>线上渠道</w:t>
      </w:r>
      <w:r w:rsidRPr="00ED20E8">
        <w:rPr>
          <w:rFonts w:ascii="黑体" w:eastAsia="黑体" w:hAnsi="黑体"/>
          <w:sz w:val="24"/>
        </w:rPr>
        <w:t>：</w:t>
      </w:r>
      <w:r w:rsidRPr="00ED20E8">
        <w:rPr>
          <w:rFonts w:ascii="黑体" w:eastAsia="黑体" w:hAnsi="黑体" w:hint="eastAsia"/>
          <w:sz w:val="24"/>
        </w:rPr>
        <w:t>包括</w:t>
      </w:r>
      <w:r w:rsidRPr="00ED20E8">
        <w:rPr>
          <w:rFonts w:ascii="黑体" w:eastAsia="黑体" w:hAnsi="黑体"/>
          <w:sz w:val="24"/>
        </w:rPr>
        <w:t>但不限于</w:t>
      </w:r>
      <w:r w:rsidRPr="00ED20E8">
        <w:rPr>
          <w:rFonts w:ascii="黑体" w:eastAsia="黑体" w:hAnsi="黑体" w:hint="eastAsia"/>
          <w:color w:val="000000"/>
          <w:sz w:val="24"/>
        </w:rPr>
        <w:t>销售机构</w:t>
      </w:r>
      <w:r w:rsidRPr="00ED20E8">
        <w:rPr>
          <w:rFonts w:ascii="黑体" w:eastAsia="黑体" w:hAnsi="黑体"/>
          <w:sz w:val="24"/>
        </w:rPr>
        <w:t>的</w:t>
      </w:r>
      <w:r w:rsidRPr="00ED20E8">
        <w:rPr>
          <w:rFonts w:ascii="黑体" w:eastAsia="黑体" w:hAnsi="黑体" w:hint="eastAsia"/>
          <w:sz w:val="24"/>
        </w:rPr>
        <w:t>网上销售</w:t>
      </w:r>
      <w:r w:rsidRPr="00ED20E8">
        <w:rPr>
          <w:rFonts w:ascii="黑体" w:eastAsia="黑体" w:hAnsi="黑体"/>
          <w:sz w:val="24"/>
        </w:rPr>
        <w:t>平台、手机</w:t>
      </w:r>
      <w:r w:rsidRPr="00ED20E8">
        <w:rPr>
          <w:rFonts w:ascii="黑体" w:eastAsia="黑体" w:hAnsi="黑体" w:hint="eastAsia"/>
          <w:sz w:val="24"/>
        </w:rPr>
        <w:t>销售</w:t>
      </w:r>
      <w:r w:rsidRPr="00ED20E8">
        <w:rPr>
          <w:rFonts w:ascii="黑体" w:eastAsia="黑体" w:hAnsi="黑体"/>
          <w:sz w:val="24"/>
        </w:rPr>
        <w:t>平台</w:t>
      </w:r>
      <w:r w:rsidRPr="00ED20E8">
        <w:rPr>
          <w:rFonts w:ascii="黑体" w:eastAsia="黑体" w:hAnsi="黑体" w:hint="eastAsia"/>
          <w:sz w:val="24"/>
        </w:rPr>
        <w:t>等不</w:t>
      </w:r>
      <w:r w:rsidRPr="00ED20E8">
        <w:rPr>
          <w:rFonts w:ascii="黑体" w:eastAsia="黑体" w:hAnsi="黑体"/>
          <w:sz w:val="24"/>
        </w:rPr>
        <w:t>具有实体营销场所的</w:t>
      </w:r>
      <w:r w:rsidRPr="00ED20E8">
        <w:rPr>
          <w:rFonts w:ascii="黑体" w:eastAsia="黑体" w:hAnsi="黑体" w:hint="eastAsia"/>
          <w:sz w:val="24"/>
        </w:rPr>
        <w:t>销售</w:t>
      </w:r>
      <w:r w:rsidRPr="00ED20E8">
        <w:rPr>
          <w:rFonts w:ascii="黑体" w:eastAsia="黑体" w:hAnsi="黑体"/>
          <w:sz w:val="24"/>
        </w:rPr>
        <w:t>渠道。</w:t>
      </w:r>
    </w:p>
    <w:p w14:paraId="074E6F7A" w14:textId="77777777" w:rsidR="00B55224" w:rsidRPr="00ED20E8" w:rsidRDefault="002E1AE2">
      <w:pPr>
        <w:adjustRightInd w:val="0"/>
        <w:snapToGrid w:val="0"/>
        <w:spacing w:line="312" w:lineRule="auto"/>
        <w:ind w:firstLineChars="200" w:firstLine="480"/>
        <w:jc w:val="left"/>
        <w:rPr>
          <w:rFonts w:ascii="黑体" w:eastAsia="黑体" w:hAnsi="黑体" w:hint="eastAsia"/>
          <w:sz w:val="24"/>
        </w:rPr>
      </w:pPr>
      <w:r w:rsidRPr="00ED20E8">
        <w:rPr>
          <w:rFonts w:ascii="黑体" w:eastAsia="黑体" w:hAnsi="黑体" w:hint="eastAsia"/>
          <w:sz w:val="24"/>
        </w:rPr>
        <w:t>（二十二</w:t>
      </w:r>
      <w:r w:rsidRPr="00ED20E8">
        <w:rPr>
          <w:rFonts w:ascii="黑体" w:eastAsia="黑体" w:hAnsi="黑体"/>
          <w:sz w:val="24"/>
        </w:rPr>
        <w:t>）</w:t>
      </w:r>
      <w:r w:rsidRPr="00ED20E8">
        <w:rPr>
          <w:rFonts w:ascii="黑体" w:eastAsia="黑体" w:hAnsi="黑体" w:hint="eastAsia"/>
          <w:sz w:val="24"/>
        </w:rPr>
        <w:t>理财产品销售</w:t>
      </w:r>
      <w:r w:rsidRPr="00ED20E8">
        <w:rPr>
          <w:rFonts w:ascii="黑体" w:eastAsia="黑体" w:hAnsi="黑体"/>
          <w:sz w:val="24"/>
        </w:rPr>
        <w:t>文件：</w:t>
      </w:r>
      <w:r w:rsidRPr="00ED20E8">
        <w:rPr>
          <w:rFonts w:ascii="黑体" w:eastAsia="黑体" w:hAnsi="黑体" w:hint="eastAsia"/>
          <w:sz w:val="24"/>
        </w:rPr>
        <w:t>包括《理财产品说明书》、《风险揭示书》、《销售（代理销售）协议书》、《投资协议书》和《投资者权益须知》等有关文件，以及对以上文件的有效修改或补充。</w:t>
      </w:r>
    </w:p>
    <w:p w14:paraId="67176160" w14:textId="3D2000EA" w:rsidR="00B55224" w:rsidRPr="00ED20E8" w:rsidRDefault="002E1AE2">
      <w:pPr>
        <w:adjustRightInd w:val="0"/>
        <w:snapToGrid w:val="0"/>
        <w:spacing w:line="312" w:lineRule="auto"/>
        <w:ind w:firstLineChars="200" w:firstLine="480"/>
        <w:jc w:val="left"/>
        <w:rPr>
          <w:rFonts w:ascii="黑体" w:eastAsia="黑体" w:hAnsi="黑体" w:hint="eastAsia"/>
          <w:sz w:val="24"/>
        </w:rPr>
      </w:pPr>
      <w:r w:rsidRPr="00ED20E8">
        <w:rPr>
          <w:rFonts w:ascii="黑体" w:eastAsia="黑体" w:hAnsi="黑体" w:hint="eastAsia"/>
          <w:sz w:val="24"/>
        </w:rPr>
        <w:t>（二十三）《理财产品说明书》：指《</w:t>
      </w:r>
      <w:r w:rsidR="00472485" w:rsidRPr="00ED20E8">
        <w:rPr>
          <w:rFonts w:ascii="黑体" w:eastAsia="黑体" w:hAnsi="黑体" w:hint="eastAsia"/>
          <w:sz w:val="24"/>
        </w:rPr>
        <w:t>宁银理财宁欣日日薪固定收益类日开理财57号（最短持有14天）</w:t>
      </w:r>
      <w:r w:rsidRPr="00ED20E8">
        <w:rPr>
          <w:rFonts w:ascii="黑体" w:eastAsia="黑体" w:hAnsi="黑体" w:hint="eastAsia"/>
          <w:sz w:val="24"/>
        </w:rPr>
        <w:t>产品说明书》，以及对该文件的有效修改或补充。</w:t>
      </w:r>
    </w:p>
    <w:p w14:paraId="06FF99B6" w14:textId="35A82D06" w:rsidR="00B55224" w:rsidRPr="00ED20E8" w:rsidRDefault="002E1AE2">
      <w:pPr>
        <w:adjustRightInd w:val="0"/>
        <w:snapToGrid w:val="0"/>
        <w:spacing w:line="312" w:lineRule="auto"/>
        <w:ind w:firstLineChars="200" w:firstLine="480"/>
        <w:jc w:val="left"/>
        <w:rPr>
          <w:rFonts w:ascii="黑体" w:eastAsia="黑体" w:hAnsi="黑体" w:hint="eastAsia"/>
          <w:sz w:val="24"/>
        </w:rPr>
      </w:pPr>
      <w:r w:rsidRPr="00ED20E8">
        <w:rPr>
          <w:rFonts w:ascii="黑体" w:eastAsia="黑体" w:hAnsi="黑体" w:hint="eastAsia"/>
          <w:sz w:val="24"/>
        </w:rPr>
        <w:t>（二十四）《风险揭示书》：指《</w:t>
      </w:r>
      <w:r w:rsidR="00472485" w:rsidRPr="00ED20E8">
        <w:rPr>
          <w:rFonts w:ascii="黑体" w:eastAsia="黑体" w:hAnsi="黑体" w:hint="eastAsia"/>
          <w:sz w:val="24"/>
        </w:rPr>
        <w:t>宁银理财宁欣日日薪固定收益类日开理财57号（最短持有14天）</w:t>
      </w:r>
      <w:r w:rsidRPr="00ED20E8">
        <w:rPr>
          <w:rFonts w:ascii="黑体" w:eastAsia="黑体" w:hAnsi="黑体" w:hint="eastAsia"/>
          <w:sz w:val="24"/>
        </w:rPr>
        <w:t>产品风险揭示书》，以及对该文件的有效修改或补充。</w:t>
      </w:r>
    </w:p>
    <w:p w14:paraId="16B89BEF" w14:textId="52C8B4EA" w:rsidR="00B55224" w:rsidRPr="00ED20E8" w:rsidRDefault="002E1AE2">
      <w:pPr>
        <w:adjustRightInd w:val="0"/>
        <w:snapToGrid w:val="0"/>
        <w:spacing w:line="312" w:lineRule="auto"/>
        <w:ind w:firstLineChars="200" w:firstLine="480"/>
        <w:jc w:val="left"/>
        <w:rPr>
          <w:rFonts w:ascii="黑体" w:eastAsia="黑体" w:hAnsi="黑体" w:hint="eastAsia"/>
          <w:sz w:val="24"/>
        </w:rPr>
      </w:pPr>
      <w:r w:rsidRPr="00ED20E8">
        <w:rPr>
          <w:rFonts w:ascii="黑体" w:eastAsia="黑体" w:hAnsi="黑体" w:hint="eastAsia"/>
          <w:sz w:val="24"/>
        </w:rPr>
        <w:t>（二十五）《销售协议书》：指本理财</w:t>
      </w:r>
      <w:r w:rsidRPr="00ED20E8">
        <w:rPr>
          <w:rFonts w:ascii="黑体" w:eastAsia="黑体" w:hAnsi="黑体"/>
          <w:sz w:val="24"/>
        </w:rPr>
        <w:t>产品</w:t>
      </w:r>
      <w:r w:rsidRPr="00ED20E8">
        <w:rPr>
          <w:rFonts w:ascii="黑体" w:eastAsia="黑体" w:hAnsi="黑体" w:hint="eastAsia"/>
          <w:sz w:val="24"/>
        </w:rPr>
        <w:t>由</w:t>
      </w:r>
      <w:r w:rsidRPr="00ED20E8">
        <w:rPr>
          <w:rFonts w:ascii="黑体" w:eastAsia="黑体" w:hAnsi="黑体"/>
          <w:sz w:val="24"/>
        </w:rPr>
        <w:t>产品管理人直销情况下，</w:t>
      </w:r>
      <w:r w:rsidRPr="00ED20E8">
        <w:rPr>
          <w:rFonts w:ascii="黑体" w:eastAsia="黑体" w:hAnsi="黑体" w:hint="eastAsia"/>
          <w:sz w:val="24"/>
        </w:rPr>
        <w:t>由</w:t>
      </w:r>
      <w:r w:rsidRPr="00ED20E8">
        <w:rPr>
          <w:rFonts w:ascii="黑体" w:eastAsia="黑体" w:hAnsi="黑体"/>
          <w:sz w:val="24"/>
        </w:rPr>
        <w:t>投资者和产品管理人签署的</w:t>
      </w:r>
      <w:r w:rsidRPr="00ED20E8">
        <w:rPr>
          <w:rFonts w:ascii="黑体" w:eastAsia="黑体" w:hAnsi="黑体" w:hint="eastAsia"/>
          <w:sz w:val="24"/>
        </w:rPr>
        <w:t>《</w:t>
      </w:r>
      <w:r w:rsidR="00472485" w:rsidRPr="00ED20E8">
        <w:rPr>
          <w:rFonts w:ascii="黑体" w:eastAsia="黑体" w:hAnsi="黑体" w:hint="eastAsia"/>
          <w:sz w:val="24"/>
        </w:rPr>
        <w:t>宁银理财宁欣日日薪固定收益类日开理财57号（最短持有14天）</w:t>
      </w:r>
      <w:r w:rsidRPr="00ED20E8">
        <w:rPr>
          <w:rFonts w:ascii="黑体" w:eastAsia="黑体" w:hAnsi="黑体" w:hint="eastAsia"/>
          <w:sz w:val="24"/>
        </w:rPr>
        <w:t>产品销售协议书》，以及对该文件的有效修改或补充。</w:t>
      </w:r>
    </w:p>
    <w:p w14:paraId="4342D7DF" w14:textId="13F827E8" w:rsidR="00B55224" w:rsidRPr="00ED20E8" w:rsidRDefault="002E1AE2">
      <w:pPr>
        <w:adjustRightInd w:val="0"/>
        <w:snapToGrid w:val="0"/>
        <w:spacing w:line="312" w:lineRule="auto"/>
        <w:ind w:firstLineChars="200" w:firstLine="480"/>
        <w:jc w:val="left"/>
        <w:rPr>
          <w:rFonts w:ascii="黑体" w:eastAsia="黑体" w:hAnsi="黑体" w:hint="eastAsia"/>
          <w:sz w:val="24"/>
        </w:rPr>
      </w:pPr>
      <w:r w:rsidRPr="00ED20E8">
        <w:rPr>
          <w:rFonts w:ascii="黑体" w:eastAsia="黑体" w:hAnsi="黑体" w:hint="eastAsia"/>
          <w:sz w:val="24"/>
        </w:rPr>
        <w:t>（二十六）《代理销售协议书》：指本理财</w:t>
      </w:r>
      <w:r w:rsidRPr="00ED20E8">
        <w:rPr>
          <w:rFonts w:ascii="黑体" w:eastAsia="黑体" w:hAnsi="黑体"/>
          <w:sz w:val="24"/>
        </w:rPr>
        <w:t>产品</w:t>
      </w:r>
      <w:r w:rsidRPr="00ED20E8">
        <w:rPr>
          <w:rFonts w:ascii="黑体" w:eastAsia="黑体" w:hAnsi="黑体" w:hint="eastAsia"/>
          <w:sz w:val="24"/>
        </w:rPr>
        <w:t>由乙方作为</w:t>
      </w:r>
      <w:r w:rsidRPr="00ED20E8">
        <w:rPr>
          <w:rFonts w:ascii="黑体" w:eastAsia="黑体" w:hAnsi="黑体"/>
          <w:sz w:val="24"/>
        </w:rPr>
        <w:t>代理销售机构</w:t>
      </w:r>
      <w:r w:rsidRPr="00ED20E8">
        <w:rPr>
          <w:rFonts w:ascii="黑体" w:eastAsia="黑体" w:hAnsi="黑体" w:hint="eastAsia"/>
          <w:sz w:val="24"/>
        </w:rPr>
        <w:t>代</w:t>
      </w:r>
      <w:r w:rsidRPr="00ED20E8">
        <w:rPr>
          <w:rFonts w:ascii="黑体" w:eastAsia="黑体" w:hAnsi="黑体"/>
          <w:sz w:val="24"/>
        </w:rPr>
        <w:t>销情况下，</w:t>
      </w:r>
      <w:r w:rsidRPr="00ED20E8">
        <w:rPr>
          <w:rFonts w:ascii="黑体" w:eastAsia="黑体" w:hAnsi="黑体" w:hint="eastAsia"/>
          <w:sz w:val="24"/>
        </w:rPr>
        <w:t>由投资者和代理销售机构签署的《</w:t>
      </w:r>
      <w:r w:rsidR="00472485" w:rsidRPr="00ED20E8">
        <w:rPr>
          <w:rFonts w:ascii="黑体" w:eastAsia="黑体" w:hAnsi="黑体" w:hint="eastAsia"/>
          <w:sz w:val="24"/>
        </w:rPr>
        <w:t>宁银理财宁欣日日薪固定收益类日开理财57号（最短持有14天）</w:t>
      </w:r>
      <w:r w:rsidRPr="00ED20E8">
        <w:rPr>
          <w:rFonts w:ascii="黑体" w:eastAsia="黑体" w:hAnsi="黑体" w:hint="eastAsia"/>
          <w:sz w:val="24"/>
        </w:rPr>
        <w:t>产品代理销售协议书》，以及对该文件的有效修改或补充。</w:t>
      </w:r>
    </w:p>
    <w:p w14:paraId="76605AC1" w14:textId="77777777" w:rsidR="00B55224" w:rsidRPr="00ED20E8" w:rsidRDefault="002E1AE2">
      <w:pPr>
        <w:adjustRightInd w:val="0"/>
        <w:snapToGrid w:val="0"/>
        <w:spacing w:line="312" w:lineRule="auto"/>
        <w:ind w:firstLineChars="200" w:firstLine="480"/>
        <w:jc w:val="left"/>
        <w:rPr>
          <w:rFonts w:ascii="黑体" w:eastAsia="黑体" w:hAnsi="黑体" w:hint="eastAsia"/>
          <w:sz w:val="24"/>
        </w:rPr>
      </w:pPr>
      <w:r w:rsidRPr="00ED20E8">
        <w:rPr>
          <w:rFonts w:ascii="黑体" w:eastAsia="黑体" w:hAnsi="黑体" w:hint="eastAsia"/>
          <w:sz w:val="24"/>
        </w:rPr>
        <w:t>（二十七）《投资协议书》：指《宁银理财有限责任公司产品投资协议书》，以及对该文件的有效修改或补充。</w:t>
      </w:r>
    </w:p>
    <w:p w14:paraId="698688A9" w14:textId="77777777" w:rsidR="00B55224" w:rsidRPr="00ED20E8" w:rsidRDefault="002E1AE2">
      <w:pPr>
        <w:adjustRightInd w:val="0"/>
        <w:snapToGrid w:val="0"/>
        <w:spacing w:line="312" w:lineRule="auto"/>
        <w:ind w:firstLineChars="200" w:firstLine="480"/>
        <w:jc w:val="left"/>
        <w:rPr>
          <w:rFonts w:ascii="黑体" w:eastAsia="黑体" w:hAnsi="黑体" w:hint="eastAsia"/>
          <w:color w:val="000000"/>
          <w:sz w:val="24"/>
        </w:rPr>
      </w:pPr>
      <w:r w:rsidRPr="00ED20E8">
        <w:rPr>
          <w:rFonts w:ascii="黑体" w:eastAsia="黑体" w:hAnsi="黑体" w:hint="eastAsia"/>
          <w:sz w:val="24"/>
        </w:rPr>
        <w:t>（二十八）《投资者权益须知》：指《</w:t>
      </w:r>
      <w:r w:rsidRPr="00ED20E8">
        <w:rPr>
          <w:rFonts w:ascii="黑体" w:eastAsia="黑体" w:hAnsi="黑体" w:hint="eastAsia"/>
          <w:bCs/>
          <w:sz w:val="24"/>
        </w:rPr>
        <w:t>宁银理财有限责任公司产品</w:t>
      </w:r>
      <w:r w:rsidRPr="00ED20E8">
        <w:rPr>
          <w:rFonts w:ascii="黑体" w:eastAsia="黑体" w:hAnsi="黑体" w:hint="eastAsia"/>
          <w:sz w:val="24"/>
        </w:rPr>
        <w:t>投资者权益须知》，以及对该文件的有效修改或补充。</w:t>
      </w:r>
    </w:p>
    <w:p w14:paraId="6935A09F" w14:textId="77777777" w:rsidR="00B55224" w:rsidRPr="00ED20E8" w:rsidRDefault="002E1AE2">
      <w:pPr>
        <w:widowControl/>
        <w:spacing w:afterLines="50" w:after="156" w:line="312" w:lineRule="auto"/>
        <w:ind w:firstLine="420"/>
        <w:jc w:val="left"/>
        <w:rPr>
          <w:rFonts w:ascii="黑体" w:eastAsia="黑体" w:hAnsi="黑体" w:cs="宋体" w:hint="eastAsia"/>
          <w:color w:val="666666"/>
          <w:kern w:val="0"/>
          <w:szCs w:val="21"/>
        </w:rPr>
      </w:pPr>
      <w:r w:rsidRPr="00ED20E8">
        <w:rPr>
          <w:rFonts w:ascii="黑体" w:eastAsia="黑体" w:hAnsi="黑体"/>
          <w:b/>
          <w:bCs/>
          <w:sz w:val="24"/>
        </w:rPr>
        <w:t>第</w:t>
      </w:r>
      <w:r w:rsidRPr="00ED20E8">
        <w:rPr>
          <w:rFonts w:ascii="黑体" w:eastAsia="黑体" w:hAnsi="黑体" w:hint="eastAsia"/>
          <w:b/>
          <w:bCs/>
          <w:sz w:val="24"/>
        </w:rPr>
        <w:t>二</w:t>
      </w:r>
      <w:r w:rsidRPr="00ED20E8">
        <w:rPr>
          <w:rFonts w:ascii="黑体" w:eastAsia="黑体" w:hAnsi="黑体"/>
          <w:b/>
          <w:bCs/>
          <w:sz w:val="24"/>
        </w:rPr>
        <w:t>条</w:t>
      </w:r>
      <w:r w:rsidRPr="00ED20E8">
        <w:rPr>
          <w:rFonts w:ascii="黑体" w:eastAsia="黑体" w:hAnsi="黑体" w:hint="eastAsia"/>
          <w:b/>
          <w:bCs/>
          <w:sz w:val="24"/>
        </w:rPr>
        <w:t xml:space="preserve"> </w:t>
      </w:r>
      <w:r w:rsidRPr="00ED20E8">
        <w:rPr>
          <w:rFonts w:ascii="黑体" w:eastAsia="黑体" w:hAnsi="黑体" w:hint="eastAsia"/>
          <w:b/>
          <w:sz w:val="24"/>
        </w:rPr>
        <w:t>本理财产品非乙方所发行的理财产品，乙方仅作为本产品的代理销售机构，非本产品的发行机构与管理机构，对本产品的业绩不承担任何保证或其他经济责任，不承担本产品的投资、兑付和风险管理责任。乙方受理的代理销售理财产品业务申请，以产品管理人的最终确认结果为准。</w:t>
      </w:r>
    </w:p>
    <w:p w14:paraId="495FDCD0" w14:textId="77777777" w:rsidR="00B55224" w:rsidRPr="00ED20E8" w:rsidRDefault="002E1AE2">
      <w:pPr>
        <w:adjustRightInd w:val="0"/>
        <w:snapToGrid w:val="0"/>
        <w:spacing w:line="312" w:lineRule="auto"/>
        <w:ind w:firstLineChars="196" w:firstLine="472"/>
        <w:rPr>
          <w:rFonts w:ascii="黑体" w:eastAsia="黑体" w:hAnsi="黑体" w:hint="eastAsia"/>
          <w:sz w:val="24"/>
        </w:rPr>
      </w:pPr>
      <w:r w:rsidRPr="00ED20E8">
        <w:rPr>
          <w:rFonts w:ascii="黑体" w:eastAsia="黑体" w:hAnsi="黑体"/>
          <w:b/>
          <w:bCs/>
          <w:sz w:val="24"/>
        </w:rPr>
        <w:t>第</w:t>
      </w:r>
      <w:r w:rsidRPr="00ED20E8">
        <w:rPr>
          <w:rFonts w:ascii="黑体" w:eastAsia="黑体" w:hAnsi="黑体" w:hint="eastAsia"/>
          <w:b/>
          <w:bCs/>
          <w:sz w:val="24"/>
        </w:rPr>
        <w:t>三</w:t>
      </w:r>
      <w:r w:rsidRPr="00ED20E8">
        <w:rPr>
          <w:rFonts w:ascii="黑体" w:eastAsia="黑体" w:hAnsi="黑体"/>
          <w:b/>
          <w:bCs/>
          <w:sz w:val="24"/>
        </w:rPr>
        <w:t>条</w:t>
      </w:r>
      <w:r w:rsidRPr="00ED20E8">
        <w:rPr>
          <w:rFonts w:ascii="黑体" w:eastAsia="黑体" w:hAnsi="黑体" w:hint="eastAsia"/>
          <w:b/>
          <w:bCs/>
          <w:sz w:val="24"/>
        </w:rPr>
        <w:t xml:space="preserve"> 本协议所称</w:t>
      </w:r>
      <w:r w:rsidRPr="00ED20E8">
        <w:rPr>
          <w:rFonts w:ascii="黑体" w:eastAsia="黑体" w:hAnsi="黑体" w:hint="eastAsia"/>
          <w:b/>
          <w:sz w:val="24"/>
        </w:rPr>
        <w:t>理财产品是指产品管理人按照约定条件和实际投资收益情况向投资者支付收益、不保证本金支付和收益水平的非保本理财产品</w:t>
      </w:r>
      <w:r w:rsidRPr="00ED20E8">
        <w:rPr>
          <w:rFonts w:ascii="黑体" w:eastAsia="黑体" w:hAnsi="黑体"/>
          <w:b/>
          <w:sz w:val="24"/>
        </w:rPr>
        <w:t>。</w:t>
      </w:r>
      <w:r w:rsidRPr="00ED20E8">
        <w:rPr>
          <w:rFonts w:ascii="黑体" w:eastAsia="黑体" w:hAnsi="黑体" w:hint="eastAsia"/>
          <w:b/>
          <w:sz w:val="24"/>
        </w:rPr>
        <w:t>甲方认（申）购本理财产品，投资风险</w:t>
      </w:r>
      <w:r w:rsidRPr="00ED20E8">
        <w:rPr>
          <w:rFonts w:ascii="黑体" w:eastAsia="黑体" w:hAnsi="黑体" w:hint="eastAsia"/>
          <w:b/>
          <w:sz w:val="24"/>
        </w:rPr>
        <w:lastRenderedPageBreak/>
        <w:t>由甲方承担。投资风险包括但不限于市场风险、信用风险等，具体详见《风险揭示书》。</w:t>
      </w:r>
    </w:p>
    <w:p w14:paraId="7DA6E45C" w14:textId="77777777" w:rsidR="00B55224" w:rsidRPr="00ED20E8" w:rsidRDefault="002E1AE2">
      <w:pPr>
        <w:adjustRightInd w:val="0"/>
        <w:snapToGrid w:val="0"/>
        <w:spacing w:line="312" w:lineRule="auto"/>
        <w:ind w:firstLineChars="200" w:firstLine="482"/>
        <w:jc w:val="left"/>
        <w:rPr>
          <w:rFonts w:ascii="黑体" w:eastAsia="黑体" w:hAnsi="黑体" w:hint="eastAsia"/>
          <w:b/>
          <w:sz w:val="24"/>
          <w:u w:val="single"/>
        </w:rPr>
      </w:pPr>
      <w:r w:rsidRPr="00ED20E8">
        <w:rPr>
          <w:rFonts w:ascii="黑体" w:eastAsia="黑体" w:hAnsi="黑体" w:hint="eastAsia"/>
          <w:b/>
          <w:sz w:val="24"/>
        </w:rPr>
        <w:t xml:space="preserve">第四条 </w:t>
      </w:r>
      <w:r w:rsidRPr="00ED20E8">
        <w:rPr>
          <w:rFonts w:ascii="黑体" w:eastAsia="黑体" w:hAnsi="黑体" w:hint="eastAsia"/>
          <w:b/>
          <w:sz w:val="24"/>
          <w:u w:val="single"/>
        </w:rPr>
        <w:t>根据理财产品投资范围、风险收益特点、流动性等不同因素，乙方代理销售的理财产品分为五个风险等级，与甲方在乙方评估的风险承受能力等级五个等级一一对应。甲方需根据风险承受能力评估结果选择风险承受能力相匹配的产品。非机构投资者在乙方销售渠道首次购买理财产品前，需进行风险承受能力评估。超过</w:t>
      </w:r>
      <w:r w:rsidRPr="00ED20E8">
        <w:rPr>
          <w:rFonts w:ascii="黑体" w:eastAsia="黑体" w:hAnsi="黑体"/>
          <w:b/>
          <w:sz w:val="24"/>
          <w:u w:val="single"/>
        </w:rPr>
        <w:t>一年未进行风险承受能力</w:t>
      </w:r>
      <w:r w:rsidRPr="00ED20E8">
        <w:rPr>
          <w:rFonts w:ascii="黑体" w:eastAsia="黑体" w:hAnsi="黑体" w:hint="eastAsia"/>
          <w:b/>
          <w:sz w:val="24"/>
          <w:u w:val="single"/>
        </w:rPr>
        <w:t>评估或</w:t>
      </w:r>
      <w:r w:rsidRPr="00ED20E8">
        <w:rPr>
          <w:rFonts w:ascii="黑体" w:eastAsia="黑体" w:hAnsi="黑体"/>
          <w:b/>
          <w:sz w:val="24"/>
          <w:u w:val="single"/>
        </w:rPr>
        <w:t>发生可能影响自身风险承受能力情况的投资者，再次购买理财产品前，应当</w:t>
      </w:r>
      <w:r w:rsidRPr="00ED20E8">
        <w:rPr>
          <w:rFonts w:ascii="黑体" w:eastAsia="黑体" w:hAnsi="黑体" w:hint="eastAsia"/>
          <w:b/>
          <w:sz w:val="24"/>
          <w:u w:val="single"/>
        </w:rPr>
        <w:t>在乙方销售渠道重新完成</w:t>
      </w:r>
      <w:r w:rsidRPr="00ED20E8">
        <w:rPr>
          <w:rFonts w:ascii="黑体" w:eastAsia="黑体" w:hAnsi="黑体"/>
          <w:b/>
          <w:sz w:val="24"/>
          <w:u w:val="single"/>
        </w:rPr>
        <w:t>风险承受能力评估。</w:t>
      </w:r>
    </w:p>
    <w:p w14:paraId="0693A499" w14:textId="77777777" w:rsidR="00B55224" w:rsidRPr="00ED20E8" w:rsidRDefault="002E1AE2">
      <w:pPr>
        <w:adjustRightInd w:val="0"/>
        <w:snapToGrid w:val="0"/>
        <w:spacing w:line="312" w:lineRule="auto"/>
        <w:ind w:firstLineChars="200" w:firstLine="482"/>
        <w:rPr>
          <w:rFonts w:ascii="黑体" w:eastAsia="黑体" w:hAnsi="黑体" w:hint="eastAsia"/>
          <w:bCs/>
          <w:sz w:val="24"/>
        </w:rPr>
      </w:pPr>
      <w:r w:rsidRPr="00ED20E8">
        <w:rPr>
          <w:rFonts w:ascii="黑体" w:eastAsia="黑体" w:hAnsi="黑体" w:hint="eastAsia"/>
          <w:b/>
          <w:bCs/>
          <w:sz w:val="24"/>
        </w:rPr>
        <w:t xml:space="preserve">第五条 </w:t>
      </w:r>
      <w:r w:rsidRPr="00ED20E8">
        <w:rPr>
          <w:rFonts w:ascii="黑体" w:eastAsia="黑体" w:hAnsi="黑体" w:hint="eastAsia"/>
          <w:bCs/>
          <w:sz w:val="24"/>
        </w:rPr>
        <w:t>理财产品的认（申）购及赎回相关规则，详见《理财产品说明书》。</w:t>
      </w:r>
      <w:r w:rsidRPr="00ED20E8">
        <w:rPr>
          <w:rFonts w:ascii="黑体" w:eastAsia="黑体" w:hAnsi="黑体" w:hint="eastAsia"/>
          <w:b/>
          <w:bCs/>
          <w:sz w:val="24"/>
        </w:rPr>
        <w:t>乙方将甲方认（申）购投资本金划付至产品管理人前，对应投资本金的划付和计息方式以乙方规则为准。在产品约定的投资期内，投资本金不另计存款利息。</w:t>
      </w:r>
    </w:p>
    <w:p w14:paraId="691E28C4" w14:textId="77777777" w:rsidR="00B55224" w:rsidRPr="00ED20E8" w:rsidRDefault="002E1AE2">
      <w:pPr>
        <w:adjustRightInd w:val="0"/>
        <w:snapToGrid w:val="0"/>
        <w:spacing w:line="312" w:lineRule="auto"/>
        <w:ind w:firstLineChars="200" w:firstLine="482"/>
        <w:rPr>
          <w:rFonts w:ascii="黑体" w:eastAsia="黑体" w:hAnsi="黑体" w:hint="eastAsia"/>
          <w:bCs/>
          <w:sz w:val="24"/>
        </w:rPr>
      </w:pPr>
      <w:r w:rsidRPr="00ED20E8">
        <w:rPr>
          <w:rFonts w:ascii="黑体" w:eastAsia="黑体" w:hAnsi="黑体" w:hint="eastAsia"/>
          <w:b/>
          <w:bCs/>
          <w:sz w:val="24"/>
        </w:rPr>
        <w:t xml:space="preserve">第六条 </w:t>
      </w:r>
      <w:r w:rsidRPr="00ED20E8">
        <w:rPr>
          <w:rFonts w:ascii="黑体" w:eastAsia="黑体" w:hAnsi="黑体" w:hint="eastAsia"/>
          <w:bCs/>
          <w:sz w:val="24"/>
        </w:rPr>
        <w:t>本协议项下理财产品存续期内，甲方是否可办理赎回，详见《理财产品说明书》。</w:t>
      </w:r>
    </w:p>
    <w:p w14:paraId="450EE755" w14:textId="77777777" w:rsidR="00B55224" w:rsidRPr="00ED20E8" w:rsidRDefault="002E1AE2">
      <w:pPr>
        <w:adjustRightInd w:val="0"/>
        <w:snapToGrid w:val="0"/>
        <w:spacing w:line="312" w:lineRule="auto"/>
        <w:ind w:firstLineChars="200" w:firstLine="482"/>
        <w:rPr>
          <w:rFonts w:ascii="黑体" w:eastAsia="黑体" w:hAnsi="黑体" w:hint="eastAsia"/>
          <w:bCs/>
          <w:sz w:val="24"/>
        </w:rPr>
      </w:pPr>
      <w:r w:rsidRPr="00ED20E8">
        <w:rPr>
          <w:rFonts w:ascii="黑体" w:eastAsia="黑体" w:hAnsi="黑体" w:hint="eastAsia"/>
          <w:b/>
          <w:bCs/>
          <w:sz w:val="24"/>
        </w:rPr>
        <w:t>未经产品</w:t>
      </w:r>
      <w:r w:rsidRPr="00ED20E8">
        <w:rPr>
          <w:rFonts w:ascii="黑体" w:eastAsia="黑体" w:hAnsi="黑体"/>
          <w:b/>
          <w:bCs/>
          <w:sz w:val="24"/>
        </w:rPr>
        <w:t>管理人同意，</w:t>
      </w:r>
      <w:r w:rsidRPr="00ED20E8">
        <w:rPr>
          <w:rFonts w:ascii="黑体" w:eastAsia="黑体" w:hAnsi="黑体" w:hint="eastAsia"/>
          <w:b/>
          <w:bCs/>
          <w:sz w:val="24"/>
        </w:rPr>
        <w:t>甲方不得</w:t>
      </w:r>
      <w:r w:rsidRPr="00ED20E8">
        <w:rPr>
          <w:rFonts w:ascii="黑体" w:eastAsia="黑体" w:hAnsi="黑体"/>
          <w:b/>
          <w:bCs/>
          <w:sz w:val="24"/>
        </w:rPr>
        <w:t>以本</w:t>
      </w:r>
      <w:r w:rsidRPr="00ED20E8">
        <w:rPr>
          <w:rFonts w:ascii="黑体" w:eastAsia="黑体" w:hAnsi="黑体" w:hint="eastAsia"/>
          <w:b/>
          <w:bCs/>
          <w:sz w:val="24"/>
        </w:rPr>
        <w:t>协议</w:t>
      </w:r>
      <w:r w:rsidRPr="00ED20E8">
        <w:rPr>
          <w:rFonts w:ascii="黑体" w:eastAsia="黑体" w:hAnsi="黑体"/>
          <w:b/>
          <w:bCs/>
          <w:sz w:val="24"/>
        </w:rPr>
        <w:t>项下</w:t>
      </w:r>
      <w:r w:rsidRPr="00ED20E8">
        <w:rPr>
          <w:rFonts w:ascii="黑体" w:eastAsia="黑体" w:hAnsi="黑体" w:hint="eastAsia"/>
          <w:b/>
          <w:bCs/>
          <w:sz w:val="24"/>
        </w:rPr>
        <w:t>理财产品</w:t>
      </w:r>
      <w:r w:rsidRPr="00ED20E8">
        <w:rPr>
          <w:rFonts w:ascii="黑体" w:eastAsia="黑体" w:hAnsi="黑体"/>
          <w:b/>
          <w:bCs/>
          <w:sz w:val="24"/>
        </w:rPr>
        <w:t>的权益（</w:t>
      </w:r>
      <w:r w:rsidRPr="00ED20E8">
        <w:rPr>
          <w:rFonts w:ascii="黑体" w:eastAsia="黑体" w:hAnsi="黑体" w:hint="eastAsia"/>
          <w:b/>
          <w:bCs/>
          <w:sz w:val="24"/>
        </w:rPr>
        <w:t>包括</w:t>
      </w:r>
      <w:r w:rsidRPr="00ED20E8">
        <w:rPr>
          <w:rFonts w:ascii="黑体" w:eastAsia="黑体" w:hAnsi="黑体"/>
          <w:b/>
          <w:bCs/>
          <w:sz w:val="24"/>
        </w:rPr>
        <w:t>单独和整体）</w:t>
      </w:r>
      <w:r w:rsidRPr="00ED20E8">
        <w:rPr>
          <w:rFonts w:ascii="黑体" w:eastAsia="黑体" w:hAnsi="黑体" w:hint="eastAsia"/>
          <w:b/>
          <w:bCs/>
          <w:sz w:val="24"/>
        </w:rPr>
        <w:t>为</w:t>
      </w:r>
      <w:r w:rsidRPr="00ED20E8">
        <w:rPr>
          <w:rFonts w:ascii="黑体" w:eastAsia="黑体" w:hAnsi="黑体"/>
          <w:b/>
          <w:bCs/>
          <w:sz w:val="24"/>
        </w:rPr>
        <w:t>甲方</w:t>
      </w:r>
      <w:r w:rsidRPr="00ED20E8">
        <w:rPr>
          <w:rFonts w:ascii="黑体" w:eastAsia="黑体" w:hAnsi="黑体" w:hint="eastAsia"/>
          <w:b/>
          <w:bCs/>
          <w:sz w:val="24"/>
        </w:rPr>
        <w:t>或任何</w:t>
      </w:r>
      <w:r w:rsidRPr="00ED20E8">
        <w:rPr>
          <w:rFonts w:ascii="黑体" w:eastAsia="黑体" w:hAnsi="黑体"/>
          <w:b/>
          <w:bCs/>
          <w:sz w:val="24"/>
        </w:rPr>
        <w:t>第三人的债务设定担保或其他权益</w:t>
      </w:r>
      <w:r w:rsidRPr="00ED20E8">
        <w:rPr>
          <w:rFonts w:ascii="黑体" w:eastAsia="黑体" w:hAnsi="黑体" w:hint="eastAsia"/>
          <w:b/>
          <w:bCs/>
          <w:sz w:val="24"/>
        </w:rPr>
        <w:t>。未经产品</w:t>
      </w:r>
      <w:r w:rsidRPr="00ED20E8">
        <w:rPr>
          <w:rFonts w:ascii="黑体" w:eastAsia="黑体" w:hAnsi="黑体"/>
          <w:b/>
          <w:bCs/>
          <w:sz w:val="24"/>
        </w:rPr>
        <w:t>管理人同意，</w:t>
      </w:r>
      <w:r w:rsidRPr="00ED20E8">
        <w:rPr>
          <w:rFonts w:ascii="黑体" w:eastAsia="黑体" w:hAnsi="黑体" w:hint="eastAsia"/>
          <w:b/>
          <w:bCs/>
          <w:sz w:val="24"/>
        </w:rPr>
        <w:t>甲方</w:t>
      </w:r>
      <w:r w:rsidRPr="00ED20E8">
        <w:rPr>
          <w:rFonts w:ascii="黑体" w:eastAsia="黑体" w:hAnsi="黑体"/>
          <w:b/>
          <w:bCs/>
          <w:sz w:val="24"/>
        </w:rPr>
        <w:t>不得向任何第三人转让</w:t>
      </w:r>
      <w:r w:rsidRPr="00ED20E8">
        <w:rPr>
          <w:rFonts w:ascii="黑体" w:eastAsia="黑体" w:hAnsi="黑体" w:hint="eastAsia"/>
          <w:b/>
          <w:bCs/>
          <w:sz w:val="24"/>
        </w:rPr>
        <w:t>、</w:t>
      </w:r>
      <w:r w:rsidRPr="00ED20E8">
        <w:rPr>
          <w:rFonts w:ascii="黑体" w:eastAsia="黑体" w:hAnsi="黑体"/>
          <w:b/>
          <w:bCs/>
          <w:sz w:val="24"/>
        </w:rPr>
        <w:t>赠与本</w:t>
      </w:r>
      <w:r w:rsidRPr="00ED20E8">
        <w:rPr>
          <w:rFonts w:ascii="黑体" w:eastAsia="黑体" w:hAnsi="黑体" w:hint="eastAsia"/>
          <w:b/>
          <w:bCs/>
          <w:sz w:val="24"/>
        </w:rPr>
        <w:t>协议项下理财</w:t>
      </w:r>
      <w:r w:rsidRPr="00ED20E8">
        <w:rPr>
          <w:rFonts w:ascii="黑体" w:eastAsia="黑体" w:hAnsi="黑体"/>
          <w:b/>
          <w:bCs/>
          <w:sz w:val="24"/>
        </w:rPr>
        <w:t>产品的权益（</w:t>
      </w:r>
      <w:r w:rsidRPr="00ED20E8">
        <w:rPr>
          <w:rFonts w:ascii="黑体" w:eastAsia="黑体" w:hAnsi="黑体" w:hint="eastAsia"/>
          <w:b/>
          <w:bCs/>
          <w:sz w:val="24"/>
        </w:rPr>
        <w:t>包括</w:t>
      </w:r>
      <w:r w:rsidRPr="00ED20E8">
        <w:rPr>
          <w:rFonts w:ascii="黑体" w:eastAsia="黑体" w:hAnsi="黑体"/>
          <w:b/>
          <w:bCs/>
          <w:sz w:val="24"/>
        </w:rPr>
        <w:t>单独和整体）</w:t>
      </w:r>
      <w:r w:rsidRPr="00ED20E8">
        <w:rPr>
          <w:rFonts w:ascii="黑体" w:eastAsia="黑体" w:hAnsi="黑体" w:hint="eastAsia"/>
          <w:b/>
          <w:bCs/>
          <w:sz w:val="24"/>
        </w:rPr>
        <w:t>。</w:t>
      </w:r>
    </w:p>
    <w:p w14:paraId="67CD7295" w14:textId="77777777" w:rsidR="00B55224" w:rsidRPr="00ED20E8" w:rsidRDefault="002E1AE2">
      <w:pPr>
        <w:adjustRightInd w:val="0"/>
        <w:snapToGrid w:val="0"/>
        <w:spacing w:line="312" w:lineRule="auto"/>
        <w:ind w:firstLineChars="200" w:firstLine="482"/>
        <w:rPr>
          <w:rFonts w:ascii="黑体" w:eastAsia="黑体" w:hAnsi="黑体" w:hint="eastAsia"/>
          <w:b/>
          <w:sz w:val="24"/>
        </w:rPr>
      </w:pPr>
      <w:r w:rsidRPr="00ED20E8">
        <w:rPr>
          <w:rFonts w:ascii="黑体" w:eastAsia="黑体" w:hAnsi="黑体" w:hint="eastAsia"/>
          <w:b/>
          <w:color w:val="000000"/>
          <w:kern w:val="0"/>
          <w:sz w:val="24"/>
        </w:rPr>
        <w:t>第七条</w:t>
      </w:r>
      <w:r w:rsidRPr="00ED20E8">
        <w:rPr>
          <w:rFonts w:ascii="黑体" w:eastAsia="黑体" w:hAnsi="黑体" w:hint="eastAsia"/>
          <w:color w:val="000000"/>
          <w:kern w:val="0"/>
          <w:sz w:val="24"/>
        </w:rPr>
        <w:t xml:space="preserve"> </w:t>
      </w:r>
      <w:r w:rsidRPr="00ED20E8">
        <w:rPr>
          <w:rFonts w:ascii="黑体" w:eastAsia="黑体" w:hAnsi="黑体" w:hint="eastAsia"/>
          <w:b/>
          <w:sz w:val="24"/>
        </w:rPr>
        <w:t>本协议项下理财产品存续期内，如因有权机关采取强制措施导致甲方的理财产品份额部分或者全部被冻结、扣划或处置的，由此产生的损失均由甲方承担，</w:t>
      </w:r>
      <w:r w:rsidRPr="00ED20E8">
        <w:rPr>
          <w:rFonts w:ascii="黑体" w:eastAsia="黑体" w:hAnsi="黑体" w:hint="eastAsia"/>
          <w:b/>
          <w:bCs/>
          <w:sz w:val="24"/>
        </w:rPr>
        <w:t>乙方和</w:t>
      </w:r>
      <w:r w:rsidRPr="00ED20E8">
        <w:rPr>
          <w:rFonts w:ascii="黑体" w:eastAsia="黑体" w:hAnsi="黑体"/>
          <w:b/>
          <w:bCs/>
          <w:sz w:val="24"/>
        </w:rPr>
        <w:t>产品管理人</w:t>
      </w:r>
      <w:r w:rsidRPr="00ED20E8">
        <w:rPr>
          <w:rFonts w:ascii="黑体" w:eastAsia="黑体" w:hAnsi="黑体" w:hint="eastAsia"/>
          <w:b/>
          <w:bCs/>
          <w:sz w:val="24"/>
        </w:rPr>
        <w:t>对此不承担任何责任。</w:t>
      </w:r>
    </w:p>
    <w:p w14:paraId="4FB19BA4" w14:textId="77777777" w:rsidR="00B55224" w:rsidRPr="00ED20E8" w:rsidRDefault="002E1AE2">
      <w:pPr>
        <w:adjustRightInd w:val="0"/>
        <w:snapToGrid w:val="0"/>
        <w:spacing w:line="312" w:lineRule="auto"/>
        <w:ind w:firstLineChars="200" w:firstLine="482"/>
        <w:rPr>
          <w:rFonts w:ascii="黑体" w:eastAsia="黑体" w:hAnsi="黑体" w:hint="eastAsia"/>
          <w:sz w:val="24"/>
        </w:rPr>
      </w:pPr>
      <w:r w:rsidRPr="00ED20E8">
        <w:rPr>
          <w:rFonts w:ascii="黑体" w:eastAsia="黑体" w:hAnsi="黑体" w:hint="eastAsia"/>
          <w:b/>
          <w:bCs/>
          <w:sz w:val="24"/>
        </w:rPr>
        <w:t xml:space="preserve">第八条 </w:t>
      </w:r>
      <w:r w:rsidRPr="00ED20E8">
        <w:rPr>
          <w:rFonts w:ascii="黑体" w:eastAsia="黑体" w:hAnsi="黑体" w:hint="eastAsia"/>
          <w:b/>
          <w:sz w:val="24"/>
        </w:rPr>
        <w:t>乙方及</w:t>
      </w:r>
      <w:r w:rsidRPr="00ED20E8">
        <w:rPr>
          <w:rFonts w:ascii="黑体" w:eastAsia="黑体" w:hAnsi="黑体"/>
          <w:b/>
          <w:sz w:val="24"/>
        </w:rPr>
        <w:t>产品管理人</w:t>
      </w:r>
      <w:r w:rsidRPr="00ED20E8">
        <w:rPr>
          <w:rFonts w:ascii="黑体" w:eastAsia="黑体" w:hAnsi="黑体" w:hint="eastAsia"/>
          <w:b/>
          <w:sz w:val="24"/>
        </w:rPr>
        <w:t>有权根据国家有关法律、法规的规定，以及理财产品销售文件</w:t>
      </w:r>
      <w:r w:rsidRPr="00ED20E8">
        <w:rPr>
          <w:rFonts w:ascii="黑体" w:eastAsia="黑体" w:hAnsi="黑体"/>
          <w:b/>
          <w:sz w:val="24"/>
        </w:rPr>
        <w:t>的约定</w:t>
      </w:r>
      <w:r w:rsidRPr="00ED20E8">
        <w:rPr>
          <w:rFonts w:ascii="黑体" w:eastAsia="黑体" w:hAnsi="黑体" w:hint="eastAsia"/>
          <w:b/>
          <w:sz w:val="24"/>
        </w:rPr>
        <w:t>向甲方收取相应的费用，收费项目、收费条件、收费标准和收费方式在《理财产品说明书》中载明。</w:t>
      </w:r>
      <w:r w:rsidRPr="00ED20E8">
        <w:rPr>
          <w:rFonts w:ascii="黑体" w:eastAsia="黑体" w:hAnsi="黑体" w:hint="eastAsia"/>
          <w:sz w:val="24"/>
        </w:rPr>
        <w:t>乙方及</w:t>
      </w:r>
      <w:r w:rsidRPr="00ED20E8">
        <w:rPr>
          <w:rFonts w:ascii="黑体" w:eastAsia="黑体" w:hAnsi="黑体"/>
          <w:sz w:val="24"/>
        </w:rPr>
        <w:t>产品管理人</w:t>
      </w:r>
      <w:r w:rsidRPr="00ED20E8">
        <w:rPr>
          <w:rFonts w:ascii="黑体" w:eastAsia="黑体" w:hAnsi="黑体" w:hint="eastAsia"/>
          <w:sz w:val="24"/>
        </w:rPr>
        <w:t>根据业务发展和投资管理情况，可以对收费标准和收费方式等</w:t>
      </w:r>
      <w:r w:rsidRPr="00ED20E8">
        <w:rPr>
          <w:rFonts w:ascii="黑体" w:eastAsia="黑体" w:hAnsi="黑体"/>
          <w:sz w:val="24"/>
        </w:rPr>
        <w:t>产品要素</w:t>
      </w:r>
      <w:r w:rsidRPr="00ED20E8">
        <w:rPr>
          <w:rFonts w:ascii="黑体" w:eastAsia="黑体" w:hAnsi="黑体" w:hint="eastAsia"/>
          <w:sz w:val="24"/>
        </w:rPr>
        <w:t>进行调整，但应在</w:t>
      </w:r>
      <w:r w:rsidRPr="00ED20E8">
        <w:rPr>
          <w:rFonts w:ascii="黑体" w:eastAsia="黑体" w:hAnsi="黑体"/>
          <w:sz w:val="24"/>
        </w:rPr>
        <w:t>调整前</w:t>
      </w:r>
      <w:r w:rsidRPr="00ED20E8">
        <w:rPr>
          <w:rFonts w:ascii="黑体" w:eastAsia="黑体" w:hAnsi="黑体" w:hint="eastAsia"/>
          <w:sz w:val="24"/>
        </w:rPr>
        <w:t>通过理财产品</w:t>
      </w:r>
      <w:r w:rsidRPr="00ED20E8">
        <w:rPr>
          <w:rFonts w:ascii="黑体" w:eastAsia="黑体" w:hAnsi="黑体"/>
          <w:sz w:val="24"/>
        </w:rPr>
        <w:t>销售文件约定的方式</w:t>
      </w:r>
      <w:r w:rsidRPr="00ED20E8">
        <w:rPr>
          <w:rFonts w:ascii="黑体" w:eastAsia="黑体" w:hAnsi="黑体" w:hint="eastAsia"/>
          <w:sz w:val="24"/>
        </w:rPr>
        <w:t>将有关情况及时向甲方披露。上述情况下本产品将可能开放赎回，具体以信息披露公告为准。</w:t>
      </w:r>
      <w:r w:rsidRPr="00ED20E8">
        <w:rPr>
          <w:rFonts w:ascii="黑体" w:eastAsia="黑体" w:hAnsi="黑体" w:hint="eastAsia"/>
          <w:b/>
          <w:sz w:val="24"/>
        </w:rPr>
        <w:t>甲方不同意公告内容的，可在公告执行前按公告约定全部赎回本产品。若甲方在公告执行后继续持有本产品的，视同接受公告内容。</w:t>
      </w:r>
    </w:p>
    <w:p w14:paraId="6BACB06D" w14:textId="77777777" w:rsidR="00B55224" w:rsidRPr="00ED20E8" w:rsidRDefault="002E1AE2">
      <w:pPr>
        <w:adjustRightInd w:val="0"/>
        <w:snapToGrid w:val="0"/>
        <w:spacing w:line="312" w:lineRule="auto"/>
        <w:ind w:firstLineChars="200" w:firstLine="482"/>
        <w:rPr>
          <w:rFonts w:ascii="黑体" w:eastAsia="黑体" w:hAnsi="黑体" w:hint="eastAsia"/>
          <w:b/>
          <w:bCs/>
          <w:sz w:val="24"/>
        </w:rPr>
      </w:pPr>
      <w:r w:rsidRPr="00ED20E8">
        <w:rPr>
          <w:rFonts w:ascii="黑体" w:eastAsia="黑体" w:hAnsi="黑体" w:hint="eastAsia"/>
          <w:b/>
          <w:bCs/>
          <w:sz w:val="24"/>
        </w:rPr>
        <w:t>第九条 甲方</w:t>
      </w:r>
      <w:r w:rsidRPr="00ED20E8">
        <w:rPr>
          <w:rFonts w:ascii="黑体" w:eastAsia="黑体" w:hAnsi="黑体"/>
          <w:b/>
          <w:bCs/>
          <w:sz w:val="24"/>
        </w:rPr>
        <w:t>通过</w:t>
      </w:r>
      <w:r w:rsidRPr="00ED20E8">
        <w:rPr>
          <w:rFonts w:ascii="黑体" w:eastAsia="黑体" w:hAnsi="黑体" w:hint="eastAsia"/>
          <w:b/>
          <w:bCs/>
          <w:sz w:val="24"/>
        </w:rPr>
        <w:t>乙方认（申）购</w:t>
      </w:r>
      <w:r w:rsidRPr="00ED20E8">
        <w:rPr>
          <w:rFonts w:ascii="黑体" w:eastAsia="黑体" w:hAnsi="黑体"/>
          <w:b/>
          <w:bCs/>
          <w:sz w:val="24"/>
        </w:rPr>
        <w:t>理财产品</w:t>
      </w:r>
      <w:r w:rsidRPr="00ED20E8">
        <w:rPr>
          <w:rFonts w:ascii="黑体" w:eastAsia="黑体" w:hAnsi="黑体" w:hint="eastAsia"/>
          <w:b/>
          <w:bCs/>
          <w:sz w:val="24"/>
        </w:rPr>
        <w:t>的</w:t>
      </w:r>
      <w:r w:rsidRPr="00ED20E8">
        <w:rPr>
          <w:rFonts w:ascii="黑体" w:eastAsia="黑体" w:hAnsi="黑体"/>
          <w:b/>
          <w:bCs/>
          <w:sz w:val="24"/>
        </w:rPr>
        <w:t>，</w:t>
      </w:r>
      <w:r w:rsidRPr="00ED20E8">
        <w:rPr>
          <w:rFonts w:ascii="黑体" w:eastAsia="黑体" w:hAnsi="黑体" w:hint="eastAsia"/>
          <w:b/>
          <w:bCs/>
          <w:sz w:val="24"/>
        </w:rPr>
        <w:t>对于</w:t>
      </w:r>
      <w:r w:rsidRPr="00ED20E8">
        <w:rPr>
          <w:rFonts w:ascii="黑体" w:eastAsia="黑体" w:hAnsi="黑体"/>
          <w:b/>
          <w:bCs/>
          <w:sz w:val="24"/>
        </w:rPr>
        <w:t>公募理财产品，</w:t>
      </w:r>
      <w:r w:rsidRPr="00ED20E8">
        <w:rPr>
          <w:rFonts w:ascii="黑体" w:eastAsia="黑体" w:hAnsi="黑体" w:hint="eastAsia"/>
          <w:b/>
          <w:bCs/>
          <w:sz w:val="24"/>
        </w:rPr>
        <w:t>除</w:t>
      </w:r>
      <w:r w:rsidRPr="00ED20E8">
        <w:rPr>
          <w:rFonts w:ascii="黑体" w:eastAsia="黑体" w:hAnsi="黑体"/>
          <w:b/>
          <w:bCs/>
          <w:sz w:val="24"/>
        </w:rPr>
        <w:t>理财</w:t>
      </w:r>
      <w:r w:rsidRPr="00ED20E8">
        <w:rPr>
          <w:rFonts w:ascii="黑体" w:eastAsia="黑体" w:hAnsi="黑体" w:hint="eastAsia"/>
          <w:b/>
          <w:bCs/>
          <w:sz w:val="24"/>
        </w:rPr>
        <w:t>产品</w:t>
      </w:r>
      <w:r w:rsidRPr="00ED20E8">
        <w:rPr>
          <w:rFonts w:ascii="黑体" w:eastAsia="黑体" w:hAnsi="黑体"/>
          <w:b/>
          <w:bCs/>
          <w:sz w:val="24"/>
        </w:rPr>
        <w:t>账单</w:t>
      </w:r>
      <w:r w:rsidRPr="00ED20E8">
        <w:rPr>
          <w:rFonts w:ascii="黑体" w:eastAsia="黑体" w:hAnsi="黑体" w:hint="eastAsia"/>
          <w:b/>
          <w:bCs/>
          <w:sz w:val="24"/>
        </w:rPr>
        <w:t>由乙方</w:t>
      </w:r>
      <w:r w:rsidRPr="00ED20E8">
        <w:rPr>
          <w:rFonts w:ascii="黑体" w:eastAsia="黑体" w:hAnsi="黑体"/>
          <w:b/>
          <w:bCs/>
          <w:sz w:val="24"/>
        </w:rPr>
        <w:t>负责向</w:t>
      </w:r>
      <w:r w:rsidRPr="00ED20E8">
        <w:rPr>
          <w:rFonts w:ascii="黑体" w:eastAsia="黑体" w:hAnsi="黑体" w:hint="eastAsia"/>
          <w:b/>
          <w:bCs/>
          <w:sz w:val="24"/>
        </w:rPr>
        <w:t>甲方提供外，</w:t>
      </w:r>
      <w:r w:rsidRPr="00ED20E8">
        <w:rPr>
          <w:rFonts w:ascii="黑体" w:eastAsia="黑体" w:hAnsi="黑体"/>
          <w:b/>
          <w:bCs/>
          <w:sz w:val="24"/>
        </w:rPr>
        <w:t>其余信息披露</w:t>
      </w:r>
      <w:r w:rsidRPr="00ED20E8">
        <w:rPr>
          <w:rFonts w:ascii="黑体" w:eastAsia="黑体" w:hAnsi="黑体" w:hint="eastAsia"/>
          <w:b/>
          <w:bCs/>
          <w:sz w:val="24"/>
        </w:rPr>
        <w:t>义务由</w:t>
      </w:r>
      <w:r w:rsidRPr="00ED20E8">
        <w:rPr>
          <w:rFonts w:ascii="黑体" w:eastAsia="黑体" w:hAnsi="黑体"/>
          <w:b/>
          <w:bCs/>
          <w:sz w:val="24"/>
        </w:rPr>
        <w:t>乙方和</w:t>
      </w:r>
      <w:r w:rsidRPr="00ED20E8">
        <w:rPr>
          <w:rFonts w:ascii="黑体" w:eastAsia="黑体" w:hAnsi="黑体" w:hint="eastAsia"/>
          <w:b/>
          <w:bCs/>
          <w:sz w:val="24"/>
        </w:rPr>
        <w:t>产品管理人</w:t>
      </w:r>
      <w:r w:rsidRPr="00ED20E8">
        <w:rPr>
          <w:rFonts w:ascii="黑体" w:eastAsia="黑体" w:hAnsi="黑体"/>
          <w:b/>
          <w:bCs/>
          <w:sz w:val="24"/>
        </w:rPr>
        <w:t>共同承担</w:t>
      </w:r>
      <w:r w:rsidRPr="00ED20E8">
        <w:rPr>
          <w:rFonts w:ascii="黑体" w:eastAsia="黑体" w:hAnsi="黑体" w:hint="eastAsia"/>
          <w:b/>
          <w:bCs/>
          <w:sz w:val="24"/>
        </w:rPr>
        <w:t>；</w:t>
      </w:r>
      <w:r w:rsidRPr="00ED20E8">
        <w:rPr>
          <w:rFonts w:ascii="黑体" w:eastAsia="黑体" w:hAnsi="黑体"/>
          <w:b/>
          <w:bCs/>
          <w:sz w:val="24"/>
        </w:rPr>
        <w:t>对于私募理财产品，信息披露</w:t>
      </w:r>
      <w:r w:rsidRPr="00ED20E8">
        <w:rPr>
          <w:rFonts w:ascii="黑体" w:eastAsia="黑体" w:hAnsi="黑体" w:hint="eastAsia"/>
          <w:b/>
          <w:bCs/>
          <w:sz w:val="24"/>
        </w:rPr>
        <w:t>义务</w:t>
      </w:r>
      <w:r w:rsidRPr="00ED20E8">
        <w:rPr>
          <w:rFonts w:ascii="黑体" w:eastAsia="黑体" w:hAnsi="黑体"/>
          <w:b/>
          <w:bCs/>
          <w:sz w:val="24"/>
        </w:rPr>
        <w:t>由</w:t>
      </w:r>
      <w:r w:rsidRPr="00ED20E8">
        <w:rPr>
          <w:rFonts w:ascii="黑体" w:eastAsia="黑体" w:hAnsi="黑体" w:hint="eastAsia"/>
          <w:b/>
          <w:bCs/>
          <w:sz w:val="24"/>
        </w:rPr>
        <w:t>乙方承担</w:t>
      </w:r>
      <w:r w:rsidRPr="00ED20E8">
        <w:rPr>
          <w:rFonts w:ascii="黑体" w:eastAsia="黑体" w:hAnsi="黑体"/>
          <w:b/>
          <w:bCs/>
          <w:sz w:val="24"/>
        </w:rPr>
        <w:t>。因</w:t>
      </w:r>
      <w:r w:rsidRPr="00ED20E8">
        <w:rPr>
          <w:rFonts w:ascii="黑体" w:eastAsia="黑体" w:hAnsi="黑体" w:hint="eastAsia"/>
          <w:b/>
          <w:bCs/>
          <w:sz w:val="24"/>
        </w:rPr>
        <w:t>乙方</w:t>
      </w:r>
      <w:r w:rsidRPr="00ED20E8">
        <w:rPr>
          <w:rFonts w:ascii="黑体" w:eastAsia="黑体" w:hAnsi="黑体"/>
          <w:b/>
          <w:bCs/>
          <w:sz w:val="24"/>
        </w:rPr>
        <w:t>信息披露错误或不及时导致甲方损失的，由</w:t>
      </w:r>
      <w:r w:rsidRPr="00ED20E8">
        <w:rPr>
          <w:rFonts w:ascii="黑体" w:eastAsia="黑体" w:hAnsi="黑体" w:hint="eastAsia"/>
          <w:b/>
          <w:bCs/>
          <w:sz w:val="24"/>
        </w:rPr>
        <w:t>乙方</w:t>
      </w:r>
      <w:r w:rsidRPr="00ED20E8">
        <w:rPr>
          <w:rFonts w:ascii="黑体" w:eastAsia="黑体" w:hAnsi="黑体"/>
          <w:b/>
          <w:bCs/>
          <w:sz w:val="24"/>
        </w:rPr>
        <w:t>向甲方承担赔偿责任。</w:t>
      </w:r>
      <w:r w:rsidRPr="00ED20E8">
        <w:rPr>
          <w:rFonts w:ascii="黑体" w:eastAsia="黑体" w:hAnsi="黑体" w:hint="eastAsia"/>
          <w:b/>
          <w:bCs/>
          <w:sz w:val="24"/>
        </w:rPr>
        <w:t>具体理财产品的信息披露方式、频率等规则见</w:t>
      </w:r>
      <w:r w:rsidRPr="00ED20E8">
        <w:rPr>
          <w:rFonts w:ascii="黑体" w:eastAsia="黑体" w:hAnsi="黑体" w:hint="eastAsia"/>
          <w:b/>
          <w:sz w:val="24"/>
        </w:rPr>
        <w:t>《理财产品说明书》</w:t>
      </w:r>
      <w:r w:rsidRPr="00ED20E8">
        <w:rPr>
          <w:rFonts w:ascii="黑体" w:eastAsia="黑体" w:hAnsi="黑体" w:hint="eastAsia"/>
          <w:b/>
          <w:bCs/>
          <w:sz w:val="24"/>
        </w:rPr>
        <w:t>。</w:t>
      </w:r>
    </w:p>
    <w:p w14:paraId="5AF93B3C" w14:textId="77777777" w:rsidR="00B55224" w:rsidRPr="00ED20E8" w:rsidRDefault="002E1AE2">
      <w:pPr>
        <w:spacing w:line="360" w:lineRule="auto"/>
        <w:ind w:firstLineChars="200" w:firstLine="482"/>
        <w:rPr>
          <w:rFonts w:ascii="黑体" w:eastAsia="黑体" w:hAnsi="黑体" w:hint="eastAsia"/>
          <w:sz w:val="24"/>
        </w:rPr>
      </w:pPr>
      <w:r w:rsidRPr="00ED20E8">
        <w:rPr>
          <w:rFonts w:ascii="黑体" w:eastAsia="黑体" w:hAnsi="黑体" w:hint="eastAsia"/>
          <w:b/>
          <w:bCs/>
          <w:sz w:val="24"/>
        </w:rPr>
        <w:t>第十条 根据监管</w:t>
      </w:r>
      <w:r w:rsidRPr="00ED20E8">
        <w:rPr>
          <w:rFonts w:ascii="黑体" w:eastAsia="黑体" w:hAnsi="黑体"/>
          <w:b/>
          <w:bCs/>
          <w:sz w:val="24"/>
        </w:rPr>
        <w:t>规定，</w:t>
      </w:r>
      <w:r w:rsidRPr="00ED20E8">
        <w:rPr>
          <w:rFonts w:ascii="黑体" w:eastAsia="黑体" w:hAnsi="黑体" w:hint="eastAsia"/>
          <w:b/>
          <w:bCs/>
          <w:sz w:val="24"/>
        </w:rPr>
        <w:t>公募理财产品是指面向不特定社会公众公开发行的理财产品，私募理财产品是指面向合格投资者非公开发行的理财产品。</w:t>
      </w:r>
      <w:r w:rsidRPr="00ED20E8">
        <w:rPr>
          <w:rFonts w:ascii="黑体" w:eastAsia="黑体" w:hAnsi="黑体" w:hint="eastAsia"/>
          <w:b/>
          <w:sz w:val="24"/>
        </w:rPr>
        <w:t>私募理财产品募集期最后一天为产品冷静期，冷静期具体设置规则以《理财产品说明书》为准</w:t>
      </w:r>
      <w:r w:rsidRPr="00ED20E8">
        <w:rPr>
          <w:rFonts w:ascii="黑体" w:eastAsia="黑体" w:hAnsi="黑体"/>
          <w:b/>
          <w:sz w:val="24"/>
        </w:rPr>
        <w:t>。在冷静期内，如甲方改变投</w:t>
      </w:r>
      <w:r w:rsidRPr="00ED20E8">
        <w:rPr>
          <w:rFonts w:ascii="黑体" w:eastAsia="黑体" w:hAnsi="黑体" w:hint="eastAsia"/>
          <w:b/>
          <w:sz w:val="24"/>
        </w:rPr>
        <w:t>资决定，应立即撤销认</w:t>
      </w:r>
      <w:r w:rsidRPr="00ED20E8">
        <w:rPr>
          <w:rFonts w:ascii="黑体" w:eastAsia="黑体" w:hAnsi="黑体"/>
          <w:b/>
          <w:sz w:val="24"/>
        </w:rPr>
        <w:t>购的申请或</w:t>
      </w:r>
      <w:r w:rsidRPr="00ED20E8">
        <w:rPr>
          <w:rFonts w:ascii="黑体" w:eastAsia="黑体" w:hAnsi="黑体" w:hint="eastAsia"/>
          <w:b/>
          <w:sz w:val="24"/>
        </w:rPr>
        <w:t>通过乙方向乙方和产品管理人提出解除相应理财产品销售文件，乙方和产品管理人应当遵从甲方意愿，解除已签订的理财产品销售文件，并及时退还甲方的全部投资款项。</w:t>
      </w:r>
    </w:p>
    <w:p w14:paraId="26624D88" w14:textId="77777777" w:rsidR="00B55224" w:rsidRPr="00ED20E8" w:rsidRDefault="002E1AE2">
      <w:pPr>
        <w:adjustRightInd w:val="0"/>
        <w:snapToGrid w:val="0"/>
        <w:spacing w:line="312" w:lineRule="auto"/>
        <w:ind w:firstLineChars="200" w:firstLine="482"/>
        <w:rPr>
          <w:rFonts w:ascii="黑体" w:eastAsia="黑体" w:hAnsi="黑体" w:hint="eastAsia"/>
          <w:b/>
          <w:bCs/>
          <w:sz w:val="24"/>
        </w:rPr>
      </w:pPr>
      <w:r w:rsidRPr="00ED20E8">
        <w:rPr>
          <w:rFonts w:ascii="黑体" w:eastAsia="黑体" w:hAnsi="黑体" w:hint="eastAsia"/>
          <w:b/>
          <w:bCs/>
          <w:sz w:val="24"/>
        </w:rPr>
        <w:t>第十一条 甲方</w:t>
      </w:r>
      <w:r w:rsidRPr="00ED20E8">
        <w:rPr>
          <w:rFonts w:ascii="黑体" w:eastAsia="黑体" w:hAnsi="黑体"/>
          <w:b/>
          <w:bCs/>
          <w:sz w:val="24"/>
        </w:rPr>
        <w:t>通过</w:t>
      </w:r>
      <w:r w:rsidRPr="00ED20E8">
        <w:rPr>
          <w:rFonts w:ascii="黑体" w:eastAsia="黑体" w:hAnsi="黑体" w:hint="eastAsia"/>
          <w:b/>
          <w:bCs/>
          <w:sz w:val="24"/>
        </w:rPr>
        <w:t>乙方认（申）购</w:t>
      </w:r>
      <w:r w:rsidRPr="00ED20E8">
        <w:rPr>
          <w:rFonts w:ascii="黑体" w:eastAsia="黑体" w:hAnsi="黑体"/>
          <w:b/>
          <w:bCs/>
          <w:sz w:val="24"/>
        </w:rPr>
        <w:t>理财产品</w:t>
      </w:r>
      <w:r w:rsidRPr="00ED20E8">
        <w:rPr>
          <w:rFonts w:ascii="黑体" w:eastAsia="黑体" w:hAnsi="黑体" w:hint="eastAsia"/>
          <w:b/>
          <w:bCs/>
          <w:sz w:val="24"/>
        </w:rPr>
        <w:t>的</w:t>
      </w:r>
      <w:r w:rsidRPr="00ED20E8">
        <w:rPr>
          <w:rFonts w:ascii="黑体" w:eastAsia="黑体" w:hAnsi="黑体"/>
          <w:b/>
          <w:bCs/>
          <w:sz w:val="24"/>
        </w:rPr>
        <w:t>，如因</w:t>
      </w:r>
      <w:r w:rsidRPr="00ED20E8">
        <w:rPr>
          <w:rFonts w:ascii="黑体" w:eastAsia="黑体" w:hAnsi="黑体" w:hint="eastAsia"/>
          <w:b/>
          <w:bCs/>
          <w:sz w:val="24"/>
        </w:rPr>
        <w:t>乙方</w:t>
      </w:r>
      <w:r w:rsidRPr="00ED20E8">
        <w:rPr>
          <w:rFonts w:ascii="黑体" w:eastAsia="黑体" w:hAnsi="黑体"/>
          <w:b/>
          <w:bCs/>
          <w:sz w:val="24"/>
        </w:rPr>
        <w:t>交易系统故障、</w:t>
      </w:r>
      <w:r w:rsidRPr="00ED20E8">
        <w:rPr>
          <w:rFonts w:ascii="黑体" w:eastAsia="黑体" w:hAnsi="黑体" w:hint="eastAsia"/>
          <w:b/>
          <w:bCs/>
          <w:sz w:val="24"/>
        </w:rPr>
        <w:t>销售误导、</w:t>
      </w:r>
      <w:r w:rsidRPr="00ED20E8">
        <w:rPr>
          <w:rFonts w:ascii="黑体" w:eastAsia="黑体" w:hAnsi="黑体"/>
          <w:b/>
          <w:bCs/>
          <w:sz w:val="24"/>
        </w:rPr>
        <w:t>未尽销售适当性匹配义务</w:t>
      </w:r>
      <w:r w:rsidRPr="00ED20E8">
        <w:rPr>
          <w:rFonts w:ascii="黑体" w:eastAsia="黑体" w:hAnsi="黑体" w:hint="eastAsia"/>
          <w:b/>
          <w:bCs/>
          <w:sz w:val="24"/>
        </w:rPr>
        <w:t>等错误或过失，</w:t>
      </w:r>
      <w:r w:rsidRPr="00ED20E8">
        <w:rPr>
          <w:rFonts w:ascii="黑体" w:eastAsia="黑体" w:hAnsi="黑体"/>
          <w:b/>
          <w:bCs/>
          <w:sz w:val="24"/>
        </w:rPr>
        <w:t>导致甲方损失的，由</w:t>
      </w:r>
      <w:r w:rsidRPr="00ED20E8">
        <w:rPr>
          <w:rFonts w:ascii="黑体" w:eastAsia="黑体" w:hAnsi="黑体" w:hint="eastAsia"/>
          <w:b/>
          <w:bCs/>
          <w:sz w:val="24"/>
        </w:rPr>
        <w:t>乙方</w:t>
      </w:r>
      <w:r w:rsidRPr="00ED20E8">
        <w:rPr>
          <w:rFonts w:ascii="黑体" w:eastAsia="黑体" w:hAnsi="黑体"/>
          <w:b/>
          <w:bCs/>
          <w:sz w:val="24"/>
        </w:rPr>
        <w:t>向甲方承担赔偿责任。</w:t>
      </w:r>
    </w:p>
    <w:p w14:paraId="244520FE" w14:textId="77777777" w:rsidR="00B55224" w:rsidRPr="00ED20E8" w:rsidRDefault="002E1AE2">
      <w:pPr>
        <w:adjustRightInd w:val="0"/>
        <w:snapToGrid w:val="0"/>
        <w:spacing w:line="312" w:lineRule="auto"/>
        <w:ind w:firstLineChars="200" w:firstLine="482"/>
        <w:rPr>
          <w:rFonts w:ascii="黑体" w:eastAsia="黑体" w:hAnsi="黑体" w:hint="eastAsia"/>
          <w:sz w:val="24"/>
        </w:rPr>
      </w:pPr>
      <w:r w:rsidRPr="00ED20E8">
        <w:rPr>
          <w:rFonts w:ascii="黑体" w:eastAsia="黑体" w:hAnsi="黑体" w:hint="eastAsia"/>
          <w:b/>
          <w:bCs/>
          <w:sz w:val="24"/>
        </w:rPr>
        <w:lastRenderedPageBreak/>
        <w:t xml:space="preserve">第十二条 </w:t>
      </w:r>
      <w:r w:rsidRPr="00ED20E8">
        <w:rPr>
          <w:rFonts w:ascii="黑体" w:eastAsia="黑体" w:hAnsi="黑体" w:hint="eastAsia"/>
          <w:sz w:val="24"/>
        </w:rPr>
        <w:t>本协议项下理财产品募集期结束，理财产品未被足额认购的，</w:t>
      </w:r>
      <w:r w:rsidRPr="00ED20E8">
        <w:rPr>
          <w:rFonts w:ascii="黑体" w:eastAsia="黑体" w:hAnsi="黑体" w:hint="eastAsia"/>
          <w:bCs/>
          <w:color w:val="000000"/>
          <w:sz w:val="24"/>
        </w:rPr>
        <w:t>按照《理财产品说明书》约定执行</w:t>
      </w:r>
      <w:r w:rsidRPr="00ED20E8">
        <w:rPr>
          <w:rFonts w:ascii="黑体" w:eastAsia="黑体" w:hAnsi="黑体" w:hint="eastAsia"/>
          <w:sz w:val="24"/>
        </w:rPr>
        <w:t>。</w:t>
      </w:r>
    </w:p>
    <w:p w14:paraId="0B0F67CD" w14:textId="77777777" w:rsidR="00B55224" w:rsidRPr="00ED20E8" w:rsidRDefault="002E1AE2">
      <w:pPr>
        <w:adjustRightInd w:val="0"/>
        <w:snapToGrid w:val="0"/>
        <w:spacing w:line="312" w:lineRule="auto"/>
        <w:ind w:firstLineChars="200" w:firstLine="482"/>
        <w:rPr>
          <w:rFonts w:ascii="黑体" w:eastAsia="黑体" w:hAnsi="黑体" w:hint="eastAsia"/>
          <w:sz w:val="24"/>
        </w:rPr>
      </w:pPr>
      <w:r w:rsidRPr="00ED20E8">
        <w:rPr>
          <w:rFonts w:ascii="黑体" w:eastAsia="黑体" w:hAnsi="黑体" w:hint="eastAsia"/>
          <w:b/>
          <w:bCs/>
          <w:sz w:val="24"/>
        </w:rPr>
        <w:t xml:space="preserve">第十三条 </w:t>
      </w:r>
      <w:r w:rsidRPr="00ED20E8">
        <w:rPr>
          <w:rFonts w:ascii="黑体" w:eastAsia="黑体" w:hAnsi="黑体"/>
          <w:b/>
          <w:bCs/>
          <w:sz w:val="24"/>
        </w:rPr>
        <w:t xml:space="preserve"> </w:t>
      </w:r>
      <w:r w:rsidRPr="00ED20E8">
        <w:rPr>
          <w:rFonts w:ascii="黑体" w:eastAsia="黑体" w:hAnsi="黑体"/>
          <w:sz w:val="24"/>
        </w:rPr>
        <w:t>在本协议项下理财产品资金清算日，</w:t>
      </w:r>
      <w:r w:rsidRPr="00ED20E8">
        <w:rPr>
          <w:rFonts w:ascii="黑体" w:eastAsia="黑体" w:hAnsi="黑体" w:hint="eastAsia"/>
          <w:bCs/>
          <w:sz w:val="24"/>
        </w:rPr>
        <w:t>通过乙方认（</w:t>
      </w:r>
      <w:r w:rsidRPr="00ED20E8">
        <w:rPr>
          <w:rFonts w:ascii="黑体" w:eastAsia="黑体" w:hAnsi="黑体"/>
          <w:bCs/>
          <w:sz w:val="24"/>
        </w:rPr>
        <w:t>申</w:t>
      </w:r>
      <w:r w:rsidRPr="00ED20E8">
        <w:rPr>
          <w:rFonts w:ascii="黑体" w:eastAsia="黑体" w:hAnsi="黑体" w:hint="eastAsia"/>
          <w:bCs/>
          <w:sz w:val="24"/>
        </w:rPr>
        <w:t>）</w:t>
      </w:r>
      <w:r w:rsidRPr="00ED20E8">
        <w:rPr>
          <w:rFonts w:ascii="黑体" w:eastAsia="黑体" w:hAnsi="黑体"/>
          <w:bCs/>
          <w:sz w:val="24"/>
        </w:rPr>
        <w:t>购理财</w:t>
      </w:r>
      <w:r w:rsidRPr="00ED20E8">
        <w:rPr>
          <w:rFonts w:ascii="黑体" w:eastAsia="黑体" w:hAnsi="黑体" w:hint="eastAsia"/>
          <w:bCs/>
          <w:sz w:val="24"/>
        </w:rPr>
        <w:t>产品</w:t>
      </w:r>
      <w:r w:rsidRPr="00ED20E8">
        <w:rPr>
          <w:rFonts w:ascii="黑体" w:eastAsia="黑体" w:hAnsi="黑体"/>
          <w:bCs/>
          <w:sz w:val="24"/>
        </w:rPr>
        <w:t>的，</w:t>
      </w:r>
      <w:r w:rsidRPr="00ED20E8">
        <w:rPr>
          <w:rFonts w:ascii="黑体" w:eastAsia="黑体" w:hAnsi="黑体" w:hint="eastAsia"/>
          <w:bCs/>
          <w:sz w:val="24"/>
        </w:rPr>
        <w:t>产品管理人仅负责</w:t>
      </w:r>
      <w:r w:rsidRPr="00ED20E8">
        <w:rPr>
          <w:rFonts w:ascii="黑体" w:eastAsia="黑体" w:hAnsi="黑体"/>
          <w:bCs/>
          <w:sz w:val="24"/>
        </w:rPr>
        <w:t>将清算金额</w:t>
      </w:r>
      <w:r w:rsidRPr="00ED20E8">
        <w:rPr>
          <w:rFonts w:ascii="黑体" w:eastAsia="黑体" w:hAnsi="黑体" w:hint="eastAsia"/>
          <w:bCs/>
          <w:sz w:val="24"/>
        </w:rPr>
        <w:t>统一</w:t>
      </w:r>
      <w:r w:rsidRPr="00ED20E8">
        <w:rPr>
          <w:rFonts w:ascii="黑体" w:eastAsia="黑体" w:hAnsi="黑体"/>
          <w:bCs/>
          <w:sz w:val="24"/>
        </w:rPr>
        <w:t>划付至</w:t>
      </w:r>
      <w:r w:rsidRPr="00ED20E8">
        <w:rPr>
          <w:rFonts w:ascii="黑体" w:eastAsia="黑体" w:hAnsi="黑体" w:hint="eastAsia"/>
          <w:bCs/>
          <w:sz w:val="24"/>
        </w:rPr>
        <w:t>乙方，由乙方</w:t>
      </w:r>
      <w:r w:rsidRPr="00ED20E8">
        <w:rPr>
          <w:rFonts w:ascii="黑体" w:eastAsia="黑体" w:hAnsi="黑体"/>
          <w:bCs/>
          <w:sz w:val="24"/>
        </w:rPr>
        <w:t>负责</w:t>
      </w:r>
      <w:r w:rsidRPr="00ED20E8">
        <w:rPr>
          <w:rFonts w:ascii="黑体" w:eastAsia="黑体" w:hAnsi="黑体" w:hint="eastAsia"/>
          <w:bCs/>
          <w:sz w:val="24"/>
        </w:rPr>
        <w:t>划入</w:t>
      </w:r>
      <w:r w:rsidRPr="00ED20E8">
        <w:rPr>
          <w:rFonts w:ascii="黑体" w:eastAsia="黑体" w:hAnsi="黑体"/>
          <w:bCs/>
          <w:sz w:val="24"/>
        </w:rPr>
        <w:t>甲方</w:t>
      </w:r>
      <w:r w:rsidRPr="00ED20E8">
        <w:rPr>
          <w:rFonts w:ascii="黑体" w:eastAsia="黑体" w:hAnsi="黑体" w:hint="eastAsia"/>
          <w:bCs/>
          <w:sz w:val="24"/>
        </w:rPr>
        <w:t>指定</w:t>
      </w:r>
      <w:r w:rsidRPr="00ED20E8">
        <w:rPr>
          <w:rFonts w:ascii="黑体" w:eastAsia="黑体" w:hAnsi="黑体"/>
          <w:bCs/>
          <w:sz w:val="24"/>
        </w:rPr>
        <w:t>账户</w:t>
      </w:r>
      <w:r w:rsidRPr="00ED20E8">
        <w:rPr>
          <w:rFonts w:ascii="黑体" w:eastAsia="黑体" w:hAnsi="黑体" w:hint="eastAsia"/>
          <w:sz w:val="24"/>
        </w:rPr>
        <w:t>。</w:t>
      </w:r>
      <w:r w:rsidRPr="00ED20E8">
        <w:rPr>
          <w:rFonts w:ascii="黑体" w:eastAsia="黑体" w:hAnsi="黑体" w:hint="eastAsia"/>
          <w:b/>
          <w:sz w:val="24"/>
        </w:rPr>
        <w:t>从到期日到</w:t>
      </w:r>
      <w:bookmarkStart w:id="0" w:name="OLE_LINK3"/>
      <w:bookmarkStart w:id="1" w:name="OLE_LINK4"/>
      <w:r w:rsidRPr="00ED20E8">
        <w:rPr>
          <w:rFonts w:ascii="黑体" w:eastAsia="黑体" w:hAnsi="黑体" w:hint="eastAsia"/>
          <w:b/>
          <w:sz w:val="24"/>
        </w:rPr>
        <w:t>资金清算日</w:t>
      </w:r>
      <w:bookmarkEnd w:id="0"/>
      <w:bookmarkEnd w:id="1"/>
      <w:r w:rsidRPr="00ED20E8">
        <w:rPr>
          <w:rFonts w:ascii="黑体" w:eastAsia="黑体" w:hAnsi="黑体" w:hint="eastAsia"/>
          <w:b/>
          <w:sz w:val="24"/>
        </w:rPr>
        <w:t>的期间不计付利息。</w:t>
      </w:r>
    </w:p>
    <w:p w14:paraId="690DC770" w14:textId="77777777" w:rsidR="00B55224" w:rsidRPr="00ED20E8" w:rsidRDefault="002E1AE2">
      <w:pPr>
        <w:adjustRightInd w:val="0"/>
        <w:snapToGrid w:val="0"/>
        <w:spacing w:line="312" w:lineRule="auto"/>
        <w:ind w:firstLineChars="200" w:firstLine="482"/>
        <w:rPr>
          <w:rFonts w:ascii="黑体" w:eastAsia="黑体" w:hAnsi="黑体" w:hint="eastAsia"/>
          <w:b/>
          <w:sz w:val="24"/>
        </w:rPr>
      </w:pPr>
      <w:r w:rsidRPr="00ED20E8">
        <w:rPr>
          <w:rFonts w:ascii="黑体" w:eastAsia="黑体" w:hAnsi="黑体" w:hint="eastAsia"/>
          <w:b/>
          <w:bCs/>
          <w:sz w:val="24"/>
        </w:rPr>
        <w:t xml:space="preserve">第十四条 </w:t>
      </w:r>
      <w:r w:rsidRPr="00ED20E8">
        <w:rPr>
          <w:rFonts w:ascii="黑体" w:eastAsia="黑体" w:hAnsi="黑体" w:hint="eastAsia"/>
          <w:sz w:val="24"/>
        </w:rPr>
        <w:t>本协议终止前，甲方不得将</w:t>
      </w:r>
      <w:r w:rsidRPr="00ED20E8">
        <w:rPr>
          <w:rFonts w:ascii="黑体" w:eastAsia="黑体" w:hAnsi="黑体" w:hint="eastAsia"/>
          <w:bCs/>
          <w:sz w:val="24"/>
        </w:rPr>
        <w:t>指定账户</w:t>
      </w:r>
      <w:r w:rsidRPr="00ED20E8">
        <w:rPr>
          <w:rFonts w:ascii="黑体" w:eastAsia="黑体" w:hAnsi="黑体" w:hint="eastAsia"/>
          <w:sz w:val="24"/>
        </w:rPr>
        <w:t>销户。</w:t>
      </w:r>
      <w:r w:rsidRPr="00ED20E8">
        <w:rPr>
          <w:rFonts w:ascii="黑体" w:eastAsia="黑体" w:hAnsi="黑体" w:hint="eastAsia"/>
          <w:b/>
          <w:sz w:val="24"/>
        </w:rPr>
        <w:t>若发生因甲方注销</w:t>
      </w:r>
      <w:r w:rsidRPr="00ED20E8">
        <w:rPr>
          <w:rFonts w:ascii="黑体" w:eastAsia="黑体" w:hAnsi="黑体" w:hint="eastAsia"/>
          <w:b/>
          <w:bCs/>
          <w:sz w:val="24"/>
        </w:rPr>
        <w:t>账户</w:t>
      </w:r>
      <w:r w:rsidRPr="00ED20E8">
        <w:rPr>
          <w:rFonts w:ascii="黑体" w:eastAsia="黑体" w:hAnsi="黑体" w:hint="eastAsia"/>
          <w:b/>
          <w:sz w:val="24"/>
        </w:rPr>
        <w:t>造成资金无法入账，乙方和</w:t>
      </w:r>
      <w:r w:rsidRPr="00ED20E8">
        <w:rPr>
          <w:rFonts w:ascii="黑体" w:eastAsia="黑体" w:hAnsi="黑体"/>
          <w:b/>
          <w:sz w:val="24"/>
        </w:rPr>
        <w:t>产品管理人</w:t>
      </w:r>
      <w:r w:rsidRPr="00ED20E8">
        <w:rPr>
          <w:rFonts w:ascii="黑体" w:eastAsia="黑体" w:hAnsi="黑体" w:hint="eastAsia"/>
          <w:b/>
          <w:sz w:val="24"/>
        </w:rPr>
        <w:t>不承担任何责任。</w:t>
      </w:r>
    </w:p>
    <w:p w14:paraId="50A8F4B8" w14:textId="77777777" w:rsidR="00B55224" w:rsidRPr="00ED20E8" w:rsidRDefault="002E1AE2">
      <w:pPr>
        <w:adjustRightInd w:val="0"/>
        <w:snapToGrid w:val="0"/>
        <w:spacing w:line="312" w:lineRule="auto"/>
        <w:ind w:firstLineChars="200" w:firstLine="482"/>
        <w:rPr>
          <w:rFonts w:ascii="黑体" w:eastAsia="黑体" w:hAnsi="黑体" w:hint="eastAsia"/>
          <w:b/>
          <w:sz w:val="24"/>
        </w:rPr>
      </w:pPr>
      <w:r w:rsidRPr="00ED20E8">
        <w:rPr>
          <w:rFonts w:ascii="黑体" w:eastAsia="黑体" w:hAnsi="黑体" w:hint="eastAsia"/>
          <w:b/>
          <w:bCs/>
          <w:sz w:val="24"/>
        </w:rPr>
        <w:t>第十五条</w:t>
      </w:r>
      <w:r w:rsidRPr="00ED20E8">
        <w:rPr>
          <w:rFonts w:ascii="黑体" w:eastAsia="黑体" w:hAnsi="黑体" w:hint="eastAsia"/>
          <w:b/>
          <w:sz w:val="24"/>
        </w:rPr>
        <w:t xml:space="preserve"> 免责条款</w:t>
      </w:r>
    </w:p>
    <w:p w14:paraId="7CC1194C" w14:textId="77777777" w:rsidR="00B55224" w:rsidRPr="00ED20E8" w:rsidRDefault="002E1AE2">
      <w:pPr>
        <w:adjustRightInd w:val="0"/>
        <w:snapToGrid w:val="0"/>
        <w:spacing w:line="312" w:lineRule="auto"/>
        <w:ind w:firstLineChars="176" w:firstLine="424"/>
        <w:rPr>
          <w:rFonts w:ascii="黑体" w:eastAsia="黑体" w:hAnsi="黑体" w:hint="eastAsia"/>
          <w:b/>
          <w:sz w:val="24"/>
        </w:rPr>
      </w:pPr>
      <w:r w:rsidRPr="00ED20E8">
        <w:rPr>
          <w:rFonts w:ascii="黑体" w:eastAsia="黑体" w:hAnsi="黑体" w:hint="eastAsia"/>
          <w:b/>
          <w:sz w:val="24"/>
        </w:rPr>
        <w:t>（一</w:t>
      </w:r>
      <w:r w:rsidRPr="00ED20E8">
        <w:rPr>
          <w:rFonts w:ascii="黑体" w:eastAsia="黑体" w:hAnsi="黑体"/>
          <w:b/>
          <w:sz w:val="24"/>
        </w:rPr>
        <w:t>）</w:t>
      </w:r>
      <w:r w:rsidRPr="00ED20E8">
        <w:rPr>
          <w:rFonts w:ascii="黑体" w:eastAsia="黑体" w:hAnsi="黑体" w:hint="eastAsia"/>
          <w:b/>
          <w:sz w:val="24"/>
        </w:rPr>
        <w:t>由于地震、火灾、战争、罢工或者国家有关法律、法规、规章、政策的改变、紧急措施的出台等不可抗力因素导致的交易中断、延误、禁止等任何风险及损失，乙方和</w:t>
      </w:r>
      <w:r w:rsidRPr="00ED20E8">
        <w:rPr>
          <w:rFonts w:ascii="黑体" w:eastAsia="黑体" w:hAnsi="黑体"/>
          <w:b/>
          <w:sz w:val="24"/>
        </w:rPr>
        <w:t>产品管理人</w:t>
      </w:r>
      <w:r w:rsidRPr="00ED20E8">
        <w:rPr>
          <w:rFonts w:ascii="黑体" w:eastAsia="黑体" w:hAnsi="黑体" w:hint="eastAsia"/>
          <w:b/>
          <w:sz w:val="24"/>
        </w:rPr>
        <w:t>不承担责任，但乙方应在条件允许的情况下通知甲方，并采取一切必要的补救措施以减小不可抗力因素造成的损失。</w:t>
      </w:r>
    </w:p>
    <w:p w14:paraId="16F46C60" w14:textId="77777777" w:rsidR="00B55224" w:rsidRPr="00ED20E8" w:rsidRDefault="002E1AE2">
      <w:pPr>
        <w:adjustRightInd w:val="0"/>
        <w:snapToGrid w:val="0"/>
        <w:spacing w:line="312" w:lineRule="auto"/>
        <w:ind w:firstLineChars="176" w:firstLine="424"/>
        <w:rPr>
          <w:rFonts w:ascii="黑体" w:eastAsia="黑体" w:hAnsi="黑体" w:hint="eastAsia"/>
          <w:b/>
          <w:sz w:val="24"/>
        </w:rPr>
      </w:pPr>
      <w:r w:rsidRPr="00ED20E8">
        <w:rPr>
          <w:rFonts w:ascii="黑体" w:eastAsia="黑体" w:hAnsi="黑体" w:hint="eastAsia"/>
          <w:b/>
          <w:sz w:val="24"/>
        </w:rPr>
        <w:t>（二</w:t>
      </w:r>
      <w:r w:rsidRPr="00ED20E8">
        <w:rPr>
          <w:rFonts w:ascii="黑体" w:eastAsia="黑体" w:hAnsi="黑体"/>
          <w:b/>
          <w:sz w:val="24"/>
        </w:rPr>
        <w:t>）</w:t>
      </w:r>
      <w:r w:rsidRPr="00ED20E8">
        <w:rPr>
          <w:rFonts w:ascii="黑体" w:eastAsia="黑体" w:hAnsi="黑体" w:hint="eastAsia"/>
          <w:b/>
          <w:sz w:val="24"/>
        </w:rPr>
        <w:t>由于国家法律、法规及政策的变更或</w:t>
      </w:r>
      <w:r w:rsidRPr="00ED20E8">
        <w:rPr>
          <w:rFonts w:ascii="黑体" w:eastAsia="黑体" w:hAnsi="黑体"/>
          <w:b/>
          <w:sz w:val="24"/>
        </w:rPr>
        <w:t>因国家</w:t>
      </w:r>
      <w:r w:rsidRPr="00ED20E8">
        <w:rPr>
          <w:rFonts w:ascii="黑体" w:eastAsia="黑体" w:hAnsi="黑体" w:hint="eastAsia"/>
          <w:b/>
          <w:sz w:val="24"/>
        </w:rPr>
        <w:t>行政机关</w:t>
      </w:r>
      <w:r w:rsidRPr="00ED20E8">
        <w:rPr>
          <w:rFonts w:ascii="黑体" w:eastAsia="黑体" w:hAnsi="黑体"/>
          <w:b/>
          <w:sz w:val="24"/>
        </w:rPr>
        <w:t>行使</w:t>
      </w:r>
      <w:r w:rsidRPr="00ED20E8">
        <w:rPr>
          <w:rFonts w:ascii="黑体" w:eastAsia="黑体" w:hAnsi="黑体" w:hint="eastAsia"/>
          <w:b/>
          <w:sz w:val="24"/>
        </w:rPr>
        <w:t>权力而导致的相关风险及损失，乙方和</w:t>
      </w:r>
      <w:r w:rsidRPr="00ED20E8">
        <w:rPr>
          <w:rFonts w:ascii="黑体" w:eastAsia="黑体" w:hAnsi="黑体"/>
          <w:b/>
          <w:sz w:val="24"/>
        </w:rPr>
        <w:t>产品管理人</w:t>
      </w:r>
      <w:r w:rsidRPr="00ED20E8">
        <w:rPr>
          <w:rFonts w:ascii="黑体" w:eastAsia="黑体" w:hAnsi="黑体" w:hint="eastAsia"/>
          <w:b/>
          <w:sz w:val="24"/>
        </w:rPr>
        <w:t>不承担责任。</w:t>
      </w:r>
    </w:p>
    <w:p w14:paraId="39EE6AC7" w14:textId="77777777" w:rsidR="00B55224" w:rsidRPr="00ED20E8" w:rsidRDefault="002E1AE2">
      <w:pPr>
        <w:adjustRightInd w:val="0"/>
        <w:snapToGrid w:val="0"/>
        <w:spacing w:line="312" w:lineRule="auto"/>
        <w:ind w:firstLineChars="176" w:firstLine="424"/>
        <w:rPr>
          <w:rFonts w:ascii="黑体" w:eastAsia="黑体" w:hAnsi="黑体" w:hint="eastAsia"/>
          <w:b/>
          <w:sz w:val="24"/>
        </w:rPr>
      </w:pPr>
      <w:r w:rsidRPr="00ED20E8">
        <w:rPr>
          <w:rFonts w:ascii="黑体" w:eastAsia="黑体" w:hAnsi="黑体" w:hint="eastAsia"/>
          <w:b/>
          <w:sz w:val="24"/>
        </w:rPr>
        <w:t>（三）如无</w:t>
      </w:r>
      <w:r w:rsidRPr="00ED20E8">
        <w:rPr>
          <w:rFonts w:ascii="黑体" w:eastAsia="黑体" w:hAnsi="黑体"/>
          <w:b/>
          <w:sz w:val="24"/>
        </w:rPr>
        <w:t>特别约定，</w:t>
      </w:r>
      <w:r w:rsidRPr="00ED20E8">
        <w:rPr>
          <w:rFonts w:ascii="黑体" w:eastAsia="黑体" w:hAnsi="黑体" w:hint="eastAsia"/>
          <w:b/>
          <w:sz w:val="24"/>
        </w:rPr>
        <w:t>本协议中涉及的所有日期如遇非工作日，则延至下一个工作日，由此导致的风险，乙方和</w:t>
      </w:r>
      <w:r w:rsidRPr="00ED20E8">
        <w:rPr>
          <w:rFonts w:ascii="黑体" w:eastAsia="黑体" w:hAnsi="黑体"/>
          <w:b/>
          <w:sz w:val="24"/>
        </w:rPr>
        <w:t>产品管理人</w:t>
      </w:r>
      <w:r w:rsidRPr="00ED20E8">
        <w:rPr>
          <w:rFonts w:ascii="黑体" w:eastAsia="黑体" w:hAnsi="黑体" w:hint="eastAsia"/>
          <w:b/>
          <w:sz w:val="24"/>
        </w:rPr>
        <w:t>不承担责任。</w:t>
      </w:r>
    </w:p>
    <w:p w14:paraId="0A832E36" w14:textId="77777777" w:rsidR="00B55224" w:rsidRPr="00ED20E8" w:rsidRDefault="002E1AE2">
      <w:pPr>
        <w:adjustRightInd w:val="0"/>
        <w:snapToGrid w:val="0"/>
        <w:spacing w:line="312" w:lineRule="auto"/>
        <w:ind w:firstLineChars="200" w:firstLine="482"/>
        <w:rPr>
          <w:rFonts w:ascii="黑体" w:eastAsia="黑体" w:hAnsi="黑体" w:hint="eastAsia"/>
          <w:b/>
          <w:sz w:val="24"/>
        </w:rPr>
      </w:pPr>
      <w:r w:rsidRPr="00ED20E8">
        <w:rPr>
          <w:rFonts w:ascii="黑体" w:eastAsia="黑体" w:hAnsi="黑体" w:hint="eastAsia"/>
          <w:b/>
          <w:sz w:val="24"/>
        </w:rPr>
        <w:t>第十六条 甲方承诺</w:t>
      </w:r>
    </w:p>
    <w:p w14:paraId="65907FE4" w14:textId="77777777" w:rsidR="00B55224" w:rsidRPr="00ED20E8" w:rsidRDefault="002E1AE2">
      <w:pPr>
        <w:adjustRightInd w:val="0"/>
        <w:snapToGrid w:val="0"/>
        <w:spacing w:line="312" w:lineRule="auto"/>
        <w:ind w:firstLineChars="176" w:firstLine="424"/>
        <w:rPr>
          <w:rFonts w:ascii="黑体" w:eastAsia="黑体" w:hAnsi="黑体" w:hint="eastAsia"/>
          <w:b/>
          <w:sz w:val="24"/>
        </w:rPr>
      </w:pPr>
      <w:r w:rsidRPr="00ED20E8">
        <w:rPr>
          <w:rFonts w:ascii="黑体" w:eastAsia="黑体" w:hAnsi="黑体" w:hint="eastAsia"/>
          <w:b/>
          <w:sz w:val="24"/>
        </w:rPr>
        <w:t>（一）甲方承诺，购买本理财产品的资金为其合法所有，</w:t>
      </w:r>
      <w:r w:rsidRPr="00ED20E8">
        <w:rPr>
          <w:rFonts w:ascii="黑体" w:eastAsia="黑体" w:hAnsi="黑体"/>
          <w:b/>
          <w:sz w:val="24"/>
        </w:rPr>
        <w:t>投资行为符合法律、法规及相关监管部门的规定</w:t>
      </w:r>
      <w:r w:rsidRPr="00ED20E8">
        <w:rPr>
          <w:rFonts w:ascii="黑体" w:eastAsia="黑体" w:hAnsi="黑体" w:hint="eastAsia"/>
          <w:b/>
          <w:sz w:val="24"/>
        </w:rPr>
        <w:t>。</w:t>
      </w:r>
    </w:p>
    <w:p w14:paraId="73874975" w14:textId="77777777" w:rsidR="00B55224" w:rsidRPr="00ED20E8" w:rsidRDefault="002E1AE2">
      <w:pPr>
        <w:adjustRightInd w:val="0"/>
        <w:snapToGrid w:val="0"/>
        <w:spacing w:line="312" w:lineRule="auto"/>
        <w:ind w:firstLineChars="170" w:firstLine="410"/>
        <w:jc w:val="left"/>
        <w:rPr>
          <w:rFonts w:ascii="黑体" w:eastAsia="黑体" w:hAnsi="黑体" w:hint="eastAsia"/>
          <w:b/>
          <w:sz w:val="24"/>
        </w:rPr>
      </w:pPr>
      <w:r w:rsidRPr="00ED20E8">
        <w:rPr>
          <w:rFonts w:ascii="黑体" w:eastAsia="黑体" w:hAnsi="黑体" w:hint="eastAsia"/>
          <w:b/>
          <w:sz w:val="24"/>
        </w:rPr>
        <w:t>（二）</w:t>
      </w:r>
      <w:r w:rsidRPr="00ED20E8">
        <w:rPr>
          <w:rFonts w:ascii="黑体" w:eastAsia="黑体" w:hAnsi="黑体" w:hint="eastAsia"/>
          <w:b/>
          <w:bCs/>
          <w:color w:val="000000"/>
          <w:sz w:val="24"/>
        </w:rPr>
        <w:t>甲方承诺，购买本理财产品的资金为合法自有资金或合法募集资金，不存在使用贷款、发行债券等筹集的非自有资金投资资产管理产品的情形。</w:t>
      </w:r>
    </w:p>
    <w:p w14:paraId="281A0278" w14:textId="77777777" w:rsidR="00B55224" w:rsidRPr="00ED20E8" w:rsidRDefault="002E1AE2">
      <w:pPr>
        <w:adjustRightInd w:val="0"/>
        <w:snapToGrid w:val="0"/>
        <w:spacing w:line="312" w:lineRule="auto"/>
        <w:ind w:firstLineChars="171" w:firstLine="412"/>
        <w:jc w:val="left"/>
        <w:rPr>
          <w:rFonts w:ascii="黑体" w:eastAsia="黑体" w:hAnsi="黑体" w:hint="eastAsia"/>
          <w:b/>
          <w:sz w:val="24"/>
        </w:rPr>
      </w:pPr>
      <w:r w:rsidRPr="00ED20E8">
        <w:rPr>
          <w:rFonts w:ascii="黑体" w:eastAsia="黑体" w:hAnsi="黑体" w:hint="eastAsia"/>
          <w:b/>
          <w:sz w:val="24"/>
        </w:rPr>
        <w:t>（三）甲方承诺，</w:t>
      </w:r>
      <w:r w:rsidRPr="00ED20E8">
        <w:rPr>
          <w:rFonts w:ascii="黑体" w:eastAsia="黑体" w:hAnsi="黑体"/>
          <w:b/>
          <w:sz w:val="24"/>
        </w:rPr>
        <w:t>甲方</w:t>
      </w:r>
      <w:r w:rsidRPr="00ED20E8">
        <w:rPr>
          <w:rFonts w:ascii="黑体" w:eastAsia="黑体" w:hAnsi="黑体" w:hint="eastAsia"/>
          <w:b/>
          <w:sz w:val="24"/>
        </w:rPr>
        <w:t>所提供的信息和资料真实有效，</w:t>
      </w:r>
      <w:r w:rsidRPr="00ED20E8">
        <w:rPr>
          <w:rFonts w:ascii="黑体" w:eastAsia="黑体" w:hAnsi="黑体"/>
          <w:b/>
          <w:sz w:val="24"/>
        </w:rPr>
        <w:t>且同意配合乙方</w:t>
      </w:r>
      <w:r w:rsidRPr="00ED20E8">
        <w:rPr>
          <w:rFonts w:ascii="黑体" w:eastAsia="黑体" w:hAnsi="黑体" w:hint="eastAsia"/>
          <w:b/>
          <w:sz w:val="24"/>
        </w:rPr>
        <w:t>及产品管理人根据法律法规</w:t>
      </w:r>
      <w:r w:rsidRPr="00ED20E8">
        <w:rPr>
          <w:rFonts w:ascii="黑体" w:eastAsia="黑体" w:hAnsi="黑体"/>
          <w:b/>
          <w:sz w:val="24"/>
        </w:rPr>
        <w:t>、监管</w:t>
      </w:r>
      <w:r w:rsidRPr="00ED20E8">
        <w:rPr>
          <w:rFonts w:ascii="黑体" w:eastAsia="黑体" w:hAnsi="黑体" w:hint="eastAsia"/>
          <w:b/>
          <w:sz w:val="24"/>
        </w:rPr>
        <w:t>政策的</w:t>
      </w:r>
      <w:r w:rsidRPr="00ED20E8">
        <w:rPr>
          <w:rFonts w:ascii="黑体" w:eastAsia="黑体" w:hAnsi="黑体"/>
          <w:b/>
          <w:sz w:val="24"/>
        </w:rPr>
        <w:t>规定</w:t>
      </w:r>
      <w:r w:rsidRPr="00ED20E8">
        <w:rPr>
          <w:rFonts w:ascii="黑体" w:eastAsia="黑体" w:hAnsi="黑体" w:hint="eastAsia"/>
          <w:b/>
          <w:sz w:val="24"/>
        </w:rPr>
        <w:t>，</w:t>
      </w:r>
      <w:r w:rsidRPr="00ED20E8">
        <w:rPr>
          <w:rFonts w:ascii="黑体" w:eastAsia="黑体" w:hAnsi="黑体"/>
          <w:b/>
          <w:sz w:val="24"/>
        </w:rPr>
        <w:t>完成</w:t>
      </w:r>
      <w:r w:rsidRPr="00ED20E8">
        <w:rPr>
          <w:rFonts w:ascii="黑体" w:eastAsia="黑体" w:hAnsi="黑体" w:hint="eastAsia"/>
          <w:b/>
          <w:sz w:val="24"/>
        </w:rPr>
        <w:t>风险</w:t>
      </w:r>
      <w:r w:rsidRPr="00ED20E8">
        <w:rPr>
          <w:rFonts w:ascii="黑体" w:eastAsia="黑体" w:hAnsi="黑体"/>
          <w:b/>
          <w:sz w:val="24"/>
        </w:rPr>
        <w:t>承受能力评估、</w:t>
      </w:r>
      <w:r w:rsidRPr="00ED20E8">
        <w:rPr>
          <w:rFonts w:ascii="黑体" w:eastAsia="黑体" w:hAnsi="黑体" w:hint="eastAsia"/>
          <w:b/>
          <w:sz w:val="24"/>
        </w:rPr>
        <w:t>销售</w:t>
      </w:r>
      <w:r w:rsidRPr="00ED20E8">
        <w:rPr>
          <w:rFonts w:ascii="黑体" w:eastAsia="黑体" w:hAnsi="黑体"/>
          <w:b/>
          <w:sz w:val="24"/>
        </w:rPr>
        <w:t>适当性</w:t>
      </w:r>
      <w:r w:rsidRPr="00ED20E8">
        <w:rPr>
          <w:rFonts w:ascii="黑体" w:eastAsia="黑体" w:hAnsi="黑体" w:hint="eastAsia"/>
          <w:b/>
          <w:sz w:val="24"/>
        </w:rPr>
        <w:t>管理</w:t>
      </w:r>
      <w:r w:rsidRPr="00ED20E8">
        <w:rPr>
          <w:rFonts w:ascii="黑体" w:eastAsia="黑体" w:hAnsi="黑体"/>
          <w:b/>
          <w:sz w:val="24"/>
        </w:rPr>
        <w:t>、反洗钱</w:t>
      </w:r>
      <w:r w:rsidRPr="00ED20E8">
        <w:rPr>
          <w:rFonts w:ascii="黑体" w:eastAsia="黑体" w:hAnsi="黑体" w:hint="eastAsia"/>
          <w:b/>
          <w:sz w:val="24"/>
        </w:rPr>
        <w:t>管理</w:t>
      </w:r>
      <w:r w:rsidRPr="00ED20E8">
        <w:rPr>
          <w:rFonts w:ascii="黑体" w:eastAsia="黑体" w:hAnsi="黑体"/>
          <w:b/>
          <w:sz w:val="24"/>
        </w:rPr>
        <w:t>、非居民</w:t>
      </w:r>
      <w:r w:rsidRPr="00ED20E8">
        <w:rPr>
          <w:rFonts w:ascii="黑体" w:eastAsia="黑体" w:hAnsi="黑体" w:hint="eastAsia"/>
          <w:b/>
          <w:sz w:val="24"/>
        </w:rPr>
        <w:t>金融</w:t>
      </w:r>
      <w:r w:rsidRPr="00ED20E8">
        <w:rPr>
          <w:rFonts w:ascii="黑体" w:eastAsia="黑体" w:hAnsi="黑体"/>
          <w:b/>
          <w:sz w:val="24"/>
        </w:rPr>
        <w:t>账户涉税信息</w:t>
      </w:r>
      <w:r w:rsidRPr="00ED20E8">
        <w:rPr>
          <w:rFonts w:ascii="黑体" w:eastAsia="黑体" w:hAnsi="黑体" w:hint="eastAsia"/>
          <w:b/>
          <w:sz w:val="24"/>
        </w:rPr>
        <w:t>尽职</w:t>
      </w:r>
      <w:r w:rsidRPr="00ED20E8">
        <w:rPr>
          <w:rFonts w:ascii="黑体" w:eastAsia="黑体" w:hAnsi="黑体"/>
          <w:b/>
          <w:sz w:val="24"/>
        </w:rPr>
        <w:t>调查</w:t>
      </w:r>
      <w:r w:rsidRPr="00ED20E8">
        <w:rPr>
          <w:rFonts w:ascii="黑体" w:eastAsia="黑体" w:hAnsi="黑体" w:hint="eastAsia"/>
          <w:b/>
          <w:sz w:val="24"/>
        </w:rPr>
        <w:t>等工作。</w:t>
      </w:r>
    </w:p>
    <w:p w14:paraId="08DD7DE7" w14:textId="77777777" w:rsidR="00B55224" w:rsidRPr="00ED20E8" w:rsidRDefault="002E1AE2">
      <w:pPr>
        <w:adjustRightInd w:val="0"/>
        <w:snapToGrid w:val="0"/>
        <w:spacing w:line="312" w:lineRule="auto"/>
        <w:ind w:firstLineChars="171" w:firstLine="412"/>
        <w:jc w:val="left"/>
        <w:rPr>
          <w:rFonts w:ascii="黑体" w:eastAsia="黑体" w:hAnsi="黑体" w:hint="eastAsia"/>
          <w:b/>
          <w:sz w:val="24"/>
        </w:rPr>
      </w:pPr>
      <w:r w:rsidRPr="00ED20E8">
        <w:rPr>
          <w:rFonts w:ascii="黑体" w:eastAsia="黑体" w:hAnsi="黑体" w:hint="eastAsia"/>
          <w:b/>
          <w:bCs/>
          <w:color w:val="000000"/>
          <w:sz w:val="24"/>
        </w:rPr>
        <w:t>甲方同意，</w:t>
      </w:r>
      <w:r w:rsidRPr="00ED20E8">
        <w:rPr>
          <w:rFonts w:ascii="黑体" w:eastAsia="黑体" w:hAnsi="黑体" w:hint="eastAsia"/>
          <w:b/>
          <w:sz w:val="24"/>
        </w:rPr>
        <w:t>本协议履行</w:t>
      </w:r>
      <w:r w:rsidRPr="00ED20E8">
        <w:rPr>
          <w:rFonts w:ascii="黑体" w:eastAsia="黑体" w:hAnsi="黑体"/>
          <w:b/>
          <w:sz w:val="24"/>
        </w:rPr>
        <w:t>过程中，</w:t>
      </w:r>
      <w:r w:rsidRPr="00ED20E8">
        <w:rPr>
          <w:rFonts w:ascii="黑体" w:eastAsia="黑体" w:hAnsi="黑体" w:hint="eastAsia"/>
          <w:b/>
          <w:sz w:val="24"/>
        </w:rPr>
        <w:t>乙方及</w:t>
      </w:r>
      <w:r w:rsidRPr="00ED20E8">
        <w:rPr>
          <w:rFonts w:ascii="黑体" w:eastAsia="黑体" w:hAnsi="黑体"/>
          <w:b/>
          <w:sz w:val="24"/>
        </w:rPr>
        <w:t>产品管理人</w:t>
      </w:r>
      <w:r w:rsidRPr="00ED20E8">
        <w:rPr>
          <w:rFonts w:ascii="黑体" w:eastAsia="黑体" w:hAnsi="黑体" w:hint="eastAsia"/>
          <w:b/>
          <w:sz w:val="24"/>
        </w:rPr>
        <w:t>需</w:t>
      </w:r>
      <w:r w:rsidRPr="00ED20E8">
        <w:rPr>
          <w:rFonts w:ascii="黑体" w:eastAsia="黑体" w:hAnsi="黑体"/>
          <w:b/>
          <w:sz w:val="24"/>
        </w:rPr>
        <w:t>联系甲方时，</w:t>
      </w:r>
      <w:r w:rsidRPr="00ED20E8">
        <w:rPr>
          <w:rFonts w:ascii="黑体" w:eastAsia="黑体" w:hAnsi="黑体" w:hint="eastAsia"/>
          <w:b/>
          <w:sz w:val="24"/>
        </w:rPr>
        <w:t>乙方及</w:t>
      </w:r>
      <w:r w:rsidRPr="00ED20E8">
        <w:rPr>
          <w:rFonts w:ascii="黑体" w:eastAsia="黑体" w:hAnsi="黑体"/>
          <w:b/>
          <w:sz w:val="24"/>
        </w:rPr>
        <w:t>产品管理人仅按照甲方</w:t>
      </w:r>
      <w:r w:rsidRPr="00ED20E8">
        <w:rPr>
          <w:rFonts w:ascii="黑体" w:eastAsia="黑体" w:hAnsi="黑体" w:hint="eastAsia"/>
          <w:b/>
          <w:sz w:val="24"/>
        </w:rPr>
        <w:t>进行</w:t>
      </w:r>
      <w:r w:rsidRPr="00ED20E8">
        <w:rPr>
          <w:rFonts w:ascii="黑体" w:eastAsia="黑体" w:hAnsi="黑体"/>
          <w:b/>
          <w:sz w:val="24"/>
        </w:rPr>
        <w:t>交易时</w:t>
      </w:r>
      <w:r w:rsidRPr="00ED20E8">
        <w:rPr>
          <w:rFonts w:ascii="黑体" w:eastAsia="黑体" w:hAnsi="黑体" w:hint="eastAsia"/>
          <w:b/>
          <w:sz w:val="24"/>
        </w:rPr>
        <w:t>在乙方</w:t>
      </w:r>
      <w:r w:rsidRPr="00ED20E8">
        <w:rPr>
          <w:rFonts w:ascii="黑体" w:eastAsia="黑体" w:hAnsi="黑体"/>
          <w:b/>
          <w:sz w:val="24"/>
        </w:rPr>
        <w:t>留存的</w:t>
      </w:r>
      <w:r w:rsidRPr="00ED20E8">
        <w:rPr>
          <w:rFonts w:ascii="黑体" w:eastAsia="黑体" w:hAnsi="黑体" w:hint="eastAsia"/>
          <w:b/>
          <w:sz w:val="24"/>
        </w:rPr>
        <w:t>方式</w:t>
      </w:r>
      <w:r w:rsidRPr="00ED20E8">
        <w:rPr>
          <w:rFonts w:ascii="黑体" w:eastAsia="黑体" w:hAnsi="黑体"/>
          <w:b/>
          <w:sz w:val="24"/>
        </w:rPr>
        <w:t>联系甲方</w:t>
      </w:r>
      <w:r w:rsidRPr="00ED20E8">
        <w:rPr>
          <w:rFonts w:ascii="黑体" w:eastAsia="黑体" w:hAnsi="黑体" w:hint="eastAsia"/>
          <w:b/>
          <w:sz w:val="24"/>
        </w:rPr>
        <w:t>，甲方</w:t>
      </w:r>
      <w:r w:rsidRPr="00ED20E8">
        <w:rPr>
          <w:rFonts w:ascii="黑体" w:eastAsia="黑体" w:hAnsi="黑体"/>
          <w:b/>
          <w:sz w:val="24"/>
        </w:rPr>
        <w:t>联系信息如有变更的，应及时通知乙方</w:t>
      </w:r>
      <w:r w:rsidRPr="00ED20E8">
        <w:rPr>
          <w:rFonts w:ascii="黑体" w:eastAsia="黑体" w:hAnsi="黑体" w:hint="eastAsia"/>
          <w:b/>
          <w:sz w:val="24"/>
        </w:rPr>
        <w:t>，</w:t>
      </w:r>
      <w:r w:rsidRPr="00ED20E8">
        <w:rPr>
          <w:rFonts w:ascii="黑体" w:eastAsia="黑体" w:hAnsi="黑体"/>
          <w:b/>
          <w:sz w:val="24"/>
        </w:rPr>
        <w:t>乙方</w:t>
      </w:r>
      <w:r w:rsidRPr="00ED20E8">
        <w:rPr>
          <w:rFonts w:ascii="黑体" w:eastAsia="黑体" w:hAnsi="黑体" w:hint="eastAsia"/>
          <w:b/>
          <w:sz w:val="24"/>
        </w:rPr>
        <w:t>及</w:t>
      </w:r>
      <w:r w:rsidRPr="00ED20E8">
        <w:rPr>
          <w:rFonts w:ascii="黑体" w:eastAsia="黑体" w:hAnsi="黑体"/>
          <w:b/>
          <w:sz w:val="24"/>
        </w:rPr>
        <w:t>产品管理人按照变更后的方式联系甲方。</w:t>
      </w:r>
      <w:r w:rsidRPr="00ED20E8">
        <w:rPr>
          <w:rFonts w:ascii="黑体" w:eastAsia="黑体" w:hAnsi="黑体" w:hint="eastAsia"/>
          <w:b/>
          <w:sz w:val="24"/>
        </w:rPr>
        <w:t>对于</w:t>
      </w:r>
      <w:r w:rsidRPr="00ED20E8">
        <w:rPr>
          <w:rFonts w:ascii="黑体" w:eastAsia="黑体" w:hAnsi="黑体"/>
          <w:b/>
          <w:sz w:val="24"/>
        </w:rPr>
        <w:t>甲方</w:t>
      </w:r>
      <w:r w:rsidRPr="00ED20E8">
        <w:rPr>
          <w:rFonts w:ascii="黑体" w:eastAsia="黑体" w:hAnsi="黑体" w:hint="eastAsia"/>
          <w:b/>
          <w:sz w:val="24"/>
        </w:rPr>
        <w:t>变更</w:t>
      </w:r>
      <w:r w:rsidRPr="00ED20E8">
        <w:rPr>
          <w:rFonts w:ascii="黑体" w:eastAsia="黑体" w:hAnsi="黑体"/>
          <w:b/>
          <w:sz w:val="24"/>
        </w:rPr>
        <w:t>联系信息</w:t>
      </w:r>
      <w:r w:rsidRPr="00ED20E8">
        <w:rPr>
          <w:rFonts w:ascii="黑体" w:eastAsia="黑体" w:hAnsi="黑体" w:hint="eastAsia"/>
          <w:b/>
          <w:sz w:val="24"/>
        </w:rPr>
        <w:t>但并</w:t>
      </w:r>
      <w:r w:rsidRPr="00ED20E8">
        <w:rPr>
          <w:rFonts w:ascii="黑体" w:eastAsia="黑体" w:hAnsi="黑体"/>
          <w:b/>
          <w:sz w:val="24"/>
        </w:rPr>
        <w:t>未按本协议约定及时通知乙方</w:t>
      </w:r>
      <w:r w:rsidRPr="00ED20E8">
        <w:rPr>
          <w:rFonts w:ascii="黑体" w:eastAsia="黑体" w:hAnsi="黑体" w:hint="eastAsia"/>
          <w:b/>
          <w:sz w:val="24"/>
        </w:rPr>
        <w:t>而</w:t>
      </w:r>
      <w:r w:rsidRPr="00ED20E8">
        <w:rPr>
          <w:rFonts w:ascii="黑体" w:eastAsia="黑体" w:hAnsi="黑体"/>
          <w:b/>
          <w:sz w:val="24"/>
        </w:rPr>
        <w:t>造成的损失，</w:t>
      </w:r>
      <w:r w:rsidRPr="00ED20E8">
        <w:rPr>
          <w:rFonts w:ascii="黑体" w:eastAsia="黑体" w:hAnsi="黑体" w:hint="eastAsia"/>
          <w:b/>
          <w:sz w:val="24"/>
        </w:rPr>
        <w:t>由甲方自行</w:t>
      </w:r>
      <w:r w:rsidRPr="00ED20E8">
        <w:rPr>
          <w:rFonts w:ascii="黑体" w:eastAsia="黑体" w:hAnsi="黑体"/>
          <w:b/>
          <w:sz w:val="24"/>
        </w:rPr>
        <w:t>承担。</w:t>
      </w:r>
    </w:p>
    <w:p w14:paraId="56E072D8" w14:textId="77777777" w:rsidR="00B55224" w:rsidRPr="00ED20E8" w:rsidRDefault="002E1AE2">
      <w:pPr>
        <w:adjustRightInd w:val="0"/>
        <w:snapToGrid w:val="0"/>
        <w:spacing w:line="312" w:lineRule="auto"/>
        <w:ind w:firstLineChars="200" w:firstLine="482"/>
        <w:rPr>
          <w:rFonts w:ascii="黑体" w:eastAsia="黑体" w:hAnsi="黑体" w:hint="eastAsia"/>
          <w:b/>
          <w:sz w:val="24"/>
        </w:rPr>
      </w:pPr>
      <w:r w:rsidRPr="00ED20E8">
        <w:rPr>
          <w:rFonts w:ascii="黑体" w:eastAsia="黑体" w:hAnsi="黑体" w:hint="eastAsia"/>
          <w:b/>
          <w:bCs/>
          <w:color w:val="000000"/>
          <w:sz w:val="24"/>
        </w:rPr>
        <w:t>（四）基</w:t>
      </w:r>
      <w:r w:rsidRPr="00ED20E8">
        <w:rPr>
          <w:rFonts w:ascii="黑体" w:eastAsia="黑体" w:hAnsi="黑体"/>
          <w:b/>
          <w:sz w:val="24"/>
        </w:rPr>
        <w:t>于</w:t>
      </w:r>
      <w:r w:rsidRPr="00ED20E8">
        <w:rPr>
          <w:rFonts w:ascii="黑体" w:eastAsia="黑体" w:hAnsi="黑体" w:hint="eastAsia"/>
          <w:b/>
          <w:sz w:val="24"/>
        </w:rPr>
        <w:t>产品管理人及乙方</w:t>
      </w:r>
      <w:r w:rsidRPr="00ED20E8">
        <w:rPr>
          <w:rFonts w:ascii="黑体" w:eastAsia="黑体" w:hAnsi="黑体"/>
          <w:b/>
          <w:sz w:val="24"/>
        </w:rPr>
        <w:t>履行</w:t>
      </w:r>
      <w:r w:rsidRPr="00ED20E8">
        <w:rPr>
          <w:rFonts w:ascii="黑体" w:eastAsia="黑体" w:hAnsi="黑体" w:hint="eastAsia"/>
          <w:b/>
          <w:sz w:val="24"/>
        </w:rPr>
        <w:t>理财产品</w:t>
      </w:r>
      <w:r w:rsidRPr="00ED20E8">
        <w:rPr>
          <w:rFonts w:ascii="黑体" w:eastAsia="黑体" w:hAnsi="黑体"/>
          <w:b/>
          <w:sz w:val="24"/>
        </w:rPr>
        <w:t>销售文件所载明的各项</w:t>
      </w:r>
      <w:r w:rsidRPr="00ED20E8">
        <w:rPr>
          <w:rFonts w:ascii="黑体" w:eastAsia="黑体" w:hAnsi="黑体" w:hint="eastAsia"/>
          <w:b/>
          <w:sz w:val="24"/>
        </w:rPr>
        <w:t>义务</w:t>
      </w:r>
      <w:r w:rsidRPr="00ED20E8">
        <w:rPr>
          <w:rFonts w:ascii="黑体" w:eastAsia="黑体" w:hAnsi="黑体"/>
          <w:b/>
          <w:sz w:val="24"/>
        </w:rPr>
        <w:t>、进行服务管理和风险管理、报送监管信息</w:t>
      </w:r>
      <w:r w:rsidRPr="00ED20E8">
        <w:rPr>
          <w:rFonts w:ascii="黑体" w:eastAsia="黑体" w:hAnsi="黑体" w:hint="eastAsia"/>
          <w:b/>
          <w:sz w:val="24"/>
        </w:rPr>
        <w:t>、</w:t>
      </w:r>
      <w:r w:rsidRPr="00ED20E8">
        <w:rPr>
          <w:rFonts w:ascii="黑体" w:eastAsia="黑体" w:hAnsi="黑体"/>
          <w:b/>
          <w:sz w:val="24"/>
        </w:rPr>
        <w:t>履行反洗钱、</w:t>
      </w:r>
      <w:r w:rsidRPr="00ED20E8">
        <w:rPr>
          <w:rFonts w:ascii="黑体" w:eastAsia="黑体" w:hAnsi="黑体" w:hint="eastAsia"/>
          <w:b/>
          <w:sz w:val="24"/>
        </w:rPr>
        <w:t>反恐怖融资、非居民金融账户涉税信息尽职调查、</w:t>
      </w:r>
      <w:r w:rsidRPr="00ED20E8">
        <w:rPr>
          <w:rFonts w:ascii="黑体" w:eastAsia="黑体" w:hAnsi="黑体"/>
          <w:b/>
          <w:sz w:val="24"/>
        </w:rPr>
        <w:t>投资者资质审核和销售适当性等法律法规和监管要求的义务</w:t>
      </w:r>
      <w:r w:rsidRPr="00ED20E8">
        <w:rPr>
          <w:rFonts w:ascii="黑体" w:eastAsia="黑体" w:hAnsi="黑体" w:hint="eastAsia"/>
          <w:b/>
          <w:sz w:val="24"/>
        </w:rPr>
        <w:t>的</w:t>
      </w:r>
      <w:r w:rsidRPr="00ED20E8">
        <w:rPr>
          <w:rFonts w:ascii="黑体" w:eastAsia="黑体" w:hAnsi="黑体"/>
          <w:b/>
          <w:sz w:val="24"/>
        </w:rPr>
        <w:t>需要，甲方授权</w:t>
      </w:r>
      <w:r w:rsidRPr="00ED20E8">
        <w:rPr>
          <w:rFonts w:ascii="黑体" w:eastAsia="黑体" w:hAnsi="黑体" w:hint="eastAsia"/>
          <w:b/>
          <w:sz w:val="24"/>
        </w:rPr>
        <w:t>乙方</w:t>
      </w:r>
      <w:r w:rsidRPr="00ED20E8">
        <w:rPr>
          <w:rFonts w:ascii="黑体" w:eastAsia="黑体" w:hAnsi="黑体"/>
          <w:b/>
          <w:sz w:val="24"/>
        </w:rPr>
        <w:t>在业务办理或履行过程中</w:t>
      </w:r>
      <w:r w:rsidRPr="00ED20E8">
        <w:rPr>
          <w:rFonts w:ascii="黑体" w:eastAsia="黑体" w:hAnsi="黑体" w:hint="eastAsia"/>
          <w:b/>
          <w:sz w:val="24"/>
        </w:rPr>
        <w:t>获取并报送、处理甲方个人信息，授权产品管理人</w:t>
      </w:r>
      <w:r w:rsidRPr="00ED20E8">
        <w:rPr>
          <w:rFonts w:ascii="黑体" w:eastAsia="黑体" w:hAnsi="黑体"/>
          <w:b/>
          <w:sz w:val="24"/>
        </w:rPr>
        <w:t>在业务办理或履行过程中</w:t>
      </w:r>
      <w:r w:rsidRPr="00ED20E8">
        <w:rPr>
          <w:rFonts w:ascii="黑体" w:eastAsia="黑体" w:hAnsi="黑体" w:hint="eastAsia"/>
          <w:b/>
          <w:sz w:val="24"/>
        </w:rPr>
        <w:t>直接</w:t>
      </w:r>
      <w:r w:rsidRPr="00ED20E8">
        <w:rPr>
          <w:rFonts w:ascii="黑体" w:eastAsia="黑体" w:hAnsi="黑体"/>
          <w:b/>
          <w:sz w:val="24"/>
        </w:rPr>
        <w:t>或</w:t>
      </w:r>
      <w:r w:rsidRPr="00ED20E8">
        <w:rPr>
          <w:rFonts w:ascii="黑体" w:eastAsia="黑体" w:hAnsi="黑体" w:hint="eastAsia"/>
          <w:b/>
          <w:sz w:val="24"/>
        </w:rPr>
        <w:t>通过乙方间接获取并报送、处理甲方个人信息。处理方式为收集、存储、使用、加工、传输、提供等，个人信息包括姓名、性别、国籍或地区、职业、联系方式、地址、身份证件信息等身份信息，理财</w:t>
      </w:r>
      <w:r w:rsidRPr="00ED20E8">
        <w:rPr>
          <w:rFonts w:ascii="黑体" w:eastAsia="黑体" w:hAnsi="黑体" w:hint="eastAsia"/>
          <w:b/>
          <w:sz w:val="24"/>
        </w:rPr>
        <w:lastRenderedPageBreak/>
        <w:t>账户、银行账户等账户信息，</w:t>
      </w:r>
      <w:r w:rsidRPr="00ED20E8">
        <w:rPr>
          <w:rFonts w:ascii="黑体" w:eastAsia="黑体" w:hAnsi="黑体" w:hint="eastAsia"/>
          <w:b/>
          <w:bCs/>
          <w:color w:val="000000" w:themeColor="text1"/>
          <w:sz w:val="24"/>
        </w:rPr>
        <w:t>风险承受能力等级、理财产品交易时间等金融交易信息，</w:t>
      </w:r>
      <w:r w:rsidRPr="00ED20E8">
        <w:rPr>
          <w:rFonts w:ascii="黑体" w:eastAsia="黑体" w:hAnsi="黑体" w:hint="eastAsia"/>
          <w:b/>
          <w:sz w:val="24"/>
        </w:rPr>
        <w:t>持有理财产品信息等财产信息，及法律法规、监管要求或行业自律准则规定的其他信息；</w:t>
      </w:r>
      <w:r w:rsidRPr="00ED20E8">
        <w:rPr>
          <w:rFonts w:ascii="黑体" w:eastAsia="黑体" w:hAnsi="黑体" w:hint="eastAsia"/>
          <w:b/>
          <w:bCs/>
          <w:color w:val="000000" w:themeColor="text1"/>
          <w:sz w:val="24"/>
        </w:rPr>
        <w:t>在产品管理人及乙方履行相关法律法规、监管规定的义务及有权机关要求的情况下，甲方授权产品管理人及乙方向银行业理财登记托管中心、监管机构及其他有权机关报送或提供上述信息；</w:t>
      </w:r>
      <w:r w:rsidRPr="00ED20E8">
        <w:rPr>
          <w:rFonts w:ascii="黑体" w:eastAsia="黑体" w:hAnsi="黑体"/>
          <w:b/>
          <w:sz w:val="24"/>
        </w:rPr>
        <w:t>在</w:t>
      </w:r>
      <w:r w:rsidRPr="00ED20E8">
        <w:rPr>
          <w:rFonts w:ascii="黑体" w:eastAsia="黑体" w:hAnsi="黑体" w:hint="eastAsia"/>
          <w:b/>
          <w:sz w:val="24"/>
        </w:rPr>
        <w:t>产品</w:t>
      </w:r>
      <w:r w:rsidRPr="00ED20E8">
        <w:rPr>
          <w:rFonts w:ascii="黑体" w:eastAsia="黑体" w:hAnsi="黑体"/>
          <w:b/>
          <w:sz w:val="24"/>
        </w:rPr>
        <w:t>管理人</w:t>
      </w:r>
      <w:r w:rsidRPr="00ED20E8">
        <w:rPr>
          <w:rFonts w:ascii="黑体" w:eastAsia="黑体" w:hAnsi="黑体" w:hint="eastAsia"/>
          <w:b/>
          <w:sz w:val="24"/>
        </w:rPr>
        <w:t>及乙方</w:t>
      </w:r>
      <w:r w:rsidRPr="00ED20E8">
        <w:rPr>
          <w:rFonts w:ascii="黑体" w:eastAsia="黑体" w:hAnsi="黑体"/>
          <w:b/>
          <w:sz w:val="24"/>
        </w:rPr>
        <w:t>办理本</w:t>
      </w:r>
      <w:r w:rsidRPr="00ED20E8">
        <w:rPr>
          <w:rFonts w:ascii="黑体" w:eastAsia="黑体" w:hAnsi="黑体" w:hint="eastAsia"/>
          <w:b/>
          <w:sz w:val="24"/>
        </w:rPr>
        <w:t>协议</w:t>
      </w:r>
      <w:r w:rsidRPr="00ED20E8">
        <w:rPr>
          <w:rFonts w:ascii="黑体" w:eastAsia="黑体" w:hAnsi="黑体"/>
          <w:b/>
          <w:sz w:val="24"/>
        </w:rPr>
        <w:t>项下相关事项所必需的情形下，甲方同意并授权</w:t>
      </w:r>
      <w:r w:rsidRPr="00ED20E8">
        <w:rPr>
          <w:rFonts w:ascii="黑体" w:eastAsia="黑体" w:hAnsi="黑体" w:hint="eastAsia"/>
          <w:b/>
          <w:sz w:val="24"/>
        </w:rPr>
        <w:t>产品</w:t>
      </w:r>
      <w:r w:rsidRPr="00ED20E8">
        <w:rPr>
          <w:rFonts w:ascii="黑体" w:eastAsia="黑体" w:hAnsi="黑体"/>
          <w:b/>
          <w:sz w:val="24"/>
        </w:rPr>
        <w:t>管理人</w:t>
      </w:r>
      <w:r w:rsidRPr="00ED20E8">
        <w:rPr>
          <w:rFonts w:ascii="黑体" w:eastAsia="黑体" w:hAnsi="黑体" w:hint="eastAsia"/>
          <w:b/>
          <w:sz w:val="24"/>
        </w:rPr>
        <w:t>及乙方</w:t>
      </w:r>
      <w:r w:rsidRPr="00ED20E8">
        <w:rPr>
          <w:rFonts w:ascii="黑体" w:eastAsia="黑体" w:hAnsi="黑体"/>
          <w:b/>
          <w:sz w:val="24"/>
        </w:rPr>
        <w:t>向</w:t>
      </w:r>
      <w:r w:rsidRPr="00ED20E8">
        <w:rPr>
          <w:rFonts w:ascii="黑体" w:eastAsia="黑体" w:hAnsi="黑体" w:hint="eastAsia"/>
          <w:b/>
          <w:sz w:val="24"/>
        </w:rPr>
        <w:t>其</w:t>
      </w:r>
      <w:r w:rsidRPr="00ED20E8">
        <w:rPr>
          <w:rFonts w:ascii="黑体" w:eastAsia="黑体" w:hAnsi="黑体"/>
          <w:b/>
          <w:sz w:val="24"/>
        </w:rPr>
        <w:t>集团成员、服务机构及其他</w:t>
      </w:r>
      <w:r w:rsidRPr="00ED20E8">
        <w:rPr>
          <w:rFonts w:ascii="黑体" w:eastAsia="黑体" w:hAnsi="黑体" w:hint="eastAsia"/>
          <w:b/>
          <w:sz w:val="24"/>
        </w:rPr>
        <w:t>产品管理人或</w:t>
      </w:r>
      <w:r w:rsidRPr="00ED20E8">
        <w:rPr>
          <w:rFonts w:ascii="黑体" w:eastAsia="黑体" w:hAnsi="黑体"/>
          <w:b/>
          <w:sz w:val="24"/>
        </w:rPr>
        <w:t>乙方认为必要的业务合作机构提供</w:t>
      </w:r>
      <w:r w:rsidRPr="00ED20E8">
        <w:rPr>
          <w:rFonts w:ascii="黑体" w:eastAsia="黑体" w:hAnsi="黑体" w:hint="eastAsia"/>
          <w:b/>
          <w:sz w:val="24"/>
        </w:rPr>
        <w:t>其</w:t>
      </w:r>
      <w:r w:rsidRPr="00ED20E8">
        <w:rPr>
          <w:rFonts w:ascii="黑体" w:eastAsia="黑体" w:hAnsi="黑体"/>
          <w:b/>
          <w:sz w:val="24"/>
        </w:rPr>
        <w:t>获取的</w:t>
      </w:r>
      <w:r w:rsidRPr="00ED20E8">
        <w:rPr>
          <w:rFonts w:ascii="黑体" w:eastAsia="黑体" w:hAnsi="黑体" w:hint="eastAsia"/>
          <w:b/>
          <w:sz w:val="24"/>
        </w:rPr>
        <w:t>上述</w:t>
      </w:r>
      <w:r w:rsidRPr="00ED20E8">
        <w:rPr>
          <w:rFonts w:ascii="黑体" w:eastAsia="黑体" w:hAnsi="黑体"/>
          <w:b/>
          <w:sz w:val="24"/>
        </w:rPr>
        <w:t>甲方信息，</w:t>
      </w:r>
      <w:r w:rsidRPr="00ED20E8">
        <w:rPr>
          <w:rFonts w:ascii="黑体" w:eastAsia="黑体" w:hAnsi="黑体" w:hint="eastAsia"/>
          <w:b/>
          <w:sz w:val="24"/>
        </w:rPr>
        <w:t>授权使用时限与提供前述服务及履行相关法律法规和监管要求义务的必要时限一致。</w:t>
      </w:r>
      <w:r w:rsidRPr="00ED20E8">
        <w:rPr>
          <w:rFonts w:ascii="黑体" w:eastAsia="黑体" w:hAnsi="黑体"/>
          <w:b/>
          <w:sz w:val="24"/>
        </w:rPr>
        <w:t>接收信息的上述第三方将为处理本协议项下事务之目的接触并按照</w:t>
      </w:r>
      <w:r w:rsidRPr="00ED20E8">
        <w:rPr>
          <w:rFonts w:ascii="黑体" w:eastAsia="黑体" w:hAnsi="黑体" w:hint="eastAsia"/>
          <w:b/>
          <w:sz w:val="24"/>
        </w:rPr>
        <w:t>产品管理人或乙方</w:t>
      </w:r>
      <w:r w:rsidRPr="00ED20E8">
        <w:rPr>
          <w:rFonts w:ascii="黑体" w:eastAsia="黑体" w:hAnsi="黑体"/>
          <w:b/>
          <w:sz w:val="24"/>
        </w:rPr>
        <w:t>的业务需要</w:t>
      </w:r>
      <w:r w:rsidRPr="00ED20E8">
        <w:rPr>
          <w:rFonts w:ascii="黑体" w:eastAsia="黑体" w:hAnsi="黑体" w:hint="eastAsia"/>
          <w:b/>
          <w:sz w:val="24"/>
        </w:rPr>
        <w:t>处理</w:t>
      </w:r>
      <w:r w:rsidRPr="00ED20E8">
        <w:rPr>
          <w:rFonts w:ascii="黑体" w:eastAsia="黑体" w:hAnsi="黑体"/>
          <w:b/>
          <w:sz w:val="24"/>
        </w:rPr>
        <w:t>甲方信息</w:t>
      </w:r>
      <w:r w:rsidRPr="00ED20E8">
        <w:rPr>
          <w:rFonts w:ascii="黑体" w:eastAsia="黑体" w:hAnsi="黑体" w:hint="eastAsia"/>
          <w:b/>
          <w:sz w:val="24"/>
        </w:rPr>
        <w:t>，</w:t>
      </w:r>
      <w:r w:rsidRPr="00ED20E8">
        <w:rPr>
          <w:rFonts w:ascii="黑体" w:eastAsia="黑体" w:hAnsi="黑体" w:hint="eastAsia"/>
          <w:b/>
          <w:bCs/>
          <w:color w:val="000000" w:themeColor="text1"/>
          <w:sz w:val="24"/>
        </w:rPr>
        <w:t>处理方式包括但不限于存储、使用、加工、传输、提供等</w:t>
      </w:r>
      <w:r w:rsidRPr="00ED20E8">
        <w:rPr>
          <w:rFonts w:ascii="黑体" w:eastAsia="黑体" w:hAnsi="黑体"/>
          <w:b/>
          <w:sz w:val="24"/>
        </w:rPr>
        <w:t>。</w:t>
      </w:r>
      <w:r w:rsidRPr="00ED20E8">
        <w:rPr>
          <w:rFonts w:ascii="黑体" w:eastAsia="黑体" w:hAnsi="黑体" w:hint="eastAsia"/>
          <w:b/>
          <w:sz w:val="24"/>
        </w:rPr>
        <w:t>产品管理人及乙方</w:t>
      </w:r>
      <w:r w:rsidRPr="00ED20E8">
        <w:rPr>
          <w:rFonts w:ascii="黑体" w:eastAsia="黑体" w:hAnsi="黑体"/>
          <w:b/>
          <w:sz w:val="24"/>
        </w:rPr>
        <w:t>将向有关第三方明确其保护甲</w:t>
      </w:r>
      <w:r w:rsidRPr="00ED20E8">
        <w:rPr>
          <w:rFonts w:ascii="黑体" w:eastAsia="黑体" w:hAnsi="黑体" w:hint="eastAsia"/>
          <w:b/>
          <w:sz w:val="24"/>
        </w:rPr>
        <w:t>方信息的职责并要求第三方承担相应保密义务。</w:t>
      </w:r>
      <w:r w:rsidRPr="00ED20E8">
        <w:rPr>
          <w:rFonts w:ascii="黑体" w:eastAsia="黑体" w:hAnsi="黑体" w:hint="eastAsia"/>
          <w:b/>
          <w:bCs/>
          <w:color w:val="000000"/>
          <w:sz w:val="24"/>
        </w:rPr>
        <w:t>产品管理人及乙方将妥善保管投资者理财产品销售相关资料，保管年限不低于《中华人民共和国反洗钱法》、《理财公司理财产品销售管理暂行办法》等法律法规及监管规定的年限。 超出必要保管期限后，产品管理人、乙方及其他第三方合作机构（如有）将及时删除投资者的档案（包括以电子化形式以及纸质文本形式保管的投资者个人信息）。 如甲方对第三方机构处理甲方的个人信息活动有疑问或要求，甲方可以通过《理财产品说明书》、甲方与乙方的相关协议（如有）、第三方机构的官方网站（如有）、第三方机构的官方公众号（如有）等渠道获取相应的联系方式以行使甲方的个人信息权利，或者直接联系产品管理人或乙方。</w:t>
      </w:r>
    </w:p>
    <w:p w14:paraId="034B7153" w14:textId="77777777" w:rsidR="00B55224" w:rsidRPr="00ED20E8" w:rsidRDefault="002E1AE2">
      <w:pPr>
        <w:adjustRightInd w:val="0"/>
        <w:snapToGrid w:val="0"/>
        <w:spacing w:line="312" w:lineRule="auto"/>
        <w:ind w:firstLineChars="170" w:firstLine="410"/>
        <w:jc w:val="left"/>
        <w:rPr>
          <w:rFonts w:ascii="黑体" w:eastAsia="黑体" w:hAnsi="黑体" w:hint="eastAsia"/>
          <w:b/>
          <w:bCs/>
          <w:color w:val="000000"/>
          <w:sz w:val="24"/>
        </w:rPr>
      </w:pPr>
      <w:r w:rsidRPr="00ED20E8">
        <w:rPr>
          <w:rFonts w:ascii="黑体" w:eastAsia="黑体" w:hAnsi="黑体" w:hint="eastAsia"/>
          <w:b/>
          <w:bCs/>
          <w:color w:val="000000"/>
          <w:sz w:val="24"/>
        </w:rPr>
        <w:t>（五）乙方通过电子渠道向非机构投资者销售理财产品的，将积极采取有效措施和技术手段完整客观记录营销推介、产品风险和关键信息提示、投资者确认和反馈等重点销售环节，确保能够满足回溯检查和核查取证的需要。甲方同意乙方进行上述记录行为。</w:t>
      </w:r>
    </w:p>
    <w:p w14:paraId="004734FA" w14:textId="77777777" w:rsidR="00B55224" w:rsidRPr="00ED20E8" w:rsidRDefault="002E1AE2">
      <w:pPr>
        <w:adjustRightInd w:val="0"/>
        <w:snapToGrid w:val="0"/>
        <w:spacing w:line="312" w:lineRule="auto"/>
        <w:ind w:firstLineChars="200" w:firstLine="482"/>
        <w:rPr>
          <w:rFonts w:ascii="黑体" w:eastAsia="黑体" w:hAnsi="黑体" w:hint="eastAsia"/>
          <w:b/>
          <w:sz w:val="24"/>
        </w:rPr>
      </w:pPr>
      <w:r w:rsidRPr="00ED20E8">
        <w:rPr>
          <w:rFonts w:ascii="黑体" w:eastAsia="黑体" w:hAnsi="黑体" w:hint="eastAsia"/>
          <w:b/>
          <w:bCs/>
          <w:sz w:val="24"/>
        </w:rPr>
        <w:t>第十七条</w:t>
      </w:r>
      <w:r w:rsidRPr="00ED20E8">
        <w:rPr>
          <w:rFonts w:ascii="黑体" w:eastAsia="黑体" w:hAnsi="黑体" w:hint="eastAsia"/>
          <w:sz w:val="24"/>
        </w:rPr>
        <w:t xml:space="preserve"> </w:t>
      </w:r>
      <w:r w:rsidRPr="00ED20E8">
        <w:rPr>
          <w:rFonts w:ascii="黑体" w:eastAsia="黑体" w:hAnsi="黑体" w:hint="eastAsia"/>
          <w:b/>
          <w:sz w:val="24"/>
        </w:rPr>
        <w:t>争议处理</w:t>
      </w:r>
    </w:p>
    <w:p w14:paraId="46C81AA9" w14:textId="77777777" w:rsidR="00B55224" w:rsidRPr="00ED20E8" w:rsidRDefault="002E1AE2">
      <w:pPr>
        <w:spacing w:line="360" w:lineRule="auto"/>
        <w:ind w:firstLineChars="200" w:firstLine="482"/>
        <w:rPr>
          <w:rFonts w:ascii="黑体" w:eastAsia="黑体" w:hAnsi="黑体" w:hint="eastAsia"/>
          <w:b/>
          <w:sz w:val="24"/>
        </w:rPr>
      </w:pPr>
      <w:r w:rsidRPr="00ED20E8">
        <w:rPr>
          <w:rFonts w:ascii="黑体" w:eastAsia="黑体" w:hAnsi="黑体" w:hint="eastAsia"/>
          <w:b/>
          <w:sz w:val="24"/>
        </w:rPr>
        <w:t>本协议适用中华人民共和国法律。本协议履行过程中所发生的一切争议，双方应本着诚实信用的原则友好协商解决。若协商不成，双方均同意选择如下第</w:t>
      </w:r>
      <w:r w:rsidRPr="00ED20E8">
        <w:rPr>
          <w:rFonts w:ascii="黑体" w:eastAsia="黑体" w:hAnsi="黑体"/>
          <w:b/>
          <w:sz w:val="24"/>
          <w:u w:val="single"/>
        </w:rPr>
        <w:t xml:space="preserve"> 2 </w:t>
      </w:r>
      <w:r w:rsidRPr="00ED20E8">
        <w:rPr>
          <w:rFonts w:ascii="黑体" w:eastAsia="黑体" w:hAnsi="黑体"/>
          <w:b/>
          <w:sz w:val="24"/>
        </w:rPr>
        <w:t>种方式解决</w:t>
      </w:r>
      <w:r w:rsidRPr="00ED20E8">
        <w:rPr>
          <w:rFonts w:ascii="黑体" w:eastAsia="黑体" w:hAnsi="黑体" w:hint="eastAsia"/>
          <w:b/>
          <w:sz w:val="24"/>
        </w:rPr>
        <w:t>：</w:t>
      </w:r>
    </w:p>
    <w:p w14:paraId="05B3ACF2" w14:textId="77777777" w:rsidR="00B55224" w:rsidRPr="00ED20E8" w:rsidRDefault="002E1AE2">
      <w:pPr>
        <w:spacing w:line="360" w:lineRule="auto"/>
        <w:ind w:firstLineChars="200" w:firstLine="482"/>
        <w:rPr>
          <w:rFonts w:ascii="黑体" w:eastAsia="黑体" w:hAnsi="黑体" w:hint="eastAsia"/>
          <w:b/>
          <w:sz w:val="24"/>
        </w:rPr>
      </w:pPr>
      <w:r w:rsidRPr="00ED20E8">
        <w:rPr>
          <w:rFonts w:ascii="黑体" w:eastAsia="黑体" w:hAnsi="黑体"/>
          <w:b/>
          <w:sz w:val="24"/>
        </w:rPr>
        <w:t>1、</w:t>
      </w:r>
      <w:r w:rsidRPr="00ED20E8">
        <w:rPr>
          <w:rFonts w:ascii="黑体" w:eastAsia="黑体" w:hAnsi="黑体" w:hint="eastAsia"/>
          <w:b/>
          <w:sz w:val="24"/>
        </w:rPr>
        <w:t>提交【/】仲裁委员会仲裁。仲裁应按照该仲裁机构现行有效的仲裁规则进行。仲裁裁决是终局的，对双方均有约束力。</w:t>
      </w:r>
    </w:p>
    <w:p w14:paraId="58FE642E" w14:textId="77777777" w:rsidR="00B55224" w:rsidRPr="00ED20E8" w:rsidRDefault="002E1AE2">
      <w:pPr>
        <w:spacing w:line="360" w:lineRule="auto"/>
        <w:ind w:firstLineChars="200" w:firstLine="482"/>
        <w:rPr>
          <w:rFonts w:ascii="黑体" w:eastAsia="黑体" w:hAnsi="黑体" w:hint="eastAsia"/>
          <w:b/>
          <w:sz w:val="24"/>
        </w:rPr>
      </w:pPr>
      <w:r w:rsidRPr="00ED20E8">
        <w:rPr>
          <w:rFonts w:ascii="黑体" w:eastAsia="黑体" w:hAnsi="黑体"/>
          <w:b/>
          <w:sz w:val="24"/>
        </w:rPr>
        <w:t>2、</w:t>
      </w:r>
      <w:r w:rsidRPr="00ED20E8">
        <w:rPr>
          <w:rFonts w:ascii="黑体" w:eastAsia="黑体" w:hAnsi="黑体" w:hint="eastAsia"/>
          <w:b/>
          <w:sz w:val="24"/>
        </w:rPr>
        <w:t>任何一方均有权向被告方所在地或合同履行地有管辖权的人民法院提起诉讼。</w:t>
      </w:r>
    </w:p>
    <w:p w14:paraId="32560F41" w14:textId="77777777" w:rsidR="00B55224" w:rsidRPr="00ED20E8" w:rsidRDefault="002E1AE2">
      <w:pPr>
        <w:adjustRightInd w:val="0"/>
        <w:snapToGrid w:val="0"/>
        <w:spacing w:line="312" w:lineRule="auto"/>
        <w:ind w:firstLineChars="200" w:firstLine="482"/>
        <w:rPr>
          <w:rFonts w:ascii="黑体" w:eastAsia="黑体" w:hAnsi="黑体" w:hint="eastAsia"/>
          <w:b/>
          <w:sz w:val="24"/>
        </w:rPr>
      </w:pPr>
      <w:r w:rsidRPr="00ED20E8">
        <w:rPr>
          <w:rFonts w:ascii="黑体" w:eastAsia="黑体" w:hAnsi="黑体" w:hint="eastAsia"/>
          <w:b/>
          <w:sz w:val="24"/>
        </w:rPr>
        <w:t>在争议解决期间，若该争议不影响本协议其他条款及其他理财产品</w:t>
      </w:r>
      <w:r w:rsidRPr="00ED20E8">
        <w:rPr>
          <w:rFonts w:ascii="黑体" w:eastAsia="黑体" w:hAnsi="黑体"/>
          <w:b/>
          <w:sz w:val="24"/>
        </w:rPr>
        <w:t>销售文件</w:t>
      </w:r>
      <w:r w:rsidRPr="00ED20E8">
        <w:rPr>
          <w:rFonts w:ascii="黑体" w:eastAsia="黑体" w:hAnsi="黑体" w:hint="eastAsia"/>
          <w:b/>
          <w:sz w:val="24"/>
        </w:rPr>
        <w:t>各条款的履行，前述条款应继续履行。因处理争议产生的费用（包括但不限于律师费、诉讼费等），除法院判决</w:t>
      </w:r>
      <w:r w:rsidRPr="00ED20E8">
        <w:rPr>
          <w:rFonts w:ascii="黑体" w:eastAsia="黑体" w:hAnsi="黑体"/>
          <w:b/>
          <w:sz w:val="24"/>
        </w:rPr>
        <w:t>/裁定另有规定，</w:t>
      </w:r>
      <w:r w:rsidRPr="00ED20E8">
        <w:rPr>
          <w:rFonts w:ascii="黑体" w:eastAsia="黑体" w:hAnsi="黑体" w:hint="eastAsia"/>
          <w:b/>
          <w:sz w:val="24"/>
        </w:rPr>
        <w:t>由败诉方承担。</w:t>
      </w:r>
    </w:p>
    <w:p w14:paraId="2A940296" w14:textId="77777777" w:rsidR="00B55224" w:rsidRPr="00ED20E8" w:rsidRDefault="002E1AE2">
      <w:pPr>
        <w:adjustRightInd w:val="0"/>
        <w:snapToGrid w:val="0"/>
        <w:spacing w:line="312" w:lineRule="auto"/>
        <w:ind w:firstLineChars="200" w:firstLine="482"/>
        <w:rPr>
          <w:rFonts w:ascii="黑体" w:eastAsia="黑体" w:hAnsi="黑体" w:hint="eastAsia"/>
          <w:b/>
          <w:sz w:val="24"/>
        </w:rPr>
      </w:pPr>
      <w:r w:rsidRPr="00ED20E8">
        <w:rPr>
          <w:rFonts w:ascii="黑体" w:eastAsia="黑体" w:hAnsi="黑体" w:hint="eastAsia"/>
          <w:b/>
          <w:bCs/>
          <w:sz w:val="24"/>
        </w:rPr>
        <w:t>第十八条</w:t>
      </w:r>
      <w:r w:rsidRPr="00ED20E8">
        <w:rPr>
          <w:rFonts w:ascii="黑体" w:eastAsia="黑体" w:hAnsi="黑体" w:hint="eastAsia"/>
          <w:b/>
          <w:sz w:val="24"/>
        </w:rPr>
        <w:t xml:space="preserve"> 协议的生效</w:t>
      </w:r>
    </w:p>
    <w:p w14:paraId="0B340365" w14:textId="77777777" w:rsidR="00B55224" w:rsidRPr="00ED20E8" w:rsidRDefault="002E1AE2">
      <w:pPr>
        <w:adjustRightInd w:val="0"/>
        <w:snapToGrid w:val="0"/>
        <w:spacing w:line="312" w:lineRule="auto"/>
        <w:ind w:firstLineChars="200" w:firstLine="480"/>
        <w:rPr>
          <w:rFonts w:ascii="黑体" w:eastAsia="黑体" w:hAnsi="黑体" w:hint="eastAsia"/>
          <w:sz w:val="24"/>
        </w:rPr>
      </w:pPr>
      <w:r w:rsidRPr="00ED20E8">
        <w:rPr>
          <w:rFonts w:ascii="黑体" w:eastAsia="黑体" w:hAnsi="黑体" w:hint="eastAsia"/>
          <w:sz w:val="24"/>
        </w:rPr>
        <w:t>甲方通过乙方营业网点购买本理财产品，本协议于甲方签署（甲方为自然人的，应签字；甲方为机构的，应加盖公章（或经公章授权的其他有效印鉴），并由其法定代表人（负责人）或授权代理人签字/签章；甲方为资产管理产品的，应加盖甲方产品管理人公章（或经公章授权的其他有效印鉴），并由甲方产品管理人的法定代表人（负责人）或授权代理人签字/签章）且产品管理人</w:t>
      </w:r>
      <w:r w:rsidRPr="00ED20E8">
        <w:rPr>
          <w:rFonts w:ascii="黑体" w:eastAsia="黑体" w:hAnsi="黑体" w:hint="eastAsia"/>
          <w:sz w:val="24"/>
        </w:rPr>
        <w:lastRenderedPageBreak/>
        <w:t>确认甲方成功认（申）购并收到甲方缴付的全部投资款项之日起生效。</w:t>
      </w:r>
    </w:p>
    <w:p w14:paraId="6572F76E" w14:textId="77777777" w:rsidR="00B55224" w:rsidRPr="00ED20E8" w:rsidRDefault="002E1AE2">
      <w:pPr>
        <w:widowControl/>
        <w:spacing w:line="312" w:lineRule="auto"/>
        <w:ind w:firstLine="422"/>
        <w:jc w:val="left"/>
        <w:rPr>
          <w:rFonts w:ascii="黑体" w:eastAsia="黑体" w:hAnsi="黑体" w:hint="eastAsia"/>
          <w:sz w:val="24"/>
        </w:rPr>
      </w:pPr>
      <w:r w:rsidRPr="00ED20E8">
        <w:rPr>
          <w:rFonts w:ascii="黑体" w:eastAsia="黑体" w:hAnsi="黑体" w:hint="eastAsia"/>
          <w:sz w:val="24"/>
        </w:rPr>
        <w:t>甲方通过乙方网上银行、手机银行等线上渠道购买理财产品，本协议经甲方点击同意本协议且产品管理人确认甲方成功认（申）购并收到甲方缴付的全部投资款项之日起生效。双方认可线上点击同意具有与书面签署同等的法律效力。</w:t>
      </w:r>
    </w:p>
    <w:p w14:paraId="068B2A94" w14:textId="656FCFCD" w:rsidR="00B55224" w:rsidRPr="00ED20E8" w:rsidRDefault="002E1AE2">
      <w:pPr>
        <w:widowControl/>
        <w:spacing w:line="312" w:lineRule="auto"/>
        <w:ind w:firstLine="422"/>
        <w:jc w:val="left"/>
        <w:rPr>
          <w:rFonts w:ascii="黑体" w:eastAsia="黑体" w:hAnsi="黑体" w:cs="宋体" w:hint="eastAsia"/>
          <w:b/>
          <w:color w:val="666666"/>
          <w:kern w:val="0"/>
          <w:szCs w:val="21"/>
        </w:rPr>
      </w:pPr>
      <w:r w:rsidRPr="00ED20E8">
        <w:rPr>
          <w:rFonts w:ascii="黑体" w:eastAsia="黑体" w:hAnsi="黑体" w:hint="eastAsia"/>
          <w:b/>
          <w:sz w:val="24"/>
        </w:rPr>
        <w:t>如甲方对所购买的产品或服务有任何疑问、意见或建议，可通过拨打乙方</w:t>
      </w:r>
      <w:r w:rsidRPr="00ED20E8">
        <w:rPr>
          <w:rFonts w:ascii="黑体" w:eastAsia="黑体" w:hAnsi="黑体"/>
          <w:b/>
          <w:sz w:val="24"/>
        </w:rPr>
        <w:t>客户服务与投诉热线</w:t>
      </w:r>
      <w:r w:rsidRPr="00ED20E8">
        <w:rPr>
          <w:rFonts w:ascii="黑体" w:eastAsia="黑体" w:hAnsi="黑体" w:hint="eastAsia"/>
          <w:b/>
          <w:sz w:val="24"/>
        </w:rPr>
        <w:t>（</w:t>
      </w:r>
      <w:r w:rsidR="003B164D" w:rsidRPr="003B164D">
        <w:rPr>
          <w:rFonts w:ascii="黑体" w:eastAsia="黑体" w:hAnsi="黑体"/>
          <w:b/>
          <w:sz w:val="24"/>
        </w:rPr>
        <w:t>956023</w:t>
      </w:r>
      <w:r w:rsidRPr="00ED20E8">
        <w:rPr>
          <w:rFonts w:ascii="黑体" w:eastAsia="黑体" w:hAnsi="黑体" w:hint="eastAsia"/>
          <w:b/>
          <w:sz w:val="24"/>
        </w:rPr>
        <w:t>）</w:t>
      </w:r>
      <w:r w:rsidRPr="00ED20E8">
        <w:rPr>
          <w:rFonts w:ascii="黑体" w:eastAsia="黑体" w:hAnsi="黑体"/>
          <w:b/>
          <w:sz w:val="24"/>
        </w:rPr>
        <w:t>咨询与反映。</w:t>
      </w:r>
    </w:p>
    <w:p w14:paraId="23ED2DA9" w14:textId="77777777" w:rsidR="00B55224" w:rsidRPr="00ED20E8" w:rsidRDefault="002E1AE2">
      <w:pPr>
        <w:adjustRightInd w:val="0"/>
        <w:snapToGrid w:val="0"/>
        <w:spacing w:line="312" w:lineRule="auto"/>
        <w:ind w:firstLineChars="200" w:firstLine="482"/>
        <w:rPr>
          <w:rFonts w:ascii="黑体" w:eastAsia="黑体" w:hAnsi="黑体" w:hint="eastAsia"/>
          <w:b/>
          <w:sz w:val="24"/>
        </w:rPr>
      </w:pPr>
      <w:r w:rsidRPr="00ED20E8">
        <w:rPr>
          <w:rFonts w:ascii="黑体" w:eastAsia="黑体" w:hAnsi="黑体" w:hint="eastAsia"/>
          <w:b/>
          <w:sz w:val="24"/>
        </w:rPr>
        <w:t>通过</w:t>
      </w:r>
      <w:r w:rsidRPr="00ED20E8">
        <w:rPr>
          <w:rFonts w:ascii="黑体" w:eastAsia="黑体" w:hAnsi="黑体"/>
          <w:b/>
          <w:sz w:val="24"/>
        </w:rPr>
        <w:t>线上渠道认</w:t>
      </w:r>
      <w:r w:rsidRPr="00ED20E8">
        <w:rPr>
          <w:rFonts w:ascii="黑体" w:eastAsia="黑体" w:hAnsi="黑体" w:hint="eastAsia"/>
          <w:b/>
          <w:sz w:val="24"/>
        </w:rPr>
        <w:t>（申）</w:t>
      </w:r>
      <w:r w:rsidRPr="00ED20E8">
        <w:rPr>
          <w:rFonts w:ascii="黑体" w:eastAsia="黑体" w:hAnsi="黑体"/>
          <w:b/>
          <w:sz w:val="24"/>
        </w:rPr>
        <w:t>购时，</w:t>
      </w:r>
      <w:r w:rsidRPr="00ED20E8">
        <w:rPr>
          <w:rFonts w:ascii="黑体" w:eastAsia="黑体" w:hAnsi="黑体" w:hint="eastAsia"/>
          <w:b/>
          <w:sz w:val="24"/>
        </w:rPr>
        <w:t>甲方</w:t>
      </w:r>
      <w:r w:rsidRPr="00ED20E8">
        <w:rPr>
          <w:rFonts w:ascii="黑体" w:eastAsia="黑体" w:hAnsi="黑体"/>
          <w:b/>
          <w:sz w:val="24"/>
        </w:rPr>
        <w:t>使用的</w:t>
      </w:r>
      <w:r w:rsidRPr="00ED20E8">
        <w:rPr>
          <w:rFonts w:ascii="黑体" w:eastAsia="黑体" w:hAnsi="黑体" w:hint="eastAsia"/>
          <w:b/>
          <w:sz w:val="24"/>
        </w:rPr>
        <w:t>身份</w:t>
      </w:r>
      <w:r w:rsidRPr="00ED20E8">
        <w:rPr>
          <w:rFonts w:ascii="黑体" w:eastAsia="黑体" w:hAnsi="黑体"/>
          <w:b/>
          <w:sz w:val="24"/>
        </w:rPr>
        <w:t>认证要素（</w:t>
      </w:r>
      <w:r w:rsidRPr="00ED20E8">
        <w:rPr>
          <w:rFonts w:ascii="黑体" w:eastAsia="黑体" w:hAnsi="黑体" w:hint="eastAsia"/>
          <w:b/>
          <w:sz w:val="24"/>
        </w:rPr>
        <w:t>包括</w:t>
      </w:r>
      <w:r w:rsidRPr="00ED20E8">
        <w:rPr>
          <w:rFonts w:ascii="黑体" w:eastAsia="黑体" w:hAnsi="黑体"/>
          <w:b/>
          <w:sz w:val="24"/>
        </w:rPr>
        <w:t>但不限于账号、</w:t>
      </w:r>
      <w:r w:rsidRPr="00ED20E8">
        <w:rPr>
          <w:rFonts w:ascii="黑体" w:eastAsia="黑体" w:hAnsi="黑体" w:hint="eastAsia"/>
          <w:b/>
          <w:sz w:val="24"/>
        </w:rPr>
        <w:t>网银</w:t>
      </w:r>
      <w:r w:rsidRPr="00ED20E8">
        <w:rPr>
          <w:rFonts w:ascii="黑体" w:eastAsia="黑体" w:hAnsi="黑体"/>
          <w:b/>
          <w:sz w:val="24"/>
        </w:rPr>
        <w:t>登录名、证件号码、手机号码、密码、数字证书、</w:t>
      </w:r>
      <w:r w:rsidRPr="00ED20E8">
        <w:rPr>
          <w:rFonts w:ascii="黑体" w:eastAsia="黑体" w:hAnsi="黑体" w:hint="eastAsia"/>
          <w:b/>
          <w:sz w:val="24"/>
        </w:rPr>
        <w:t>USBK</w:t>
      </w:r>
      <w:r w:rsidRPr="00ED20E8">
        <w:rPr>
          <w:rFonts w:ascii="黑体" w:eastAsia="黑体" w:hAnsi="黑体"/>
          <w:b/>
          <w:sz w:val="24"/>
        </w:rPr>
        <w:t>ey、动态密码等）</w:t>
      </w:r>
      <w:r w:rsidRPr="00ED20E8">
        <w:rPr>
          <w:rFonts w:ascii="黑体" w:eastAsia="黑体" w:hAnsi="黑体" w:hint="eastAsia"/>
          <w:b/>
          <w:sz w:val="24"/>
        </w:rPr>
        <w:t>或</w:t>
      </w:r>
      <w:r w:rsidRPr="00ED20E8">
        <w:rPr>
          <w:rFonts w:ascii="黑体" w:eastAsia="黑体" w:hAnsi="黑体"/>
          <w:b/>
          <w:sz w:val="24"/>
        </w:rPr>
        <w:t>其他</w:t>
      </w:r>
      <w:r w:rsidRPr="00ED20E8">
        <w:rPr>
          <w:rFonts w:ascii="黑体" w:eastAsia="黑体" w:hAnsi="黑体" w:hint="eastAsia"/>
          <w:b/>
          <w:sz w:val="24"/>
        </w:rPr>
        <w:t>交易</w:t>
      </w:r>
      <w:r w:rsidRPr="00ED20E8">
        <w:rPr>
          <w:rFonts w:ascii="黑体" w:eastAsia="黑体" w:hAnsi="黑体"/>
          <w:b/>
          <w:sz w:val="24"/>
        </w:rPr>
        <w:t>安全措施所完成的一切交易操作均视为甲方所</w:t>
      </w:r>
      <w:r w:rsidRPr="00ED20E8">
        <w:rPr>
          <w:rFonts w:ascii="黑体" w:eastAsia="黑体" w:hAnsi="黑体" w:hint="eastAsia"/>
          <w:b/>
          <w:sz w:val="24"/>
        </w:rPr>
        <w:t>为</w:t>
      </w:r>
      <w:r w:rsidRPr="00ED20E8">
        <w:rPr>
          <w:rFonts w:ascii="黑体" w:eastAsia="黑体" w:hAnsi="黑体"/>
          <w:b/>
          <w:sz w:val="24"/>
        </w:rPr>
        <w:t>，上述操作所产生的业务指令均为处理业务的合法有效凭证，</w:t>
      </w:r>
      <w:r w:rsidRPr="00ED20E8">
        <w:rPr>
          <w:rFonts w:ascii="黑体" w:eastAsia="黑体" w:hAnsi="黑体" w:hint="eastAsia"/>
          <w:b/>
          <w:sz w:val="24"/>
        </w:rPr>
        <w:t>与</w:t>
      </w:r>
      <w:r w:rsidRPr="00ED20E8">
        <w:rPr>
          <w:rFonts w:ascii="黑体" w:eastAsia="黑体" w:hAnsi="黑体"/>
          <w:b/>
          <w:sz w:val="24"/>
        </w:rPr>
        <w:t>在纸质合同上手写签名或盖章具有同等法律效力，双方无需另行签署纸质合同，甲方应对此</w:t>
      </w:r>
      <w:r w:rsidRPr="00ED20E8">
        <w:rPr>
          <w:rFonts w:ascii="黑体" w:eastAsia="黑体" w:hAnsi="黑体" w:hint="eastAsia"/>
          <w:b/>
          <w:sz w:val="24"/>
        </w:rPr>
        <w:t>产生</w:t>
      </w:r>
      <w:r w:rsidRPr="00ED20E8">
        <w:rPr>
          <w:rFonts w:ascii="黑体" w:eastAsia="黑体" w:hAnsi="黑体"/>
          <w:b/>
          <w:sz w:val="24"/>
        </w:rPr>
        <w:t>的后果负责。</w:t>
      </w:r>
      <w:r w:rsidRPr="00ED20E8">
        <w:rPr>
          <w:rFonts w:ascii="黑体" w:eastAsia="黑体" w:hAnsi="黑体" w:hint="eastAsia"/>
          <w:b/>
          <w:sz w:val="24"/>
        </w:rPr>
        <w:t>甲方同意不因</w:t>
      </w:r>
      <w:r w:rsidRPr="00ED20E8">
        <w:rPr>
          <w:rFonts w:ascii="黑体" w:eastAsia="黑体" w:hAnsi="黑体"/>
          <w:b/>
          <w:sz w:val="24"/>
        </w:rPr>
        <w:t>电子合同单方保存在乙方系统而提出异议。</w:t>
      </w:r>
    </w:p>
    <w:p w14:paraId="0BEF8DF6" w14:textId="77777777" w:rsidR="00B55224" w:rsidRPr="00ED20E8" w:rsidRDefault="002E1AE2">
      <w:pPr>
        <w:adjustRightInd w:val="0"/>
        <w:snapToGrid w:val="0"/>
        <w:spacing w:line="312" w:lineRule="auto"/>
        <w:ind w:firstLineChars="200" w:firstLine="482"/>
        <w:rPr>
          <w:rFonts w:ascii="黑体" w:eastAsia="黑体" w:hAnsi="黑体" w:hint="eastAsia"/>
          <w:b/>
          <w:sz w:val="24"/>
        </w:rPr>
      </w:pPr>
      <w:r w:rsidRPr="00ED20E8">
        <w:rPr>
          <w:rFonts w:ascii="黑体" w:eastAsia="黑体" w:hAnsi="黑体" w:hint="eastAsia"/>
          <w:b/>
          <w:sz w:val="24"/>
        </w:rPr>
        <w:t>双方一致同意本协议履行地为</w:t>
      </w:r>
      <w:r w:rsidRPr="00ED20E8">
        <w:rPr>
          <w:rFonts w:ascii="黑体" w:eastAsia="黑体" w:hAnsi="黑体" w:hint="eastAsia"/>
          <w:b/>
          <w:sz w:val="24"/>
          <w:u w:val="single"/>
        </w:rPr>
        <w:t xml:space="preserve">             </w:t>
      </w:r>
      <w:r w:rsidRPr="00ED20E8">
        <w:rPr>
          <w:rFonts w:ascii="黑体" w:eastAsia="黑体" w:hAnsi="黑体" w:hint="eastAsia"/>
          <w:b/>
          <w:sz w:val="24"/>
        </w:rPr>
        <w:t>。</w:t>
      </w:r>
    </w:p>
    <w:p w14:paraId="5CFD6138" w14:textId="77777777" w:rsidR="00B55224" w:rsidRPr="00ED20E8" w:rsidRDefault="002E1AE2">
      <w:pPr>
        <w:adjustRightInd w:val="0"/>
        <w:snapToGrid w:val="0"/>
        <w:spacing w:line="312" w:lineRule="auto"/>
        <w:ind w:firstLineChars="200" w:firstLine="482"/>
        <w:rPr>
          <w:rFonts w:ascii="黑体" w:eastAsia="黑体" w:hAnsi="黑体" w:hint="eastAsia"/>
          <w:sz w:val="24"/>
        </w:rPr>
      </w:pPr>
      <w:r w:rsidRPr="00ED20E8">
        <w:rPr>
          <w:rFonts w:ascii="黑体" w:eastAsia="黑体" w:hAnsi="黑体" w:hint="eastAsia"/>
          <w:b/>
          <w:bCs/>
          <w:sz w:val="24"/>
        </w:rPr>
        <w:t xml:space="preserve">第十九条 </w:t>
      </w:r>
      <w:r w:rsidRPr="00ED20E8">
        <w:rPr>
          <w:rFonts w:ascii="黑体" w:eastAsia="黑体" w:hAnsi="黑体" w:hint="eastAsia"/>
          <w:b/>
          <w:sz w:val="24"/>
        </w:rPr>
        <w:t>本协议与本理财产品的《理财产品说明书》、《投资协议书》、《风险揭示书》、《投资者权益须知》等理财产品销售文件共同构成一份完整且不可分割的、关于甲方所投资本理财产品的全部协议。本协议与《理财产品说明书》不一致的，以《理财产品说明书》为准。如果因任何原因使本协议项下的任何条款或内容无效或被依法撤销，本协议其他条款或内容的合法性、有效性和可执行性不受影响。</w:t>
      </w:r>
    </w:p>
    <w:p w14:paraId="7F877D5A" w14:textId="77777777" w:rsidR="00B55224" w:rsidRPr="00ED20E8" w:rsidRDefault="00B55224">
      <w:pPr>
        <w:adjustRightInd w:val="0"/>
        <w:snapToGrid w:val="0"/>
        <w:spacing w:line="312" w:lineRule="auto"/>
        <w:rPr>
          <w:rFonts w:ascii="黑体" w:eastAsia="黑体" w:hAnsi="黑体" w:hint="eastAsia"/>
          <w:bCs/>
          <w:sz w:val="24"/>
        </w:rPr>
      </w:pPr>
    </w:p>
    <w:p w14:paraId="0BE0E800" w14:textId="77777777" w:rsidR="00B55224" w:rsidRPr="00ED20E8" w:rsidRDefault="002E1AE2">
      <w:pPr>
        <w:adjustRightInd w:val="0"/>
        <w:snapToGrid w:val="0"/>
        <w:spacing w:line="312" w:lineRule="auto"/>
        <w:ind w:firstLineChars="200" w:firstLine="482"/>
        <w:rPr>
          <w:rFonts w:ascii="黑体" w:eastAsia="黑体" w:hAnsi="黑体" w:hint="eastAsia"/>
          <w:sz w:val="24"/>
        </w:rPr>
      </w:pPr>
      <w:r w:rsidRPr="00ED20E8">
        <w:rPr>
          <w:rFonts w:ascii="黑体" w:eastAsia="黑体" w:hAnsi="黑体" w:hint="eastAsia"/>
          <w:b/>
          <w:sz w:val="24"/>
        </w:rPr>
        <w:t>声明：甲方承诺已经全面理解本协议与本理财产品的《理财产品说明书》、《风险揭示书》、《投资协议书》、《投资者权益须知》等理财产品销售文件的全部条款，充分认识到投资本产品需要承担的风险，并对认（申）购金额予以确认。甲方在此不可撤销地授权乙方按本协议与本理财产品的《理财产品说明书》约定进行划款，无需乙方在划款时另行以电话、传真或其它任何方式与甲方进行最后确认。甲方保证所提供的资料真实、有效，并自愿履行本协议的各项义务，自行承担投资风险，特此确认。</w:t>
      </w:r>
    </w:p>
    <w:p w14:paraId="4E30F6AE" w14:textId="77777777" w:rsidR="00B55224" w:rsidRPr="00ED20E8" w:rsidRDefault="00B55224">
      <w:pPr>
        <w:spacing w:line="312" w:lineRule="auto"/>
        <w:ind w:leftChars="30" w:left="63"/>
        <w:jc w:val="left"/>
        <w:rPr>
          <w:rFonts w:ascii="黑体" w:eastAsia="黑体" w:hAnsi="黑体" w:cs="宋体" w:hint="eastAsia"/>
          <w:b/>
          <w:bCs/>
          <w:kern w:val="0"/>
          <w:sz w:val="24"/>
        </w:rPr>
      </w:pPr>
    </w:p>
    <w:p w14:paraId="34309E7E" w14:textId="77777777" w:rsidR="00B55224" w:rsidRPr="00ED20E8" w:rsidRDefault="002E1AE2">
      <w:pPr>
        <w:spacing w:line="312" w:lineRule="auto"/>
        <w:ind w:leftChars="30" w:left="63"/>
        <w:jc w:val="left"/>
        <w:rPr>
          <w:rFonts w:ascii="黑体" w:eastAsia="黑体" w:hAnsi="黑体" w:cs="宋体" w:hint="eastAsia"/>
          <w:b/>
          <w:bCs/>
          <w:kern w:val="0"/>
          <w:sz w:val="24"/>
        </w:rPr>
      </w:pPr>
      <w:r w:rsidRPr="00ED20E8">
        <w:rPr>
          <w:rFonts w:ascii="黑体" w:eastAsia="黑体" w:hAnsi="黑体" w:cs="宋体" w:hint="eastAsia"/>
          <w:b/>
          <w:bCs/>
          <w:kern w:val="0"/>
          <w:sz w:val="24"/>
        </w:rPr>
        <w:t>（自然人签署适用）</w:t>
      </w:r>
    </w:p>
    <w:p w14:paraId="47745145" w14:textId="77777777" w:rsidR="00B55224" w:rsidRPr="00ED20E8" w:rsidRDefault="002E1AE2">
      <w:pPr>
        <w:spacing w:line="312" w:lineRule="auto"/>
        <w:ind w:leftChars="30" w:left="63"/>
        <w:jc w:val="left"/>
        <w:rPr>
          <w:rFonts w:ascii="黑体" w:eastAsia="黑体" w:hAnsi="黑体" w:cs="宋体" w:hint="eastAsia"/>
          <w:b/>
          <w:bCs/>
          <w:kern w:val="0"/>
          <w:sz w:val="24"/>
        </w:rPr>
      </w:pPr>
      <w:r w:rsidRPr="00ED20E8">
        <w:rPr>
          <w:rFonts w:ascii="黑体" w:eastAsia="黑体" w:hAnsi="黑体" w:cs="宋体" w:hint="eastAsia"/>
          <w:b/>
          <w:bCs/>
          <w:kern w:val="0"/>
          <w:sz w:val="24"/>
        </w:rPr>
        <w:t>甲方签字   ____________</w:t>
      </w:r>
    </w:p>
    <w:p w14:paraId="545E98A9" w14:textId="77777777" w:rsidR="00B55224" w:rsidRPr="00ED20E8" w:rsidRDefault="00B55224">
      <w:pPr>
        <w:spacing w:line="312" w:lineRule="auto"/>
        <w:ind w:leftChars="30" w:left="63"/>
        <w:jc w:val="left"/>
        <w:rPr>
          <w:rFonts w:ascii="黑体" w:eastAsia="黑体" w:hAnsi="黑体" w:cs="宋体" w:hint="eastAsia"/>
          <w:b/>
          <w:bCs/>
          <w:kern w:val="0"/>
          <w:sz w:val="24"/>
        </w:rPr>
      </w:pPr>
    </w:p>
    <w:p w14:paraId="4C136801" w14:textId="77777777" w:rsidR="00B55224" w:rsidRPr="00ED20E8" w:rsidRDefault="002E1AE2">
      <w:pPr>
        <w:spacing w:line="312" w:lineRule="auto"/>
        <w:ind w:leftChars="30" w:left="63"/>
        <w:jc w:val="left"/>
        <w:rPr>
          <w:rFonts w:ascii="黑体" w:eastAsia="黑体" w:hAnsi="黑体" w:cs="宋体" w:hint="eastAsia"/>
          <w:b/>
          <w:bCs/>
          <w:kern w:val="0"/>
          <w:sz w:val="24"/>
        </w:rPr>
      </w:pPr>
      <w:r w:rsidRPr="00ED20E8">
        <w:rPr>
          <w:rFonts w:ascii="黑体" w:eastAsia="黑体" w:hAnsi="黑体" w:cs="宋体" w:hint="eastAsia"/>
          <w:b/>
          <w:bCs/>
          <w:kern w:val="0"/>
          <w:sz w:val="24"/>
        </w:rPr>
        <w:t>（</w:t>
      </w:r>
      <w:r w:rsidRPr="00ED20E8">
        <w:rPr>
          <w:rFonts w:ascii="黑体" w:eastAsia="黑体" w:hAnsi="黑体" w:cs="宋体"/>
          <w:b/>
          <w:bCs/>
          <w:kern w:val="0"/>
          <w:sz w:val="24"/>
        </w:rPr>
        <w:t>机构投资者</w:t>
      </w:r>
      <w:r w:rsidRPr="00ED20E8">
        <w:rPr>
          <w:rFonts w:ascii="黑体" w:eastAsia="黑体" w:hAnsi="黑体" w:cs="宋体" w:hint="eastAsia"/>
          <w:b/>
          <w:bCs/>
          <w:kern w:val="0"/>
          <w:sz w:val="24"/>
        </w:rPr>
        <w:t>签署适用</w:t>
      </w:r>
      <w:r w:rsidRPr="00ED20E8">
        <w:rPr>
          <w:rFonts w:ascii="黑体" w:eastAsia="黑体" w:hAnsi="黑体" w:cs="宋体"/>
          <w:b/>
          <w:bCs/>
          <w:kern w:val="0"/>
          <w:sz w:val="24"/>
        </w:rPr>
        <w:t>）</w:t>
      </w:r>
    </w:p>
    <w:p w14:paraId="0DB695E5" w14:textId="77777777" w:rsidR="00B55224" w:rsidRPr="00ED20E8" w:rsidRDefault="002E1AE2">
      <w:pPr>
        <w:spacing w:line="360" w:lineRule="auto"/>
        <w:ind w:leftChars="30" w:left="63"/>
        <w:jc w:val="left"/>
        <w:rPr>
          <w:rFonts w:ascii="黑体" w:eastAsia="黑体" w:hAnsi="黑体" w:cs="宋体" w:hint="eastAsia"/>
          <w:b/>
          <w:bCs/>
          <w:kern w:val="0"/>
          <w:sz w:val="24"/>
        </w:rPr>
      </w:pPr>
      <w:r w:rsidRPr="00ED20E8">
        <w:rPr>
          <w:rFonts w:ascii="黑体" w:eastAsia="黑体" w:hAnsi="黑体" w:cs="宋体" w:hint="eastAsia"/>
          <w:b/>
          <w:bCs/>
          <w:kern w:val="0"/>
          <w:sz w:val="24"/>
        </w:rPr>
        <w:t>公章（或经公章授权的其他有效印鉴）：</w:t>
      </w:r>
    </w:p>
    <w:p w14:paraId="18FB08AA" w14:textId="77777777" w:rsidR="00B55224" w:rsidRPr="00ED20E8" w:rsidRDefault="002E1AE2">
      <w:pPr>
        <w:spacing w:line="360" w:lineRule="auto"/>
        <w:ind w:leftChars="30" w:left="63"/>
        <w:jc w:val="left"/>
        <w:rPr>
          <w:rFonts w:ascii="黑体" w:eastAsia="黑体" w:hAnsi="黑体" w:cs="宋体" w:hint="eastAsia"/>
          <w:b/>
          <w:bCs/>
          <w:kern w:val="0"/>
          <w:sz w:val="24"/>
        </w:rPr>
      </w:pPr>
      <w:r w:rsidRPr="00ED20E8">
        <w:rPr>
          <w:rFonts w:ascii="黑体" w:eastAsia="黑体" w:hAnsi="黑体" w:cs="宋体" w:hint="eastAsia"/>
          <w:b/>
          <w:bCs/>
          <w:kern w:val="0"/>
          <w:sz w:val="24"/>
        </w:rPr>
        <w:t>法定代表人（负责人）或授权代理人签字/签章：</w:t>
      </w:r>
    </w:p>
    <w:p w14:paraId="1F89DBB0" w14:textId="77777777" w:rsidR="00B55224" w:rsidRPr="00ED20E8" w:rsidRDefault="00B55224">
      <w:pPr>
        <w:spacing w:line="312" w:lineRule="auto"/>
        <w:ind w:leftChars="30" w:left="63"/>
        <w:jc w:val="left"/>
        <w:rPr>
          <w:rFonts w:ascii="黑体" w:eastAsia="黑体" w:hAnsi="黑体" w:cs="宋体" w:hint="eastAsia"/>
          <w:b/>
          <w:bCs/>
          <w:kern w:val="0"/>
          <w:sz w:val="24"/>
        </w:rPr>
      </w:pPr>
    </w:p>
    <w:p w14:paraId="06BDA2F1" w14:textId="77777777" w:rsidR="00B55224" w:rsidRPr="00ED20E8" w:rsidRDefault="002E1AE2">
      <w:pPr>
        <w:spacing w:line="312" w:lineRule="auto"/>
        <w:ind w:leftChars="30" w:left="63"/>
        <w:jc w:val="left"/>
        <w:rPr>
          <w:rFonts w:ascii="黑体" w:eastAsia="黑体" w:hAnsi="黑体" w:hint="eastAsia"/>
          <w:sz w:val="24"/>
        </w:rPr>
      </w:pPr>
      <w:r w:rsidRPr="00ED20E8">
        <w:rPr>
          <w:rFonts w:ascii="黑体" w:eastAsia="黑体" w:hAnsi="黑体" w:cs="宋体" w:hint="eastAsia"/>
          <w:b/>
          <w:bCs/>
          <w:kern w:val="0"/>
          <w:sz w:val="24"/>
        </w:rPr>
        <w:t>日期         ____________</w:t>
      </w:r>
    </w:p>
    <w:sectPr w:rsidR="00B55224" w:rsidRPr="00ED20E8">
      <w:footerReference w:type="even" r:id="rId8"/>
      <w:footerReference w:type="default" r:id="rId9"/>
      <w:pgSz w:w="11906" w:h="16838"/>
      <w:pgMar w:top="1418" w:right="926" w:bottom="680" w:left="900" w:header="851" w:footer="1191"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51DCE" w14:textId="77777777" w:rsidR="003311F8" w:rsidRDefault="003311F8">
      <w:r>
        <w:separator/>
      </w:r>
    </w:p>
  </w:endnote>
  <w:endnote w:type="continuationSeparator" w:id="0">
    <w:p w14:paraId="3368DF54" w14:textId="77777777" w:rsidR="003311F8" w:rsidRDefault="00331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77426" w14:textId="77777777" w:rsidR="00B55224" w:rsidRDefault="002E1AE2">
    <w:pPr>
      <w:pStyle w:val="a7"/>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14:paraId="605F895B" w14:textId="77777777" w:rsidR="00B55224" w:rsidRDefault="00B55224">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FE84C" w14:textId="60FDC3E7" w:rsidR="00B55224" w:rsidRDefault="002E1AE2">
    <w:pPr>
      <w:pStyle w:val="a7"/>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472485">
      <w:rPr>
        <w:rStyle w:val="ad"/>
        <w:noProof/>
      </w:rPr>
      <w:t>1</w:t>
    </w:r>
    <w:r>
      <w:rPr>
        <w:rStyle w:val="ad"/>
      </w:rPr>
      <w:fldChar w:fldCharType="end"/>
    </w:r>
  </w:p>
  <w:p w14:paraId="64EF7A35" w14:textId="77777777" w:rsidR="00B55224" w:rsidRDefault="00B5522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BBDCF" w14:textId="77777777" w:rsidR="003311F8" w:rsidRDefault="003311F8">
      <w:r>
        <w:separator/>
      </w:r>
    </w:p>
  </w:footnote>
  <w:footnote w:type="continuationSeparator" w:id="0">
    <w:p w14:paraId="4A42DA5B" w14:textId="77777777" w:rsidR="003311F8" w:rsidRDefault="003311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C2256"/>
    <w:multiLevelType w:val="multilevel"/>
    <w:tmpl w:val="051C2256"/>
    <w:lvl w:ilvl="0">
      <w:start w:val="1"/>
      <w:numFmt w:val="japaneseCounting"/>
      <w:lvlText w:val="（%1）"/>
      <w:lvlJc w:val="left"/>
      <w:pPr>
        <w:ind w:left="1200" w:hanging="7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16cid:durableId="2086998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33F"/>
    <w:rsid w:val="00002C54"/>
    <w:rsid w:val="00004ECD"/>
    <w:rsid w:val="00011BD5"/>
    <w:rsid w:val="0002002F"/>
    <w:rsid w:val="0002176C"/>
    <w:rsid w:val="00022E96"/>
    <w:rsid w:val="0002430A"/>
    <w:rsid w:val="00027181"/>
    <w:rsid w:val="0003017B"/>
    <w:rsid w:val="00030466"/>
    <w:rsid w:val="00030902"/>
    <w:rsid w:val="0003236C"/>
    <w:rsid w:val="0003433A"/>
    <w:rsid w:val="00035F6A"/>
    <w:rsid w:val="0003761A"/>
    <w:rsid w:val="00037AB1"/>
    <w:rsid w:val="00040373"/>
    <w:rsid w:val="00043392"/>
    <w:rsid w:val="00045B7F"/>
    <w:rsid w:val="00051F18"/>
    <w:rsid w:val="00052E70"/>
    <w:rsid w:val="00061D03"/>
    <w:rsid w:val="00067DB1"/>
    <w:rsid w:val="00076A6B"/>
    <w:rsid w:val="00077AB2"/>
    <w:rsid w:val="000806C1"/>
    <w:rsid w:val="00084BE7"/>
    <w:rsid w:val="000903F4"/>
    <w:rsid w:val="000A021A"/>
    <w:rsid w:val="000A03F4"/>
    <w:rsid w:val="000A096E"/>
    <w:rsid w:val="000B3560"/>
    <w:rsid w:val="000B543C"/>
    <w:rsid w:val="000C301B"/>
    <w:rsid w:val="000D1568"/>
    <w:rsid w:val="000D54CE"/>
    <w:rsid w:val="000D6DEE"/>
    <w:rsid w:val="000E1784"/>
    <w:rsid w:val="000E20F8"/>
    <w:rsid w:val="000E550A"/>
    <w:rsid w:val="0010181A"/>
    <w:rsid w:val="00103DB2"/>
    <w:rsid w:val="00103E77"/>
    <w:rsid w:val="00104631"/>
    <w:rsid w:val="0010704B"/>
    <w:rsid w:val="001074DC"/>
    <w:rsid w:val="00107F24"/>
    <w:rsid w:val="00110539"/>
    <w:rsid w:val="00111A70"/>
    <w:rsid w:val="00116868"/>
    <w:rsid w:val="001229D5"/>
    <w:rsid w:val="001352EE"/>
    <w:rsid w:val="00140D66"/>
    <w:rsid w:val="00153594"/>
    <w:rsid w:val="00161B09"/>
    <w:rsid w:val="00163656"/>
    <w:rsid w:val="001674C8"/>
    <w:rsid w:val="00167A94"/>
    <w:rsid w:val="001703F1"/>
    <w:rsid w:val="00174ED6"/>
    <w:rsid w:val="00176677"/>
    <w:rsid w:val="00177F1E"/>
    <w:rsid w:val="00180444"/>
    <w:rsid w:val="00180F0A"/>
    <w:rsid w:val="00183405"/>
    <w:rsid w:val="00186568"/>
    <w:rsid w:val="001867B6"/>
    <w:rsid w:val="00192B36"/>
    <w:rsid w:val="0019668C"/>
    <w:rsid w:val="001A1E9A"/>
    <w:rsid w:val="001A56A5"/>
    <w:rsid w:val="001B0088"/>
    <w:rsid w:val="001B4DD0"/>
    <w:rsid w:val="001C194B"/>
    <w:rsid w:val="001E1D52"/>
    <w:rsid w:val="001F1FEF"/>
    <w:rsid w:val="001F2468"/>
    <w:rsid w:val="001F2E76"/>
    <w:rsid w:val="00203896"/>
    <w:rsid w:val="002137DE"/>
    <w:rsid w:val="00215958"/>
    <w:rsid w:val="002204AA"/>
    <w:rsid w:val="002220FA"/>
    <w:rsid w:val="00222B38"/>
    <w:rsid w:val="00223B60"/>
    <w:rsid w:val="0023264E"/>
    <w:rsid w:val="00236043"/>
    <w:rsid w:val="00236858"/>
    <w:rsid w:val="002418B0"/>
    <w:rsid w:val="00241D1D"/>
    <w:rsid w:val="00253668"/>
    <w:rsid w:val="002537A5"/>
    <w:rsid w:val="002543C3"/>
    <w:rsid w:val="00256FBF"/>
    <w:rsid w:val="002577CE"/>
    <w:rsid w:val="00260B26"/>
    <w:rsid w:val="0026434A"/>
    <w:rsid w:val="00266172"/>
    <w:rsid w:val="00270C19"/>
    <w:rsid w:val="00270D5C"/>
    <w:rsid w:val="0027110D"/>
    <w:rsid w:val="00276AA7"/>
    <w:rsid w:val="00285723"/>
    <w:rsid w:val="00285D2C"/>
    <w:rsid w:val="00292E47"/>
    <w:rsid w:val="00293C3B"/>
    <w:rsid w:val="002A028B"/>
    <w:rsid w:val="002A254F"/>
    <w:rsid w:val="002A4A91"/>
    <w:rsid w:val="002B38B0"/>
    <w:rsid w:val="002C10A1"/>
    <w:rsid w:val="002C1584"/>
    <w:rsid w:val="002D4956"/>
    <w:rsid w:val="002D60D7"/>
    <w:rsid w:val="002D7013"/>
    <w:rsid w:val="002E1AE2"/>
    <w:rsid w:val="002E366B"/>
    <w:rsid w:val="002F0A94"/>
    <w:rsid w:val="002F2089"/>
    <w:rsid w:val="002F2575"/>
    <w:rsid w:val="002F64B1"/>
    <w:rsid w:val="00312FE1"/>
    <w:rsid w:val="0031429E"/>
    <w:rsid w:val="003160C2"/>
    <w:rsid w:val="003169F2"/>
    <w:rsid w:val="003208E5"/>
    <w:rsid w:val="00324703"/>
    <w:rsid w:val="003247E5"/>
    <w:rsid w:val="00326162"/>
    <w:rsid w:val="00326FAE"/>
    <w:rsid w:val="003311F8"/>
    <w:rsid w:val="003337F1"/>
    <w:rsid w:val="00335139"/>
    <w:rsid w:val="0034659B"/>
    <w:rsid w:val="003507E2"/>
    <w:rsid w:val="003671BF"/>
    <w:rsid w:val="003735EF"/>
    <w:rsid w:val="00374801"/>
    <w:rsid w:val="0037726B"/>
    <w:rsid w:val="00394B72"/>
    <w:rsid w:val="00394D4B"/>
    <w:rsid w:val="003A7639"/>
    <w:rsid w:val="003B06E1"/>
    <w:rsid w:val="003B1140"/>
    <w:rsid w:val="003B164D"/>
    <w:rsid w:val="003B6495"/>
    <w:rsid w:val="003B6F7D"/>
    <w:rsid w:val="003C2681"/>
    <w:rsid w:val="003C4E6C"/>
    <w:rsid w:val="003C5691"/>
    <w:rsid w:val="003C7044"/>
    <w:rsid w:val="003D1D97"/>
    <w:rsid w:val="003D3355"/>
    <w:rsid w:val="003D772A"/>
    <w:rsid w:val="003E2683"/>
    <w:rsid w:val="003E60D8"/>
    <w:rsid w:val="003F23F7"/>
    <w:rsid w:val="003F3E89"/>
    <w:rsid w:val="00401C1D"/>
    <w:rsid w:val="0040283A"/>
    <w:rsid w:val="004114D3"/>
    <w:rsid w:val="00411904"/>
    <w:rsid w:val="00411BF1"/>
    <w:rsid w:val="00415F89"/>
    <w:rsid w:val="00417C68"/>
    <w:rsid w:val="004202EF"/>
    <w:rsid w:val="00423FCF"/>
    <w:rsid w:val="004247CF"/>
    <w:rsid w:val="00424850"/>
    <w:rsid w:val="00442B29"/>
    <w:rsid w:val="00443232"/>
    <w:rsid w:val="004606F7"/>
    <w:rsid w:val="00466657"/>
    <w:rsid w:val="00472485"/>
    <w:rsid w:val="00476A95"/>
    <w:rsid w:val="00476D05"/>
    <w:rsid w:val="00481EDF"/>
    <w:rsid w:val="00482EF3"/>
    <w:rsid w:val="004868DE"/>
    <w:rsid w:val="004914D2"/>
    <w:rsid w:val="00491D8A"/>
    <w:rsid w:val="004A2F75"/>
    <w:rsid w:val="004A7758"/>
    <w:rsid w:val="004B2B48"/>
    <w:rsid w:val="004B6254"/>
    <w:rsid w:val="004B6319"/>
    <w:rsid w:val="004C1C5B"/>
    <w:rsid w:val="004C25C2"/>
    <w:rsid w:val="004C632A"/>
    <w:rsid w:val="004C67C9"/>
    <w:rsid w:val="004C70DE"/>
    <w:rsid w:val="004D5833"/>
    <w:rsid w:val="004E19D5"/>
    <w:rsid w:val="004E3337"/>
    <w:rsid w:val="004E33DC"/>
    <w:rsid w:val="004E5F53"/>
    <w:rsid w:val="004F014B"/>
    <w:rsid w:val="004F2177"/>
    <w:rsid w:val="004F366F"/>
    <w:rsid w:val="004F3A7A"/>
    <w:rsid w:val="004F6C24"/>
    <w:rsid w:val="00500C9A"/>
    <w:rsid w:val="00501C64"/>
    <w:rsid w:val="005024FA"/>
    <w:rsid w:val="00510D64"/>
    <w:rsid w:val="00513A80"/>
    <w:rsid w:val="0051650E"/>
    <w:rsid w:val="00522B3C"/>
    <w:rsid w:val="00523191"/>
    <w:rsid w:val="0052430D"/>
    <w:rsid w:val="005247A8"/>
    <w:rsid w:val="00526DBA"/>
    <w:rsid w:val="00535A94"/>
    <w:rsid w:val="0053779D"/>
    <w:rsid w:val="00540852"/>
    <w:rsid w:val="0054448C"/>
    <w:rsid w:val="0054502D"/>
    <w:rsid w:val="0054559D"/>
    <w:rsid w:val="00555C2B"/>
    <w:rsid w:val="005620EE"/>
    <w:rsid w:val="00570870"/>
    <w:rsid w:val="00593484"/>
    <w:rsid w:val="00597043"/>
    <w:rsid w:val="00597263"/>
    <w:rsid w:val="005A2087"/>
    <w:rsid w:val="005A561E"/>
    <w:rsid w:val="005B0640"/>
    <w:rsid w:val="005B1A93"/>
    <w:rsid w:val="005C00F5"/>
    <w:rsid w:val="005C3056"/>
    <w:rsid w:val="005D3E50"/>
    <w:rsid w:val="005D4362"/>
    <w:rsid w:val="005D4E67"/>
    <w:rsid w:val="005D60AE"/>
    <w:rsid w:val="005E0DB6"/>
    <w:rsid w:val="005E33B9"/>
    <w:rsid w:val="005E34BC"/>
    <w:rsid w:val="005E4865"/>
    <w:rsid w:val="005E64C1"/>
    <w:rsid w:val="005E688D"/>
    <w:rsid w:val="005F2AA4"/>
    <w:rsid w:val="005F4627"/>
    <w:rsid w:val="005F6BE0"/>
    <w:rsid w:val="005F6CB3"/>
    <w:rsid w:val="00600B60"/>
    <w:rsid w:val="00600B6F"/>
    <w:rsid w:val="00605D40"/>
    <w:rsid w:val="006163DB"/>
    <w:rsid w:val="006164E4"/>
    <w:rsid w:val="00623CC7"/>
    <w:rsid w:val="00623D0A"/>
    <w:rsid w:val="00624052"/>
    <w:rsid w:val="00624F21"/>
    <w:rsid w:val="00624F7D"/>
    <w:rsid w:val="0062575F"/>
    <w:rsid w:val="006324F2"/>
    <w:rsid w:val="00633D53"/>
    <w:rsid w:val="00635007"/>
    <w:rsid w:val="00635F55"/>
    <w:rsid w:val="00636193"/>
    <w:rsid w:val="00640731"/>
    <w:rsid w:val="00642CDC"/>
    <w:rsid w:val="00646D16"/>
    <w:rsid w:val="00653F81"/>
    <w:rsid w:val="0065407F"/>
    <w:rsid w:val="00660DEF"/>
    <w:rsid w:val="00661AB5"/>
    <w:rsid w:val="006640DC"/>
    <w:rsid w:val="00667644"/>
    <w:rsid w:val="006712A8"/>
    <w:rsid w:val="00673F72"/>
    <w:rsid w:val="006778C6"/>
    <w:rsid w:val="00691534"/>
    <w:rsid w:val="00696F4F"/>
    <w:rsid w:val="006A1D79"/>
    <w:rsid w:val="006A6434"/>
    <w:rsid w:val="006B0E31"/>
    <w:rsid w:val="006B26A5"/>
    <w:rsid w:val="006B3A93"/>
    <w:rsid w:val="006B4314"/>
    <w:rsid w:val="006D04B7"/>
    <w:rsid w:val="006D4334"/>
    <w:rsid w:val="006D5A27"/>
    <w:rsid w:val="006D61CF"/>
    <w:rsid w:val="006D79B5"/>
    <w:rsid w:val="006E0A8B"/>
    <w:rsid w:val="006E2E41"/>
    <w:rsid w:val="006E4C71"/>
    <w:rsid w:val="006F0390"/>
    <w:rsid w:val="006F644C"/>
    <w:rsid w:val="006F6AB2"/>
    <w:rsid w:val="006F6E39"/>
    <w:rsid w:val="006F7B36"/>
    <w:rsid w:val="00703045"/>
    <w:rsid w:val="007053F9"/>
    <w:rsid w:val="00707804"/>
    <w:rsid w:val="00711224"/>
    <w:rsid w:val="00712805"/>
    <w:rsid w:val="00713BF7"/>
    <w:rsid w:val="00717E52"/>
    <w:rsid w:val="00724B23"/>
    <w:rsid w:val="00733099"/>
    <w:rsid w:val="00735709"/>
    <w:rsid w:val="00736208"/>
    <w:rsid w:val="0074161F"/>
    <w:rsid w:val="00747D46"/>
    <w:rsid w:val="00747E2F"/>
    <w:rsid w:val="00751D75"/>
    <w:rsid w:val="00752B4A"/>
    <w:rsid w:val="00766925"/>
    <w:rsid w:val="00767966"/>
    <w:rsid w:val="00770FE2"/>
    <w:rsid w:val="00771D2D"/>
    <w:rsid w:val="00772ED0"/>
    <w:rsid w:val="00772F7B"/>
    <w:rsid w:val="00774175"/>
    <w:rsid w:val="00774889"/>
    <w:rsid w:val="007959EC"/>
    <w:rsid w:val="00795D53"/>
    <w:rsid w:val="007A2029"/>
    <w:rsid w:val="007A2235"/>
    <w:rsid w:val="007B27B0"/>
    <w:rsid w:val="007B2C9D"/>
    <w:rsid w:val="007C1778"/>
    <w:rsid w:val="007C18CA"/>
    <w:rsid w:val="007C199A"/>
    <w:rsid w:val="007C6A3A"/>
    <w:rsid w:val="007C7515"/>
    <w:rsid w:val="007D0863"/>
    <w:rsid w:val="007D1F7E"/>
    <w:rsid w:val="007D6855"/>
    <w:rsid w:val="007E2F33"/>
    <w:rsid w:val="007E4161"/>
    <w:rsid w:val="007E420D"/>
    <w:rsid w:val="007E75EC"/>
    <w:rsid w:val="00802A20"/>
    <w:rsid w:val="00811829"/>
    <w:rsid w:val="00816C97"/>
    <w:rsid w:val="00820B33"/>
    <w:rsid w:val="00820C6A"/>
    <w:rsid w:val="008231E4"/>
    <w:rsid w:val="00824E77"/>
    <w:rsid w:val="00824F2E"/>
    <w:rsid w:val="00827D2C"/>
    <w:rsid w:val="00831C32"/>
    <w:rsid w:val="00832FCB"/>
    <w:rsid w:val="00836BCA"/>
    <w:rsid w:val="008409D8"/>
    <w:rsid w:val="008433FC"/>
    <w:rsid w:val="00843C64"/>
    <w:rsid w:val="00844C45"/>
    <w:rsid w:val="008458BF"/>
    <w:rsid w:val="00845D13"/>
    <w:rsid w:val="00852EDB"/>
    <w:rsid w:val="00856BC7"/>
    <w:rsid w:val="0086010E"/>
    <w:rsid w:val="008754D0"/>
    <w:rsid w:val="00883548"/>
    <w:rsid w:val="008A1A64"/>
    <w:rsid w:val="008A573D"/>
    <w:rsid w:val="008B16C8"/>
    <w:rsid w:val="008B21C7"/>
    <w:rsid w:val="008B4B02"/>
    <w:rsid w:val="008B5AD7"/>
    <w:rsid w:val="008B60B7"/>
    <w:rsid w:val="008C0251"/>
    <w:rsid w:val="008C4C5F"/>
    <w:rsid w:val="008C5332"/>
    <w:rsid w:val="008C63EA"/>
    <w:rsid w:val="008D24EC"/>
    <w:rsid w:val="008D26ED"/>
    <w:rsid w:val="008D283F"/>
    <w:rsid w:val="008D4D40"/>
    <w:rsid w:val="008D626F"/>
    <w:rsid w:val="008D749D"/>
    <w:rsid w:val="008E482B"/>
    <w:rsid w:val="008F0E88"/>
    <w:rsid w:val="008F54F0"/>
    <w:rsid w:val="00900938"/>
    <w:rsid w:val="00907F6D"/>
    <w:rsid w:val="00911978"/>
    <w:rsid w:val="00911F44"/>
    <w:rsid w:val="00912B5B"/>
    <w:rsid w:val="00926D46"/>
    <w:rsid w:val="0093192F"/>
    <w:rsid w:val="00937F17"/>
    <w:rsid w:val="00944D10"/>
    <w:rsid w:val="00952934"/>
    <w:rsid w:val="009547BE"/>
    <w:rsid w:val="009558A2"/>
    <w:rsid w:val="00956A0A"/>
    <w:rsid w:val="00960B75"/>
    <w:rsid w:val="00960FD8"/>
    <w:rsid w:val="00961D6C"/>
    <w:rsid w:val="00962098"/>
    <w:rsid w:val="00963DE9"/>
    <w:rsid w:val="00970963"/>
    <w:rsid w:val="00972A1B"/>
    <w:rsid w:val="00972C12"/>
    <w:rsid w:val="00973D08"/>
    <w:rsid w:val="0097765F"/>
    <w:rsid w:val="00977A25"/>
    <w:rsid w:val="00983A56"/>
    <w:rsid w:val="00984855"/>
    <w:rsid w:val="009871E7"/>
    <w:rsid w:val="00994CDF"/>
    <w:rsid w:val="009A1125"/>
    <w:rsid w:val="009A158E"/>
    <w:rsid w:val="009A193A"/>
    <w:rsid w:val="009A5ABD"/>
    <w:rsid w:val="009A5E2A"/>
    <w:rsid w:val="009B3D17"/>
    <w:rsid w:val="009C1629"/>
    <w:rsid w:val="009C1EC1"/>
    <w:rsid w:val="009C23ED"/>
    <w:rsid w:val="009C40BF"/>
    <w:rsid w:val="009C58C7"/>
    <w:rsid w:val="009C771E"/>
    <w:rsid w:val="009D1726"/>
    <w:rsid w:val="009D230E"/>
    <w:rsid w:val="009E33B3"/>
    <w:rsid w:val="009E3ABE"/>
    <w:rsid w:val="009E5BCB"/>
    <w:rsid w:val="009E76CE"/>
    <w:rsid w:val="009E7D56"/>
    <w:rsid w:val="009F14D8"/>
    <w:rsid w:val="009F4BD7"/>
    <w:rsid w:val="009F73B6"/>
    <w:rsid w:val="00A123CD"/>
    <w:rsid w:val="00A13921"/>
    <w:rsid w:val="00A2343A"/>
    <w:rsid w:val="00A259B7"/>
    <w:rsid w:val="00A2760B"/>
    <w:rsid w:val="00A31DAB"/>
    <w:rsid w:val="00A40271"/>
    <w:rsid w:val="00A40593"/>
    <w:rsid w:val="00A40D4C"/>
    <w:rsid w:val="00A41615"/>
    <w:rsid w:val="00A43DA6"/>
    <w:rsid w:val="00A519FE"/>
    <w:rsid w:val="00A51A97"/>
    <w:rsid w:val="00A54457"/>
    <w:rsid w:val="00A55301"/>
    <w:rsid w:val="00A55350"/>
    <w:rsid w:val="00A56001"/>
    <w:rsid w:val="00A6370C"/>
    <w:rsid w:val="00A731FD"/>
    <w:rsid w:val="00A7765F"/>
    <w:rsid w:val="00A77C8F"/>
    <w:rsid w:val="00A8590D"/>
    <w:rsid w:val="00A91083"/>
    <w:rsid w:val="00A914FA"/>
    <w:rsid w:val="00A917EC"/>
    <w:rsid w:val="00A92644"/>
    <w:rsid w:val="00AA3D02"/>
    <w:rsid w:val="00AA627B"/>
    <w:rsid w:val="00AA6336"/>
    <w:rsid w:val="00AB4106"/>
    <w:rsid w:val="00AB60F5"/>
    <w:rsid w:val="00AC39B3"/>
    <w:rsid w:val="00AD7362"/>
    <w:rsid w:val="00AE0E80"/>
    <w:rsid w:val="00AE138A"/>
    <w:rsid w:val="00AE18BD"/>
    <w:rsid w:val="00AE32CE"/>
    <w:rsid w:val="00AF0300"/>
    <w:rsid w:val="00AF09CF"/>
    <w:rsid w:val="00AF4601"/>
    <w:rsid w:val="00B00502"/>
    <w:rsid w:val="00B07E4E"/>
    <w:rsid w:val="00B16C0C"/>
    <w:rsid w:val="00B17CFC"/>
    <w:rsid w:val="00B22C21"/>
    <w:rsid w:val="00B3187C"/>
    <w:rsid w:val="00B336AD"/>
    <w:rsid w:val="00B3471A"/>
    <w:rsid w:val="00B40062"/>
    <w:rsid w:val="00B40280"/>
    <w:rsid w:val="00B422FC"/>
    <w:rsid w:val="00B42CE0"/>
    <w:rsid w:val="00B440E7"/>
    <w:rsid w:val="00B52D44"/>
    <w:rsid w:val="00B55224"/>
    <w:rsid w:val="00B60279"/>
    <w:rsid w:val="00B60DB5"/>
    <w:rsid w:val="00B72607"/>
    <w:rsid w:val="00B73545"/>
    <w:rsid w:val="00B75661"/>
    <w:rsid w:val="00B84AAE"/>
    <w:rsid w:val="00B96418"/>
    <w:rsid w:val="00B96F25"/>
    <w:rsid w:val="00BA02FB"/>
    <w:rsid w:val="00BB5E54"/>
    <w:rsid w:val="00BC25A7"/>
    <w:rsid w:val="00BC2B89"/>
    <w:rsid w:val="00BC38B7"/>
    <w:rsid w:val="00BC583F"/>
    <w:rsid w:val="00BD19A7"/>
    <w:rsid w:val="00BD27A7"/>
    <w:rsid w:val="00BD43CC"/>
    <w:rsid w:val="00BF0784"/>
    <w:rsid w:val="00BF1BA9"/>
    <w:rsid w:val="00C06EEF"/>
    <w:rsid w:val="00C16665"/>
    <w:rsid w:val="00C267CD"/>
    <w:rsid w:val="00C26D28"/>
    <w:rsid w:val="00C30320"/>
    <w:rsid w:val="00C32D8A"/>
    <w:rsid w:val="00C336E6"/>
    <w:rsid w:val="00C33E34"/>
    <w:rsid w:val="00C379CC"/>
    <w:rsid w:val="00C40FF3"/>
    <w:rsid w:val="00C41046"/>
    <w:rsid w:val="00C417FE"/>
    <w:rsid w:val="00C4217B"/>
    <w:rsid w:val="00C452EF"/>
    <w:rsid w:val="00C50264"/>
    <w:rsid w:val="00C547FF"/>
    <w:rsid w:val="00C57343"/>
    <w:rsid w:val="00C57BC1"/>
    <w:rsid w:val="00C60850"/>
    <w:rsid w:val="00C622BF"/>
    <w:rsid w:val="00C6476C"/>
    <w:rsid w:val="00C71DB8"/>
    <w:rsid w:val="00C776AF"/>
    <w:rsid w:val="00C84C3D"/>
    <w:rsid w:val="00C86B9F"/>
    <w:rsid w:val="00C94FC8"/>
    <w:rsid w:val="00CA07D6"/>
    <w:rsid w:val="00CA5156"/>
    <w:rsid w:val="00CB155B"/>
    <w:rsid w:val="00CB31B9"/>
    <w:rsid w:val="00CB4BF7"/>
    <w:rsid w:val="00CB6AB2"/>
    <w:rsid w:val="00CB761E"/>
    <w:rsid w:val="00CC3E79"/>
    <w:rsid w:val="00CD3551"/>
    <w:rsid w:val="00CD4779"/>
    <w:rsid w:val="00CD4E09"/>
    <w:rsid w:val="00CE2EAF"/>
    <w:rsid w:val="00CE307B"/>
    <w:rsid w:val="00CF1E2C"/>
    <w:rsid w:val="00CF53E7"/>
    <w:rsid w:val="00CF588A"/>
    <w:rsid w:val="00CF68D3"/>
    <w:rsid w:val="00CF6B74"/>
    <w:rsid w:val="00D04E21"/>
    <w:rsid w:val="00D05108"/>
    <w:rsid w:val="00D07D88"/>
    <w:rsid w:val="00D13036"/>
    <w:rsid w:val="00D17062"/>
    <w:rsid w:val="00D30C93"/>
    <w:rsid w:val="00D32D5A"/>
    <w:rsid w:val="00D35229"/>
    <w:rsid w:val="00D45123"/>
    <w:rsid w:val="00D472B6"/>
    <w:rsid w:val="00D52998"/>
    <w:rsid w:val="00D52A7B"/>
    <w:rsid w:val="00D53121"/>
    <w:rsid w:val="00D5393A"/>
    <w:rsid w:val="00D55770"/>
    <w:rsid w:val="00D565AE"/>
    <w:rsid w:val="00D65D9E"/>
    <w:rsid w:val="00D676E9"/>
    <w:rsid w:val="00D7012B"/>
    <w:rsid w:val="00D77472"/>
    <w:rsid w:val="00D77C2A"/>
    <w:rsid w:val="00D806B5"/>
    <w:rsid w:val="00D9305A"/>
    <w:rsid w:val="00D93316"/>
    <w:rsid w:val="00D9418F"/>
    <w:rsid w:val="00D959AB"/>
    <w:rsid w:val="00D967F7"/>
    <w:rsid w:val="00DA0E6B"/>
    <w:rsid w:val="00DA640E"/>
    <w:rsid w:val="00DB2541"/>
    <w:rsid w:val="00DB5BDB"/>
    <w:rsid w:val="00DC26F4"/>
    <w:rsid w:val="00DD016B"/>
    <w:rsid w:val="00DD0A2B"/>
    <w:rsid w:val="00DD52D2"/>
    <w:rsid w:val="00DD54CA"/>
    <w:rsid w:val="00DD58CB"/>
    <w:rsid w:val="00DE08DC"/>
    <w:rsid w:val="00DE223F"/>
    <w:rsid w:val="00DE31FB"/>
    <w:rsid w:val="00DE44A7"/>
    <w:rsid w:val="00DE5041"/>
    <w:rsid w:val="00DE5189"/>
    <w:rsid w:val="00DE5664"/>
    <w:rsid w:val="00DE58FA"/>
    <w:rsid w:val="00DF033F"/>
    <w:rsid w:val="00DF0B77"/>
    <w:rsid w:val="00DF21E9"/>
    <w:rsid w:val="00DF325D"/>
    <w:rsid w:val="00DF504F"/>
    <w:rsid w:val="00E0192D"/>
    <w:rsid w:val="00E02C19"/>
    <w:rsid w:val="00E06F14"/>
    <w:rsid w:val="00E207C3"/>
    <w:rsid w:val="00E20852"/>
    <w:rsid w:val="00E2665F"/>
    <w:rsid w:val="00E32F1A"/>
    <w:rsid w:val="00E3413E"/>
    <w:rsid w:val="00E35625"/>
    <w:rsid w:val="00E35B98"/>
    <w:rsid w:val="00E36E7D"/>
    <w:rsid w:val="00E37330"/>
    <w:rsid w:val="00E425EF"/>
    <w:rsid w:val="00E4307E"/>
    <w:rsid w:val="00E43188"/>
    <w:rsid w:val="00E4470A"/>
    <w:rsid w:val="00E570DD"/>
    <w:rsid w:val="00E6130E"/>
    <w:rsid w:val="00E64CE9"/>
    <w:rsid w:val="00E726F3"/>
    <w:rsid w:val="00E72E01"/>
    <w:rsid w:val="00E774D6"/>
    <w:rsid w:val="00E827FC"/>
    <w:rsid w:val="00E876E8"/>
    <w:rsid w:val="00E9640E"/>
    <w:rsid w:val="00EA05C8"/>
    <w:rsid w:val="00EA05D8"/>
    <w:rsid w:val="00EB1A84"/>
    <w:rsid w:val="00EB38F3"/>
    <w:rsid w:val="00EC2BBE"/>
    <w:rsid w:val="00EC305B"/>
    <w:rsid w:val="00EC54F6"/>
    <w:rsid w:val="00ED10F1"/>
    <w:rsid w:val="00ED1816"/>
    <w:rsid w:val="00ED1D36"/>
    <w:rsid w:val="00ED20E8"/>
    <w:rsid w:val="00ED4253"/>
    <w:rsid w:val="00ED45EA"/>
    <w:rsid w:val="00EE159D"/>
    <w:rsid w:val="00EE2A95"/>
    <w:rsid w:val="00EE4F2B"/>
    <w:rsid w:val="00EE7B49"/>
    <w:rsid w:val="00EF3AB6"/>
    <w:rsid w:val="00F02A4A"/>
    <w:rsid w:val="00F100D2"/>
    <w:rsid w:val="00F1168F"/>
    <w:rsid w:val="00F16B3D"/>
    <w:rsid w:val="00F30FED"/>
    <w:rsid w:val="00F314C2"/>
    <w:rsid w:val="00F415FB"/>
    <w:rsid w:val="00F417FC"/>
    <w:rsid w:val="00F47BC9"/>
    <w:rsid w:val="00F57A28"/>
    <w:rsid w:val="00F6384C"/>
    <w:rsid w:val="00F671A3"/>
    <w:rsid w:val="00F70EAC"/>
    <w:rsid w:val="00F7712A"/>
    <w:rsid w:val="00F84451"/>
    <w:rsid w:val="00F84CC3"/>
    <w:rsid w:val="00F9748B"/>
    <w:rsid w:val="00FA1B9F"/>
    <w:rsid w:val="00FB23E4"/>
    <w:rsid w:val="00FC48B3"/>
    <w:rsid w:val="00FD2DDE"/>
    <w:rsid w:val="00FD36DE"/>
    <w:rsid w:val="00FE10A7"/>
    <w:rsid w:val="00FE65E6"/>
    <w:rsid w:val="00FE6C04"/>
    <w:rsid w:val="00FF24BA"/>
    <w:rsid w:val="00FF3CD9"/>
    <w:rsid w:val="00FF3E32"/>
    <w:rsid w:val="00FF57D1"/>
    <w:rsid w:val="042A66C9"/>
    <w:rsid w:val="116019CD"/>
    <w:rsid w:val="1B4F38B7"/>
    <w:rsid w:val="20410B33"/>
    <w:rsid w:val="254560D4"/>
    <w:rsid w:val="71F71A93"/>
    <w:rsid w:val="73442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54396C"/>
  <w15:docId w15:val="{39064D60-BD7C-4B21-A3B2-099F42E55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header" w:qFormat="1"/>
    <w:lsdException w:name="footer" w:qFormat="1"/>
    <w:lsdException w:name="caption" w:semiHidden="1" w:unhideWhenUsed="1" w:qFormat="1"/>
    <w:lsdException w:name="annotation reference" w:uiPriority="99" w:qFormat="1"/>
    <w:lsdException w:name="page number"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jc w:val="left"/>
    </w:pPr>
  </w:style>
  <w:style w:type="paragraph" w:styleId="a5">
    <w:name w:val="Balloon Text"/>
    <w:basedOn w:val="a"/>
    <w:link w:val="a6"/>
    <w:qFormat/>
    <w:rPr>
      <w:sz w:val="18"/>
      <w:szCs w:val="18"/>
      <w:lang w:val="zh-CN"/>
    </w:rPr>
  </w:style>
  <w:style w:type="paragraph" w:styleId="a7">
    <w:name w:val="footer"/>
    <w:basedOn w:val="a"/>
    <w:qFormat/>
    <w:pPr>
      <w:tabs>
        <w:tab w:val="center" w:pos="4153"/>
        <w:tab w:val="right" w:pos="8306"/>
      </w:tabs>
      <w:snapToGrid w:val="0"/>
      <w:jc w:val="left"/>
    </w:pPr>
    <w:rPr>
      <w:sz w:val="18"/>
      <w:szCs w:val="18"/>
    </w:rPr>
  </w:style>
  <w:style w:type="paragraph" w:styleId="a8">
    <w:name w:val="header"/>
    <w:basedOn w:val="a"/>
    <w:link w:val="a9"/>
    <w:qFormat/>
    <w:pPr>
      <w:pBdr>
        <w:bottom w:val="single" w:sz="6" w:space="1" w:color="auto"/>
      </w:pBdr>
      <w:tabs>
        <w:tab w:val="center" w:pos="4153"/>
        <w:tab w:val="right" w:pos="8306"/>
      </w:tabs>
      <w:snapToGrid w:val="0"/>
      <w:jc w:val="center"/>
    </w:pPr>
    <w:rPr>
      <w:sz w:val="18"/>
      <w:szCs w:val="18"/>
    </w:rPr>
  </w:style>
  <w:style w:type="paragraph" w:styleId="aa">
    <w:name w:val="annotation subject"/>
    <w:basedOn w:val="a3"/>
    <w:next w:val="a3"/>
    <w:link w:val="ab"/>
    <w:qFormat/>
    <w:rPr>
      <w:b/>
      <w:bCs/>
    </w:rPr>
  </w:style>
  <w:style w:type="table" w:styleId="ac">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age number"/>
    <w:basedOn w:val="a0"/>
    <w:qFormat/>
  </w:style>
  <w:style w:type="character" w:styleId="ae">
    <w:name w:val="annotation reference"/>
    <w:uiPriority w:val="99"/>
    <w:qFormat/>
    <w:rPr>
      <w:sz w:val="21"/>
      <w:szCs w:val="21"/>
    </w:rPr>
  </w:style>
  <w:style w:type="character" w:customStyle="1" w:styleId="a9">
    <w:name w:val="页眉 字符"/>
    <w:link w:val="a8"/>
    <w:qFormat/>
    <w:rPr>
      <w:rFonts w:eastAsia="宋体"/>
      <w:kern w:val="2"/>
      <w:sz w:val="18"/>
      <w:szCs w:val="18"/>
      <w:lang w:val="en-US" w:eastAsia="zh-CN" w:bidi="ar-SA"/>
    </w:rPr>
  </w:style>
  <w:style w:type="paragraph" w:customStyle="1" w:styleId="CharCharCharChar">
    <w:name w:val="Char Char Char Char"/>
    <w:basedOn w:val="a"/>
    <w:qFormat/>
    <w:pPr>
      <w:tabs>
        <w:tab w:val="left" w:pos="360"/>
      </w:tabs>
      <w:adjustRightInd w:val="0"/>
    </w:pPr>
    <w:rPr>
      <w:sz w:val="24"/>
      <w:szCs w:val="20"/>
    </w:rPr>
  </w:style>
  <w:style w:type="character" w:customStyle="1" w:styleId="a6">
    <w:name w:val="批注框文本 字符"/>
    <w:link w:val="a5"/>
    <w:qFormat/>
    <w:rPr>
      <w:kern w:val="2"/>
      <w:sz w:val="18"/>
      <w:szCs w:val="18"/>
    </w:rPr>
  </w:style>
  <w:style w:type="character" w:customStyle="1" w:styleId="a4">
    <w:name w:val="批注文字 字符"/>
    <w:link w:val="a3"/>
    <w:uiPriority w:val="99"/>
    <w:qFormat/>
    <w:rPr>
      <w:kern w:val="2"/>
      <w:sz w:val="21"/>
      <w:szCs w:val="24"/>
    </w:rPr>
  </w:style>
  <w:style w:type="character" w:customStyle="1" w:styleId="ab">
    <w:name w:val="批注主题 字符"/>
    <w:link w:val="aa"/>
    <w:qFormat/>
    <w:rPr>
      <w:b/>
      <w:bCs/>
      <w:kern w:val="2"/>
      <w:sz w:val="21"/>
      <w:szCs w:val="24"/>
    </w:rPr>
  </w:style>
  <w:style w:type="paragraph" w:customStyle="1" w:styleId="1">
    <w:name w:val="标题1"/>
    <w:basedOn w:val="a"/>
    <w:qFormat/>
    <w:pPr>
      <w:widowControl/>
      <w:spacing w:before="100" w:beforeAutospacing="1" w:after="100" w:afterAutospacing="1"/>
      <w:ind w:firstLine="480"/>
      <w:jc w:val="left"/>
    </w:pPr>
    <w:rPr>
      <w:rFonts w:ascii="微软雅黑" w:eastAsia="微软雅黑" w:hAnsi="微软雅黑" w:cs="宋体"/>
      <w:kern w:val="0"/>
      <w:szCs w:val="21"/>
    </w:rPr>
  </w:style>
  <w:style w:type="paragraph" w:customStyle="1" w:styleId="10">
    <w:name w:val="修订1"/>
    <w:hidden/>
    <w:uiPriority w:val="99"/>
    <w:semiHidden/>
    <w:qFormat/>
    <w:rPr>
      <w:kern w:val="2"/>
      <w:sz w:val="21"/>
      <w:szCs w:val="24"/>
    </w:rPr>
  </w:style>
  <w:style w:type="paragraph" w:styleId="af">
    <w:name w:val="List Paragraph"/>
    <w:basedOn w:val="a"/>
    <w:uiPriority w:val="34"/>
    <w:qFormat/>
    <w:pPr>
      <w:ind w:firstLineChars="200" w:firstLine="420"/>
    </w:pPr>
  </w:style>
  <w:style w:type="paragraph" w:customStyle="1" w:styleId="2">
    <w:name w:val="修订2"/>
    <w:hidden/>
    <w:uiPriority w:val="99"/>
    <w:semiHidden/>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A91E7-91A4-46B4-89C8-EC904AF73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968</Words>
  <Characters>5524</Characters>
  <Application>Microsoft Office Word</Application>
  <DocSecurity>0</DocSecurity>
  <Lines>46</Lines>
  <Paragraphs>12</Paragraphs>
  <ScaleCrop>false</ScaleCrop>
  <Company>微软中国</Company>
  <LinksUpToDate>false</LinksUpToDate>
  <CharactersWithSpaces>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徐方舟</dc:creator>
  <cp:lastModifiedBy>王诗婷</cp:lastModifiedBy>
  <cp:revision>9</cp:revision>
  <cp:lastPrinted>2021-08-11T01:00:00Z</cp:lastPrinted>
  <dcterms:created xsi:type="dcterms:W3CDTF">2025-03-12T08:43:00Z</dcterms:created>
  <dcterms:modified xsi:type="dcterms:W3CDTF">2025-09-09T09:16:00Z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33644FE4446E47E29A20D5A9FA834DD8_13</vt:lpwstr>
  </property>
</Properties>
</file>