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Calibri" w:hAnsi="Calibri" w:eastAsia="宋体" w:cs="黑体"/>
          <w:b/>
          <w:bCs w:val="0"/>
          <w:sz w:val="44"/>
          <w:szCs w:val="44"/>
          <w:highlight w:val="none"/>
        </w:rPr>
      </w:pPr>
      <w:r>
        <w:rPr>
          <w:rFonts w:hint="eastAsia" w:ascii="Calibri" w:hAnsi="Calibri" w:eastAsia="宋体" w:cs="黑体"/>
          <w:b/>
          <w:bCs w:val="0"/>
          <w:sz w:val="44"/>
          <w:szCs w:val="44"/>
          <w:highlight w:val="none"/>
          <w:lang w:val="en-US" w:eastAsia="zh-CN"/>
        </w:rPr>
        <w:t>杭银理财理财计划</w:t>
      </w:r>
      <w:r>
        <w:rPr>
          <w:rFonts w:hint="eastAsia" w:ascii="Calibri" w:hAnsi="Calibri" w:eastAsia="宋体" w:cs="黑体"/>
          <w:b/>
          <w:bCs w:val="0"/>
          <w:sz w:val="44"/>
          <w:szCs w:val="44"/>
          <w:highlight w:val="none"/>
        </w:rPr>
        <w:t>销售协议书</w:t>
      </w:r>
    </w:p>
    <w:p>
      <w:pPr>
        <w:jc w:val="center"/>
        <w:rPr>
          <w:rFonts w:hint="eastAsia" w:ascii="宋体" w:hAnsi="宋体" w:eastAsia="宋体" w:cs="宋体"/>
          <w:b w:val="0"/>
          <w:bCs w:val="0"/>
          <w:sz w:val="28"/>
          <w:szCs w:val="28"/>
          <w:highlight w:val="none"/>
        </w:rPr>
      </w:pPr>
      <w:r>
        <w:rPr>
          <w:rFonts w:hint="eastAsia" w:ascii="宋体" w:hAnsi="宋体" w:eastAsia="宋体" w:cs="宋体"/>
          <w:sz w:val="28"/>
          <w:szCs w:val="28"/>
          <w:highlight w:val="none"/>
        </w:rPr>
        <w:t>（202</w:t>
      </w:r>
      <w:r>
        <w:rPr>
          <w:rFonts w:hint="eastAsia" w:ascii="宋体" w:hAnsi="宋体" w:eastAsia="宋体" w:cs="宋体"/>
          <w:sz w:val="28"/>
          <w:szCs w:val="28"/>
          <w:highlight w:val="none"/>
          <w:lang w:val="en-US" w:eastAsia="zh-CN"/>
        </w:rPr>
        <w:t>2</w:t>
      </w:r>
      <w:r>
        <w:rPr>
          <w:rFonts w:hint="eastAsia" w:ascii="宋体" w:hAnsi="宋体" w:eastAsia="宋体" w:cs="宋体"/>
          <w:sz w:val="28"/>
          <w:szCs w:val="28"/>
          <w:highlight w:val="none"/>
        </w:rPr>
        <w:t>01版）</w:t>
      </w:r>
    </w:p>
    <w:p>
      <w:pPr>
        <w:spacing w:line="360" w:lineRule="auto"/>
        <w:jc w:val="center"/>
        <w:rPr>
          <w:rFonts w:hint="default"/>
          <w:sz w:val="32"/>
          <w:szCs w:val="40"/>
          <w:highlight w:val="none"/>
          <w:lang w:val="en-US" w:eastAsia="zh-CN"/>
        </w:rPr>
      </w:pPr>
      <w:r>
        <w:rPr>
          <w:rFonts w:hint="eastAsia" w:ascii="宋体" w:hAnsi="宋体" w:cs="宋体"/>
          <w:b/>
          <w:bCs/>
          <w:sz w:val="24"/>
          <w:highlight w:val="none"/>
          <w:u w:val="single"/>
        </w:rPr>
        <w:t>理财非存款、产品有风险、投资须谨慎</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Calibri" w:hAnsi="Calibri" w:eastAsia="宋体" w:cs="黑体"/>
          <w:b/>
          <w:bCs/>
          <w:sz w:val="24"/>
          <w:highlight w:val="none"/>
        </w:rPr>
      </w:pPr>
      <w:r>
        <w:rPr>
          <w:rFonts w:hint="eastAsia" w:ascii="Calibri" w:hAnsi="Calibri" w:eastAsia="宋体" w:cs="黑体"/>
          <w:b/>
          <w:bCs/>
          <w:sz w:val="24"/>
          <w:highlight w:val="none"/>
        </w:rPr>
        <w:t>特别提示：</w:t>
      </w:r>
      <w:r>
        <w:rPr>
          <w:rFonts w:hint="eastAsia" w:ascii="Calibri" w:hAnsi="Calibri" w:eastAsia="宋体" w:cs="黑体"/>
          <w:b/>
          <w:bCs/>
          <w:sz w:val="24"/>
          <w:highlight w:val="none"/>
          <w:lang w:eastAsia="zh-CN"/>
        </w:rPr>
        <w:t>《</w:t>
      </w:r>
      <w:r>
        <w:rPr>
          <w:rFonts w:hint="eastAsia" w:ascii="Calibri" w:hAnsi="Calibri" w:eastAsia="宋体" w:cs="黑体"/>
          <w:b/>
          <w:bCs/>
          <w:sz w:val="24"/>
          <w:highlight w:val="none"/>
        </w:rPr>
        <w:t>杭银理财</w:t>
      </w:r>
      <w:r>
        <w:rPr>
          <w:rFonts w:hint="eastAsia" w:ascii="Calibri" w:hAnsi="Calibri" w:eastAsia="宋体" w:cs="黑体"/>
          <w:b/>
          <w:bCs/>
          <w:sz w:val="24"/>
          <w:highlight w:val="none"/>
          <w:lang w:val="en-US" w:eastAsia="zh-CN"/>
        </w:rPr>
        <w:t>理财计划销售协议书</w:t>
      </w:r>
      <w:r>
        <w:rPr>
          <w:rFonts w:hint="eastAsia" w:ascii="宋体" w:hAnsi="宋体" w:eastAsia="宋体" w:cs="宋体"/>
          <w:b/>
          <w:bCs/>
          <w:sz w:val="24"/>
          <w:highlight w:val="none"/>
          <w:lang w:val="en-US" w:eastAsia="zh-CN"/>
        </w:rPr>
        <w:t>（202201版）</w:t>
      </w:r>
      <w:r>
        <w:rPr>
          <w:rFonts w:hint="eastAsia" w:ascii="Calibri" w:hAnsi="Calibri" w:eastAsia="宋体" w:cs="黑体"/>
          <w:b/>
          <w:bCs/>
          <w:sz w:val="24"/>
          <w:highlight w:val="none"/>
          <w:lang w:eastAsia="zh-CN"/>
        </w:rPr>
        <w:t>》</w:t>
      </w:r>
      <w:r>
        <w:rPr>
          <w:rFonts w:hint="eastAsia" w:ascii="Calibri" w:hAnsi="Calibri" w:eastAsia="宋体" w:cs="黑体"/>
          <w:b/>
          <w:bCs/>
          <w:sz w:val="24"/>
          <w:highlight w:val="none"/>
          <w:lang w:val="en-US" w:eastAsia="zh-CN"/>
        </w:rPr>
        <w:t>与对应期次的</w:t>
      </w:r>
      <w:r>
        <w:rPr>
          <w:rFonts w:hint="eastAsia" w:eastAsia="宋体" w:cs="黑体"/>
          <w:b/>
          <w:bCs/>
          <w:sz w:val="24"/>
          <w:highlight w:val="none"/>
          <w:lang w:val="en-US" w:eastAsia="zh-CN"/>
        </w:rPr>
        <w:t>理财计划风险揭示书、理财计划产品说明书、投资者权益须知及</w:t>
      </w:r>
      <w:r>
        <w:rPr>
          <w:rFonts w:hint="eastAsia" w:ascii="Calibri" w:hAnsi="Calibri" w:eastAsia="宋体" w:cs="黑体"/>
          <w:b/>
          <w:bCs/>
          <w:sz w:val="24"/>
          <w:highlight w:val="none"/>
        </w:rPr>
        <w:t>理财计划投资协议书共同构成完整且不可分割的理财计划</w:t>
      </w:r>
      <w:r>
        <w:rPr>
          <w:rFonts w:hint="eastAsia" w:ascii="Calibri" w:hAnsi="Calibri" w:eastAsia="宋体" w:cs="黑体"/>
          <w:b/>
          <w:bCs/>
          <w:sz w:val="24"/>
          <w:highlight w:val="none"/>
          <w:lang w:val="en-US" w:eastAsia="zh-CN"/>
        </w:rPr>
        <w:t>合同</w:t>
      </w:r>
      <w:r>
        <w:rPr>
          <w:rFonts w:hint="eastAsia" w:ascii="Calibri" w:hAnsi="Calibri" w:eastAsia="宋体" w:cs="黑体"/>
          <w:b/>
          <w:bCs/>
          <w:sz w:val="24"/>
          <w:highlight w:val="none"/>
        </w:rPr>
        <w:t>。杭银理财有限责任公司（以下简称“杭银理财”）建议投资者在购买理财计划前认真阅读</w:t>
      </w:r>
      <w:r>
        <w:rPr>
          <w:rFonts w:hint="eastAsia" w:ascii="Calibri" w:hAnsi="Calibri" w:eastAsia="宋体" w:cs="黑体"/>
          <w:b/>
          <w:bCs/>
          <w:sz w:val="24"/>
          <w:highlight w:val="none"/>
          <w:lang w:val="en-US" w:eastAsia="zh-CN"/>
        </w:rPr>
        <w:t>全套</w:t>
      </w:r>
      <w:r>
        <w:rPr>
          <w:rFonts w:hint="eastAsia" w:ascii="Calibri" w:hAnsi="Calibri" w:eastAsia="宋体" w:cs="黑体"/>
          <w:b/>
          <w:bCs/>
          <w:sz w:val="24"/>
          <w:highlight w:val="none"/>
        </w:rPr>
        <w:t>理财计划</w:t>
      </w:r>
      <w:r>
        <w:rPr>
          <w:rFonts w:hint="eastAsia" w:ascii="Calibri" w:hAnsi="Calibri" w:eastAsia="宋体" w:cs="黑体"/>
          <w:b/>
          <w:bCs/>
          <w:sz w:val="24"/>
          <w:highlight w:val="none"/>
          <w:lang w:val="en-US" w:eastAsia="zh-CN"/>
        </w:rPr>
        <w:t>合同</w:t>
      </w:r>
      <w:r>
        <w:rPr>
          <w:rFonts w:hint="eastAsia" w:ascii="Calibri" w:hAnsi="Calibri" w:eastAsia="宋体" w:cs="黑体"/>
          <w:b/>
          <w:bCs/>
          <w:sz w:val="24"/>
          <w:highlight w:val="none"/>
        </w:rPr>
        <w:t>，投资者签署</w:t>
      </w:r>
      <w:r>
        <w:rPr>
          <w:rFonts w:hint="eastAsia" w:ascii="Calibri" w:hAnsi="Calibri" w:eastAsia="宋体" w:cs="黑体"/>
          <w:b/>
          <w:bCs/>
          <w:sz w:val="24"/>
          <w:highlight w:val="none"/>
          <w:lang w:val="en-US" w:eastAsia="zh-CN"/>
        </w:rPr>
        <w:t>本</w:t>
      </w:r>
      <w:r>
        <w:rPr>
          <w:rFonts w:hint="eastAsia" w:ascii="Calibri" w:hAnsi="Calibri" w:eastAsia="宋体" w:cs="黑体"/>
          <w:b/>
          <w:bCs/>
          <w:sz w:val="24"/>
          <w:highlight w:val="none"/>
        </w:rPr>
        <w:t>协议书（含电子渠道签署）即视为已详细阅读理财计划合同并知悉相关风险，自愿投资购买理财计划、遵守合同约定并承担相应风险。</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Calibri" w:hAnsi="Calibri" w:eastAsia="宋体" w:cs="黑体"/>
          <w:b/>
          <w:bCs/>
          <w:sz w:val="24"/>
          <w:highlight w:val="none"/>
          <w:lang w:val="en-US" w:eastAsia="zh-CN"/>
        </w:rPr>
      </w:pPr>
      <w:r>
        <w:rPr>
          <w:rFonts w:hint="eastAsia" w:ascii="Calibri" w:hAnsi="Calibri" w:eastAsia="宋体" w:cs="黑体"/>
          <w:b/>
          <w:bCs/>
          <w:sz w:val="24"/>
          <w:highlight w:val="none"/>
          <w:lang w:val="en-US" w:eastAsia="zh-CN"/>
        </w:rPr>
        <w:t>理财非存款、产品有风险、投资须谨慎，理财计划过往业绩不代表其未来表现，不等于理财计划实际收益。</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r>
        <w:rPr>
          <w:rFonts w:hint="eastAsia" w:ascii="Calibri" w:hAnsi="Calibri" w:eastAsia="宋体" w:cs="黑体"/>
          <w:sz w:val="24"/>
          <w:highlight w:val="none"/>
          <w:lang w:val="en-US" w:eastAsia="zh-CN"/>
        </w:rPr>
        <w:t>理财计划销售的相关法律主体为发行理财计划的理财公司、</w:t>
      </w:r>
      <w:r>
        <w:rPr>
          <w:rFonts w:hint="eastAsia" w:eastAsia="宋体" w:cs="黑体"/>
          <w:sz w:val="24"/>
          <w:highlight w:val="none"/>
          <w:lang w:val="en-US" w:eastAsia="zh-CN"/>
        </w:rPr>
        <w:t>理财公司自有销售渠道以及</w:t>
      </w:r>
      <w:r>
        <w:rPr>
          <w:rFonts w:hint="eastAsia" w:ascii="Calibri" w:hAnsi="Calibri" w:eastAsia="宋体" w:cs="黑体"/>
          <w:sz w:val="24"/>
          <w:highlight w:val="none"/>
          <w:lang w:val="en-US" w:eastAsia="zh-CN"/>
        </w:rPr>
        <w:t>接受理财公司委托销售其发行理财计划的代理销售机构（以下简称“销售机构”）和投资者三方。理财公司是理财计划的设计发行方与管理人，</w:t>
      </w:r>
      <w:r>
        <w:rPr>
          <w:rFonts w:hint="eastAsia" w:eastAsia="宋体" w:cs="黑体"/>
          <w:sz w:val="24"/>
          <w:highlight w:val="none"/>
          <w:lang w:val="en-US" w:eastAsia="zh-CN"/>
        </w:rPr>
        <w:t>理财公司和</w:t>
      </w:r>
      <w:r>
        <w:rPr>
          <w:rFonts w:hint="eastAsia" w:ascii="Calibri" w:hAnsi="Calibri" w:eastAsia="宋体" w:cs="黑体"/>
          <w:sz w:val="24"/>
          <w:highlight w:val="none"/>
          <w:lang w:val="en-US" w:eastAsia="zh-CN"/>
        </w:rPr>
        <w:t>销售机构面向投资者实施销售行为，两方共同承担理财计划的合规销售和投资者合法权益保护义务。</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r>
        <w:rPr>
          <w:rFonts w:hint="eastAsia" w:ascii="Calibri" w:hAnsi="Calibri" w:eastAsia="宋体" w:cs="黑体"/>
          <w:sz w:val="24"/>
          <w:highlight w:val="none"/>
          <w:lang w:val="en-US" w:eastAsia="zh-CN"/>
        </w:rPr>
        <w:t>投资者与销售机构经平等友好协商，本着自愿、诚实信用原则，就投资者购买销售机构代理销售的理财计划有关事宜达成如下协议（以下简称“本协议”）：</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第一条 </w:t>
      </w:r>
      <w:r>
        <w:rPr>
          <w:rFonts w:hint="eastAsia" w:ascii="Calibri" w:hAnsi="Calibri" w:eastAsia="宋体" w:cs="黑体"/>
          <w:b/>
          <w:bCs/>
          <w:sz w:val="24"/>
          <w:highlight w:val="none"/>
          <w:lang w:val="en-US" w:eastAsia="zh-CN"/>
        </w:rPr>
        <w:t>名词释义</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Calibri" w:hAnsi="Calibri" w:eastAsia="宋体" w:cs="黑体"/>
          <w:bCs/>
          <w:sz w:val="24"/>
          <w:highlight w:val="none"/>
          <w:lang w:val="en-US" w:eastAsia="zh-CN"/>
        </w:rPr>
      </w:pPr>
      <w:r>
        <w:rPr>
          <w:rFonts w:hint="eastAsia" w:ascii="Calibri" w:hAnsi="Calibri" w:eastAsia="宋体" w:cs="黑体"/>
          <w:bCs/>
          <w:sz w:val="24"/>
          <w:highlight w:val="none"/>
          <w:lang w:val="en-US" w:eastAsia="zh-CN"/>
        </w:rPr>
        <w:t>详见对应期次的理财计划产品说明书“释义”部分。</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Calibri" w:hAnsi="Calibri" w:eastAsia="宋体" w:cs="黑体"/>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jc w:val="left"/>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第二条 </w:t>
      </w:r>
      <w:r>
        <w:rPr>
          <w:rFonts w:hint="eastAsia" w:ascii="Calibri" w:hAnsi="Calibri" w:eastAsia="宋体" w:cs="黑体"/>
          <w:b/>
          <w:bCs/>
          <w:sz w:val="24"/>
          <w:highlight w:val="none"/>
          <w:lang w:val="en-US" w:eastAsia="zh-CN"/>
        </w:rPr>
        <w:t>投资者权利与义务</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hint="eastAsia" w:ascii="宋体" w:hAnsi="宋体" w:eastAsia="宋体" w:cs="黑体"/>
          <w:color w:val="000000"/>
          <w:kern w:val="2"/>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投资者保证自身完全了解理财投资的性质，投资所涉及的风险以及自身风险承受能力，在慎重考虑后独立作出交易决定。</w:t>
      </w:r>
    </w:p>
    <w:p>
      <w:pPr>
        <w:widowControl/>
        <w:numPr>
          <w:ilvl w:val="0"/>
          <w:numId w:val="1"/>
        </w:numPr>
        <w:spacing w:line="360" w:lineRule="auto"/>
        <w:ind w:left="0" w:leftChars="0" w:firstLine="482" w:firstLineChars="200"/>
        <w:contextualSpacing/>
        <w:outlineLvl w:val="2"/>
        <w:rPr>
          <w:rFonts w:hint="eastAsia" w:ascii="宋体" w:hAnsi="宋体" w:eastAsia="宋体" w:cs="黑体"/>
          <w:sz w:val="24"/>
          <w:highlight w:val="none"/>
        </w:rPr>
      </w:pPr>
      <w:r>
        <w:rPr>
          <w:rFonts w:hint="eastAsia" w:ascii="宋体" w:hAnsi="宋体" w:eastAsia="宋体" w:cs="黑体"/>
          <w:b/>
          <w:bCs/>
          <w:sz w:val="24"/>
          <w:highlight w:val="none"/>
        </w:rPr>
        <w:t>投资者购买</w:t>
      </w:r>
      <w:r>
        <w:rPr>
          <w:rFonts w:hint="eastAsia" w:ascii="宋体" w:hAnsi="宋体" w:eastAsia="宋体" w:cs="黑体"/>
          <w:b/>
          <w:bCs/>
          <w:sz w:val="24"/>
          <w:highlight w:val="none"/>
          <w:lang w:val="en-US" w:eastAsia="zh-CN"/>
        </w:rPr>
        <w:t>销售机构</w:t>
      </w:r>
      <w:r>
        <w:rPr>
          <w:rFonts w:hint="eastAsia" w:ascii="宋体" w:hAnsi="宋体" w:eastAsia="宋体" w:cs="黑体"/>
          <w:b/>
          <w:bCs/>
          <w:sz w:val="24"/>
          <w:highlight w:val="none"/>
          <w:lang w:eastAsia="zh-CN"/>
        </w:rPr>
        <w:t>代理销售</w:t>
      </w:r>
      <w:r>
        <w:rPr>
          <w:rFonts w:hint="eastAsia" w:ascii="宋体" w:hAnsi="宋体" w:eastAsia="宋体" w:cs="黑体"/>
          <w:b/>
          <w:bCs/>
          <w:sz w:val="24"/>
          <w:highlight w:val="none"/>
        </w:rPr>
        <w:t>的私募</w:t>
      </w:r>
      <w:r>
        <w:rPr>
          <w:rFonts w:hint="eastAsia" w:ascii="宋体" w:hAnsi="宋体" w:eastAsia="宋体" w:cs="黑体"/>
          <w:b/>
          <w:bCs/>
          <w:sz w:val="24"/>
          <w:highlight w:val="none"/>
          <w:lang w:eastAsia="zh-CN"/>
        </w:rPr>
        <w:t>理财计划</w:t>
      </w:r>
      <w:r>
        <w:rPr>
          <w:rFonts w:hint="eastAsia" w:ascii="宋体" w:hAnsi="宋体" w:eastAsia="宋体" w:cs="黑体"/>
          <w:b/>
          <w:bCs/>
          <w:sz w:val="24"/>
          <w:highlight w:val="none"/>
        </w:rPr>
        <w:t>后，可以享有24 小时的投资冷静期，在投资冷静期内，如</w:t>
      </w: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改变投资决定，应提出解除相应理财</w:t>
      </w:r>
      <w:r>
        <w:rPr>
          <w:rFonts w:hint="eastAsia" w:ascii="宋体" w:hAnsi="宋体" w:eastAsia="宋体" w:cs="黑体"/>
          <w:b/>
          <w:bCs/>
          <w:sz w:val="24"/>
          <w:highlight w:val="none"/>
          <w:lang w:val="en-US" w:eastAsia="zh-CN"/>
        </w:rPr>
        <w:t>计划合同</w:t>
      </w:r>
      <w:r>
        <w:rPr>
          <w:rFonts w:hint="eastAsia" w:ascii="宋体" w:hAnsi="宋体" w:eastAsia="宋体" w:cs="黑体"/>
          <w:b/>
          <w:bCs/>
          <w:sz w:val="24"/>
          <w:highlight w:val="none"/>
        </w:rPr>
        <w:t>文件申请，</w:t>
      </w:r>
      <w:r>
        <w:rPr>
          <w:rFonts w:hint="eastAsia" w:ascii="宋体" w:hAnsi="宋体" w:eastAsia="宋体" w:cs="黑体"/>
          <w:b/>
          <w:bCs/>
          <w:sz w:val="24"/>
          <w:highlight w:val="none"/>
          <w:lang w:val="en-US" w:eastAsia="zh-CN"/>
        </w:rPr>
        <w:t>销售机构</w:t>
      </w:r>
      <w:r>
        <w:rPr>
          <w:rFonts w:hint="eastAsia" w:ascii="宋体" w:hAnsi="宋体" w:eastAsia="宋体" w:cs="黑体"/>
          <w:b/>
          <w:bCs/>
          <w:sz w:val="24"/>
          <w:highlight w:val="none"/>
        </w:rPr>
        <w:t>将及时退还</w:t>
      </w: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的全部投资款项。</w:t>
      </w:r>
      <w:r>
        <w:rPr>
          <w:rFonts w:hint="eastAsia" w:ascii="宋体" w:hAnsi="宋体" w:eastAsia="宋体" w:cs="黑体"/>
          <w:sz w:val="24"/>
          <w:highlight w:val="none"/>
        </w:rPr>
        <w:t>投资冷静期相关约定详见</w:t>
      </w:r>
      <w:r>
        <w:rPr>
          <w:rFonts w:hint="eastAsia" w:ascii="宋体" w:hAnsi="宋体" w:eastAsia="宋体" w:cs="黑体"/>
          <w:sz w:val="24"/>
          <w:highlight w:val="none"/>
          <w:lang w:val="en-US" w:eastAsia="zh-CN"/>
        </w:rPr>
        <w:t>理财计划产品</w:t>
      </w:r>
      <w:r>
        <w:rPr>
          <w:rFonts w:hint="eastAsia" w:ascii="宋体" w:hAnsi="宋体" w:eastAsia="宋体" w:cs="黑体"/>
          <w:sz w:val="24"/>
          <w:highlight w:val="none"/>
        </w:rPr>
        <w:t>说明书</w:t>
      </w:r>
      <w:r>
        <w:rPr>
          <w:rFonts w:hint="eastAsia" w:ascii="宋体" w:hAnsi="宋体" w:eastAsia="宋体" w:cs="黑体"/>
          <w:sz w:val="24"/>
          <w:highlight w:val="none"/>
          <w:lang w:eastAsia="zh-CN"/>
        </w:rPr>
        <w:t>。</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投资者保证其有权利签署本协议和履行本协议所述的义务，并已为此采取一切所需的行为。</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投资者保证执行及交付任何文件或履行本协议项下的义务，均不会违反任何适用法律、法规、法令或法律限制</w:t>
      </w:r>
      <w:r>
        <w:rPr>
          <w:rFonts w:hint="eastAsia" w:ascii="宋体" w:hAnsi="宋体" w:eastAsia="宋体" w:cs="黑体"/>
          <w:sz w:val="24"/>
          <w:highlight w:val="none"/>
          <w:lang w:eastAsia="zh-CN"/>
        </w:rPr>
        <w:t>；</w:t>
      </w:r>
      <w:r>
        <w:rPr>
          <w:rFonts w:hint="eastAsia" w:ascii="宋体" w:hAnsi="宋体" w:eastAsia="宋体" w:cs="黑体"/>
          <w:sz w:val="24"/>
          <w:highlight w:val="none"/>
        </w:rPr>
        <w:t>不会违反任何法院或政府机关所作出的适用于投资者或投资者任何资产的判决或指令；不会违反对投资者或投资者任何资产有约束力的任何重大协议条款。投资者应在签署本协议的同时在</w:t>
      </w:r>
      <w:r>
        <w:rPr>
          <w:rFonts w:hint="eastAsia" w:ascii="宋体" w:hAnsi="宋体" w:eastAsia="宋体" w:cs="黑体"/>
          <w:sz w:val="24"/>
          <w:highlight w:val="none"/>
          <w:lang w:val="en-US" w:eastAsia="zh-CN"/>
        </w:rPr>
        <w:t>其</w:t>
      </w:r>
      <w:r>
        <w:rPr>
          <w:rFonts w:hint="eastAsia" w:ascii="宋体" w:hAnsi="宋体" w:eastAsia="宋体" w:cs="黑体"/>
          <w:sz w:val="24"/>
          <w:highlight w:val="none"/>
        </w:rPr>
        <w:t>授权指定</w:t>
      </w:r>
      <w:r>
        <w:rPr>
          <w:rFonts w:hint="eastAsia" w:ascii="宋体" w:hAnsi="宋体" w:eastAsia="宋体" w:cs="黑体"/>
          <w:sz w:val="24"/>
          <w:highlight w:val="none"/>
          <w:lang w:val="en-US" w:eastAsia="zh-CN"/>
        </w:rPr>
        <w:t>的</w:t>
      </w:r>
      <w:r>
        <w:rPr>
          <w:rFonts w:hint="eastAsia" w:ascii="宋体" w:hAnsi="宋体" w:eastAsia="宋体" w:cs="黑体"/>
          <w:sz w:val="24"/>
          <w:highlight w:val="none"/>
        </w:rPr>
        <w:t>账户</w:t>
      </w:r>
      <w:r>
        <w:rPr>
          <w:rFonts w:hint="eastAsia" w:ascii="宋体" w:hAnsi="宋体" w:eastAsia="宋体" w:cs="黑体"/>
          <w:sz w:val="24"/>
          <w:highlight w:val="none"/>
          <w:lang w:val="en-US" w:eastAsia="zh-CN"/>
        </w:rPr>
        <w:t>中（以下简称“授权指定账户”）</w:t>
      </w:r>
      <w:r>
        <w:rPr>
          <w:rFonts w:hint="eastAsia" w:ascii="宋体" w:hAnsi="宋体" w:eastAsia="宋体" w:cs="黑体"/>
          <w:sz w:val="24"/>
          <w:highlight w:val="none"/>
        </w:rPr>
        <w:t>存入足额的资金以确保账户余额大于或等于认/申购金额。</w:t>
      </w:r>
    </w:p>
    <w:p>
      <w:pPr>
        <w:widowControl/>
        <w:numPr>
          <w:ilvl w:val="0"/>
          <w:numId w:val="1"/>
        </w:numPr>
        <w:spacing w:line="360" w:lineRule="auto"/>
        <w:ind w:left="0" w:leftChars="0" w:firstLine="482" w:firstLineChars="200"/>
        <w:contextualSpacing/>
        <w:outlineLvl w:val="2"/>
        <w:rPr>
          <w:rFonts w:hint="eastAsia" w:ascii="宋体" w:hAnsi="宋体" w:eastAsia="宋体" w:cs="黑体"/>
          <w:sz w:val="24"/>
          <w:highlight w:val="none"/>
        </w:rPr>
      </w:pP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在此确认</w:t>
      </w:r>
      <w:r>
        <w:rPr>
          <w:rFonts w:hint="eastAsia" w:ascii="宋体" w:hAnsi="宋体" w:eastAsia="宋体" w:cs="黑体"/>
          <w:b/>
          <w:bCs/>
          <w:sz w:val="24"/>
          <w:highlight w:val="none"/>
          <w:lang w:val="en-US" w:eastAsia="zh-CN"/>
        </w:rPr>
        <w:t>销售机构</w:t>
      </w:r>
      <w:r>
        <w:rPr>
          <w:rFonts w:hint="eastAsia" w:ascii="宋体" w:hAnsi="宋体" w:eastAsia="宋体" w:cs="黑体"/>
          <w:b/>
          <w:bCs/>
          <w:sz w:val="24"/>
          <w:highlight w:val="none"/>
        </w:rPr>
        <w:t>的系统记录以及录音、录像构成对</w:t>
      </w: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操作行为（包括但不限于购买、赎回、撤单）的有效证据，并且在</w:t>
      </w:r>
      <w:r>
        <w:rPr>
          <w:rFonts w:hint="eastAsia" w:ascii="宋体" w:hAnsi="宋体" w:eastAsia="宋体" w:cs="黑体"/>
          <w:b/>
          <w:bCs/>
          <w:sz w:val="24"/>
          <w:highlight w:val="none"/>
          <w:lang w:val="en-US" w:eastAsia="zh-CN"/>
        </w:rPr>
        <w:t>双</w:t>
      </w:r>
      <w:r>
        <w:rPr>
          <w:rFonts w:hint="eastAsia" w:ascii="宋体" w:hAnsi="宋体" w:eastAsia="宋体" w:cs="黑体"/>
          <w:b/>
          <w:bCs/>
          <w:sz w:val="24"/>
          <w:highlight w:val="none"/>
        </w:rPr>
        <w:t>方发生争议时可以作为合法有效的证据使用</w:t>
      </w:r>
      <w:r>
        <w:rPr>
          <w:rFonts w:hint="eastAsia" w:ascii="宋体" w:hAnsi="宋体" w:eastAsia="宋体" w:cs="黑体"/>
          <w:sz w:val="24"/>
          <w:highlight w:val="none"/>
          <w:lang w:eastAsia="zh-CN"/>
        </w:rPr>
        <w:t>。</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因有权机关依法采取强制措施导致理财份额、理财账户、授权指定账户被冻结或扣划的，</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对此不承担任何责任。 </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rPr>
        <w:t>在本理财计划存续期内，如有权机关要求</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配合对投资者理财份额、理财账户、授权指定账户进行查封、冻结或扣划的，</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有权根据实际情况采取</w:t>
      </w:r>
      <w:r>
        <w:rPr>
          <w:rFonts w:hint="eastAsia" w:ascii="宋体" w:hAnsi="宋体" w:eastAsia="宋体" w:cs="黑体"/>
          <w:sz w:val="24"/>
          <w:highlight w:val="none"/>
          <w:lang w:val="en-US" w:eastAsia="zh-CN"/>
        </w:rPr>
        <w:t>相应</w:t>
      </w:r>
      <w:r>
        <w:rPr>
          <w:rFonts w:hint="eastAsia" w:ascii="宋体" w:hAnsi="宋体" w:eastAsia="宋体" w:cs="黑体"/>
          <w:sz w:val="24"/>
          <w:highlight w:val="none"/>
        </w:rPr>
        <w:t>措施。</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对上述后果不承担任何责任。 </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本协议终止前，投资者不得将授权指定账户销户。若发生因投资者注销授权指定账户造成理财计划无法正常兑付的，</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不承担任何责任。</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投资者应确保其提供的所有资料真实、完整、合法、有效，如果有任何变更，投资者应及时通知</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并办理变更手续。如因投资者未及时通知</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并办理相应的变更手续，由此导致的一切后果由投资者自行承担，</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对此不承担任何责任。 </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lang w:val="en-US" w:eastAsia="zh-CN"/>
        </w:rPr>
        <w:t>投资者</w:t>
      </w:r>
      <w:r>
        <w:rPr>
          <w:rFonts w:hint="eastAsia" w:ascii="宋体" w:hAnsi="宋体" w:eastAsia="宋体" w:cs="黑体"/>
          <w:sz w:val="24"/>
          <w:highlight w:val="none"/>
        </w:rPr>
        <w:t>对本协议及其条款负有保密义务，未经</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书面许可，不得向任何组织、个人提供或泄露与</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有关的业务资料及信息，但法律、法规另有规定的除外</w:t>
      </w:r>
      <w:r>
        <w:rPr>
          <w:rFonts w:hint="eastAsia" w:ascii="宋体" w:hAnsi="宋体" w:eastAsia="宋体" w:cs="黑体"/>
          <w:sz w:val="24"/>
          <w:highlight w:val="none"/>
          <w:lang w:eastAsia="zh-CN"/>
        </w:rPr>
        <w:t>。</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rPr>
        <w:t>投资者进行投资时，应严格遵守反洗钱相关法规的规定，切实履行反洗钱及反恐怖融资义务。</w:t>
      </w:r>
    </w:p>
    <w:p>
      <w:pPr>
        <w:widowControl/>
        <w:numPr>
          <w:ilvl w:val="0"/>
          <w:numId w:val="1"/>
        </w:numPr>
        <w:spacing w:line="360" w:lineRule="auto"/>
        <w:ind w:left="0" w:leftChars="0" w:firstLine="482" w:firstLineChars="200"/>
        <w:contextualSpacing/>
        <w:outlineLvl w:val="2"/>
        <w:rPr>
          <w:rFonts w:hint="eastAsia" w:ascii="宋体" w:hAnsi="宋体" w:eastAsia="宋体" w:cs="黑体"/>
          <w:b/>
          <w:bCs/>
          <w:sz w:val="24"/>
          <w:highlight w:val="none"/>
          <w:lang w:val="en-US" w:eastAsia="zh-CN"/>
        </w:rPr>
      </w:pPr>
      <w:r>
        <w:rPr>
          <w:rFonts w:hint="eastAsia" w:ascii="宋体" w:hAnsi="宋体" w:eastAsia="宋体" w:cs="黑体"/>
          <w:b/>
          <w:bCs/>
          <w:sz w:val="24"/>
          <w:highlight w:val="none"/>
          <w:lang w:val="en-US" w:eastAsia="zh-CN"/>
        </w:rPr>
        <w:t>投资者个人信息授权</w:t>
      </w:r>
    </w:p>
    <w:p>
      <w:pPr>
        <w:widowControl/>
        <w:numPr>
          <w:ilvl w:val="0"/>
          <w:numId w:val="0"/>
        </w:numPr>
        <w:spacing w:line="360" w:lineRule="auto"/>
        <w:ind w:left="0" w:leftChars="0" w:firstLine="482" w:firstLineChars="200"/>
        <w:contextualSpacing/>
        <w:rPr>
          <w:rFonts w:hint="eastAsia" w:ascii="宋体" w:hAnsi="宋体" w:eastAsia="宋体" w:cs="黑体"/>
          <w:b/>
          <w:bCs/>
          <w:sz w:val="24"/>
          <w:highlight w:val="none"/>
          <w:lang w:val="en-US" w:eastAsia="zh-CN"/>
        </w:rPr>
      </w:pPr>
      <w:r>
        <w:rPr>
          <w:rFonts w:hint="eastAsia" w:ascii="宋体" w:hAnsi="宋体" w:eastAsia="宋体" w:cs="黑体"/>
          <w:b/>
          <w:bCs/>
          <w:sz w:val="24"/>
          <w:highlight w:val="none"/>
          <w:lang w:val="en-US" w:eastAsia="zh-CN"/>
        </w:rPr>
        <w:t>基于销售机构履行本协议、进行服务管理和风险管理、报送监管信息等需要，履行反洗钱、投资者资质审核和销售适当性等法律法规和监管要求的义务，投资者在此同意并授权销售机构在业务办理或履行过程中收集、存储、使用、加工、传输包括但不限于下述投资者个人信息：个人身份信息、联络方式、财产信息、账户信息、风险偏好与投资目标、其他与业务相关的个人信息以及法律法规规定的其他必要信息。</w:t>
      </w:r>
    </w:p>
    <w:p>
      <w:pPr>
        <w:widowControl/>
        <w:numPr>
          <w:ilvl w:val="0"/>
          <w:numId w:val="1"/>
        </w:numPr>
        <w:spacing w:line="360" w:lineRule="auto"/>
        <w:ind w:left="0" w:leftChars="0" w:firstLine="482" w:firstLineChars="200"/>
        <w:contextualSpacing/>
        <w:outlineLvl w:val="2"/>
        <w:rPr>
          <w:rFonts w:hint="eastAsia" w:ascii="宋体" w:hAnsi="宋体" w:eastAsia="宋体" w:cs="黑体"/>
          <w:b/>
          <w:bCs/>
          <w:sz w:val="24"/>
          <w:highlight w:val="none"/>
          <w:lang w:val="en-US" w:eastAsia="zh-CN"/>
        </w:rPr>
      </w:pPr>
      <w:r>
        <w:rPr>
          <w:rFonts w:hint="eastAsia" w:ascii="宋体" w:hAnsi="宋体" w:eastAsia="宋体" w:cs="黑体"/>
          <w:b/>
          <w:bCs/>
          <w:sz w:val="24"/>
          <w:highlight w:val="none"/>
          <w:lang w:val="en-US" w:eastAsia="zh-CN"/>
        </w:rPr>
        <w:t>投</w:t>
      </w:r>
      <w:r>
        <w:rPr>
          <w:rFonts w:hint="eastAsia" w:ascii="宋体" w:hAnsi="宋体"/>
          <w:b/>
          <w:bCs/>
          <w:sz w:val="24"/>
          <w:highlight w:val="none"/>
        </w:rPr>
        <w:t>资者同意关于杭银理财发行且被评定为中高风险及以上的理财计划，可通过经杭银理财认可的销售渠道（含线上渠道和线下渠道等）进行交易。如通过线上渠道办理，投资者知晓并确认自身对于上述理财计划的特性及风险有充分的了解与判断。如销售机构有相关规定的，则应以销售机构的要求为准。</w:t>
      </w:r>
    </w:p>
    <w:p>
      <w:pPr>
        <w:widowControl/>
        <w:numPr>
          <w:ilvl w:val="0"/>
          <w:numId w:val="0"/>
        </w:numPr>
        <w:spacing w:line="360" w:lineRule="auto"/>
        <w:ind w:left="0" w:leftChars="0" w:firstLine="482" w:firstLineChars="200"/>
        <w:contextualSpacing/>
        <w:rPr>
          <w:rFonts w:hint="default"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第三条 </w:t>
      </w:r>
      <w:r>
        <w:rPr>
          <w:rFonts w:hint="eastAsia" w:ascii="Calibri" w:hAnsi="Calibri" w:eastAsia="宋体" w:cs="黑体"/>
          <w:b/>
          <w:bCs/>
          <w:sz w:val="24"/>
          <w:highlight w:val="none"/>
          <w:lang w:val="en-US" w:eastAsia="zh-CN"/>
        </w:rPr>
        <w:t>销售机构的权利与义务</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对拟销售的理财计划开展尽职调查，承担审批职责，并纳入本机构统一专门名单管理，不得仅以管理人相关产品资料或其出具意见作为审批依据。销售机构应当根据本机构的方式和方法，独立、审慎地对代理销售的理财计划进行销售评级。销售评级与管理人产品评级结果不一致的，销售机构应当采用对应较高风险等级的评级结果并予以披露。</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2"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b/>
          <w:bCs/>
          <w:sz w:val="24"/>
          <w:highlight w:val="none"/>
          <w:lang w:val="en-US" w:eastAsia="zh-CN"/>
        </w:rPr>
        <w:t>代理销售机构非本计划的发行、管理机构，对本计划的业绩不承担任何保证和其他经济责任，不承担本计划的投资、兑付和风险管理责任</w:t>
      </w:r>
      <w:r>
        <w:rPr>
          <w:rFonts w:hint="eastAsia" w:ascii="宋体" w:hAnsi="宋体" w:eastAsia="宋体" w:cs="黑体"/>
          <w:sz w:val="24"/>
          <w:highlight w:val="none"/>
          <w:lang w:val="en-US" w:eastAsia="zh-CN"/>
        </w:rPr>
        <w:t>。</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contextualSpacing/>
        <w:jc w:val="both"/>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销售机构应定期对购买其代理销售的理财计划的非机构投资者进行有效风险承受能力评估，并保证向投资者推介及销售与其风险承受能力匹配的产品。</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对于通过营业网点向非机构投资者销售理财计划的，销售机构应按照监管规定实施理财计划销售专区管理，对销售专区设置明显标识，并在销售专区内对每只理财计划销售过程进行录音录像。除非与非机构投资者当面书面约定，评级为四级以上理财计划的销售，应当在营业网点进行。</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contextualSpacing/>
        <w:jc w:val="both"/>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销售机构不得擅自使用未经管理人授权或审核同意的理财计划宣传推介材料，在全国银行业理财信息登记系统对理财计划进行登记并获得登记编码前，不得发布理财计划宣传推介材料或办理理财计划销售业务。</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销售机构应建立健全上岗资格、持续培训、信息公示与查询核实等制度并有效执行。未经销售机构进行上岗资格认定并签订劳动合同，任何人员不得从事理财计划销售业务活动。</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销售机构应对所有销售人员信息进行登记和公示。销售人员在向投资者宣传销售理财计划前进行自我介绍并告知信息查询和核实渠道，便于投资者查询核实，防止伪冒身份和虚假宣传。</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销售机构对投资者负有信息保密义务，未经投资者书面许可，乙方不得向任何组织、个人提供或泄露与甲方有关的业务资料及信息，但法律、法规另有规定的除外。</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销售机构应按照法律法规、监管规定、理财计划合同的约定收取销售费用，并如实核算、记账。未经载明，不得对不同投资者适用不同费率。</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理财计划销售结算资金属于理财计划投资者，销售机构不得挪用理财计划销售结算资金或将理财计划销售结算资金归入自有资产。</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销售机构应遵守相关法律、法规、监管规定及理财计划合同约定，诚实守信、勤勉尽责，向购买理财计划的投资者充分传递管理人披露的产品相关信息并进行充分的风险揭示。</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销售机构应当充分利用科技手段，加强对伪冒网站、伪冒产品等监测，有效防范各类欺诈风险。</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82" w:firstLine="0"/>
        <w:contextualSpacing/>
        <w:jc w:val="left"/>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第四条 </w:t>
      </w:r>
      <w:r>
        <w:rPr>
          <w:rFonts w:hint="eastAsia" w:ascii="Calibri" w:hAnsi="Calibri" w:eastAsia="宋体" w:cs="黑体"/>
          <w:b/>
          <w:bCs/>
          <w:sz w:val="24"/>
          <w:highlight w:val="none"/>
          <w:lang w:val="en-US" w:eastAsia="zh-CN"/>
        </w:rPr>
        <w:t>理财计划认（申）购、赎回及终止</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 xml:space="preserve">理财计划认/申购办理流程：参照投资者权益须知约定。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理财计划认/申购确认：管理人根据</w:t>
      </w:r>
      <w:r>
        <w:rPr>
          <w:rFonts w:hint="eastAsia" w:ascii="宋体" w:hAnsi="宋体" w:eastAsia="宋体" w:cs="黑体"/>
          <w:sz w:val="24"/>
          <w:highlight w:val="none"/>
          <w:lang w:eastAsia="zh-CN"/>
        </w:rPr>
        <w:t>销售</w:t>
      </w:r>
      <w:r>
        <w:rPr>
          <w:rFonts w:hint="eastAsia" w:ascii="宋体" w:hAnsi="宋体" w:eastAsia="宋体" w:cs="黑体"/>
          <w:sz w:val="24"/>
          <w:highlight w:val="none"/>
        </w:rPr>
        <w:t>渠道提供的交易信息及资金划付对投资者相应认/申购进行确认。</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理财计划不成立：若在募集期结束日，本理财计划发行规模未能达到对应期次的理财计划产品说明书规定的要求，则本理财计划不成立，</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 xml:space="preserve">将按对应期次的理财计划产品说明书约定条款向投资者进行公告，并将及时解除对投资者授权指定账户中认购资金的冻结。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 xml:space="preserve">理财计划投资品种、投资起点金额、收益支付方式：参照对应期次的理财计划产品说明书中的条款约定。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理财计划赎回/终止兑付：在正常情况下，管理人和</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将按照对应期次的理财计划产品说明书相关约定，将兑付款项划入投资者授权指定账户。如出现不可抗力、市场停市或管制等异常事件、交易对手违约或其他非管理人主导、仅能被动接受的外部事件或客观情形，导致理财计划无法按约定日清算时，或根据</w:t>
      </w:r>
      <w:r>
        <w:rPr>
          <w:rFonts w:hint="eastAsia" w:ascii="宋体" w:hAnsi="宋体" w:eastAsia="宋体" w:cs="黑体"/>
          <w:sz w:val="24"/>
          <w:highlight w:val="none"/>
          <w:lang w:val="en-US" w:eastAsia="zh-CN"/>
        </w:rPr>
        <w:t>理财计划</w:t>
      </w:r>
      <w:r>
        <w:rPr>
          <w:rFonts w:hint="eastAsia" w:ascii="宋体" w:hAnsi="宋体" w:eastAsia="宋体" w:cs="黑体"/>
          <w:sz w:val="24"/>
          <w:highlight w:val="none"/>
        </w:rPr>
        <w:t>产品说明书约定管理人对理财计划进行延期或转换时，</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将于原约定清算日前通过信息披露途径及时通知，并根据实际情况进行后续处理。</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rPr>
        <w:t>资金清算：理财计划终止或份额赎回时，管理人按理财计划合同约定划付至</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清算账户后，由</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向投资者划付投资者应得资金。如因投资者清算账户余额不足，或</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未及时足额划付资金，或</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清算账户内资金被依法冻结或扣划，或</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清算账户处于被挂失、冻结、注销或其他非正常状态等原因而导致交易失败</w:t>
      </w:r>
      <w:r>
        <w:rPr>
          <w:rFonts w:hint="eastAsia" w:ascii="宋体" w:hAnsi="宋体" w:eastAsia="宋体" w:cs="黑体"/>
          <w:sz w:val="24"/>
          <w:highlight w:val="none"/>
          <w:lang w:eastAsia="zh-CN"/>
        </w:rPr>
        <w:t>，</w:t>
      </w:r>
      <w:r>
        <w:rPr>
          <w:rFonts w:hint="eastAsia" w:ascii="宋体" w:hAnsi="宋体" w:eastAsia="宋体" w:cs="黑体"/>
          <w:sz w:val="24"/>
          <w:highlight w:val="none"/>
        </w:rPr>
        <w:t>对于因上述原因导致的交易失败可能带来的任何损失及预期损失，投资者须自行承担或向</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依法主张。</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204" w:leftChars="85" w:firstLine="0" w:firstLineChars="0"/>
        <w:contextualSpacing/>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第五条 </w:t>
      </w:r>
      <w:r>
        <w:rPr>
          <w:rFonts w:hint="eastAsia" w:ascii="Calibri" w:hAnsi="Calibri" w:eastAsia="宋体" w:cs="黑体"/>
          <w:b/>
          <w:bCs/>
          <w:sz w:val="24"/>
          <w:highlight w:val="none"/>
          <w:lang w:val="en-US" w:eastAsia="zh-CN"/>
        </w:rPr>
        <w:t>违约责任及免责条款</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若因</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原因导致司法或行政</w:t>
      </w:r>
      <w:r>
        <w:rPr>
          <w:rFonts w:hint="eastAsia" w:ascii="宋体" w:hAnsi="宋体" w:eastAsia="宋体" w:cs="黑体"/>
          <w:sz w:val="24"/>
          <w:highlight w:val="none"/>
          <w:lang w:eastAsia="zh-CN"/>
        </w:rPr>
        <w:t>等有权机关</w:t>
      </w:r>
      <w:r>
        <w:rPr>
          <w:rFonts w:hint="eastAsia" w:ascii="宋体" w:hAnsi="宋体" w:eastAsia="宋体" w:cs="黑体"/>
          <w:sz w:val="24"/>
          <w:highlight w:val="none"/>
        </w:rPr>
        <w:t>采取强制措施对其理财本金、收益进行部分或全部被扣划，均视投资者本人就全部理财本金进行了提前</w:t>
      </w:r>
      <w:r>
        <w:rPr>
          <w:rFonts w:hint="eastAsia" w:ascii="宋体" w:hAnsi="宋体" w:eastAsia="宋体" w:cs="黑体"/>
          <w:sz w:val="24"/>
          <w:highlight w:val="none"/>
          <w:lang w:eastAsia="zh-CN"/>
        </w:rPr>
        <w:t>赎回</w:t>
      </w:r>
      <w:r>
        <w:rPr>
          <w:rFonts w:hint="eastAsia" w:ascii="宋体" w:hAnsi="宋体" w:eastAsia="宋体" w:cs="黑体"/>
          <w:sz w:val="24"/>
          <w:highlight w:val="none"/>
        </w:rPr>
        <w:t>，本</w:t>
      </w:r>
      <w:r>
        <w:rPr>
          <w:rFonts w:hint="eastAsia" w:ascii="宋体" w:hAnsi="宋体" w:eastAsia="宋体" w:cs="黑体"/>
          <w:sz w:val="24"/>
          <w:highlight w:val="none"/>
          <w:lang w:eastAsia="zh-CN"/>
        </w:rPr>
        <w:t>协议</w:t>
      </w:r>
      <w:r>
        <w:rPr>
          <w:rFonts w:hint="eastAsia" w:ascii="宋体" w:hAnsi="宋体" w:eastAsia="宋体" w:cs="黑体"/>
          <w:sz w:val="24"/>
          <w:highlight w:val="none"/>
        </w:rPr>
        <w:t>自动终止。因提前终止而产生的损失及相关费用由投资者承担。本</w:t>
      </w:r>
      <w:r>
        <w:rPr>
          <w:rFonts w:hint="eastAsia" w:ascii="宋体" w:hAnsi="宋体" w:eastAsia="宋体" w:cs="黑体"/>
          <w:sz w:val="24"/>
          <w:highlight w:val="none"/>
          <w:lang w:eastAsia="zh-CN"/>
        </w:rPr>
        <w:t>协议因</w:t>
      </w:r>
      <w:r>
        <w:rPr>
          <w:rFonts w:hint="eastAsia" w:ascii="宋体" w:hAnsi="宋体" w:eastAsia="宋体" w:cs="黑体"/>
          <w:sz w:val="24"/>
          <w:highlight w:val="none"/>
        </w:rPr>
        <w:t>前述情况终止的，理财本金不计付</w:t>
      </w:r>
      <w:r>
        <w:rPr>
          <w:rFonts w:hint="eastAsia" w:ascii="宋体" w:hAnsi="宋体" w:eastAsia="宋体" w:cs="黑体"/>
          <w:sz w:val="24"/>
          <w:highlight w:val="none"/>
          <w:lang w:eastAsia="zh-CN"/>
        </w:rPr>
        <w:t>赎回</w:t>
      </w:r>
      <w:r>
        <w:rPr>
          <w:rFonts w:hint="eastAsia" w:ascii="宋体" w:hAnsi="宋体" w:eastAsia="宋体" w:cs="黑体"/>
          <w:sz w:val="24"/>
          <w:highlight w:val="none"/>
        </w:rPr>
        <w:t>日前的理财收益，也不计付存款利息。</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投资者违反本协议第二条内容，应承担相应违约责任。</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对由此导致的理财业务交易延误、中断、终止及</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损失不承担任何责任，并有权单方终止双方理财业务关系。因</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违反双方约定给</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或全体投资者造成损失的，</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应承担相应的赔偿责任。</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若由于</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过错导致理财计划资产发生损失，</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应按其过错承担赔偿责任，</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赔偿的款项计入理财计划的资产和收益。</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由于地震、火灾、战争等不可抗力或突发重大卫生公共事件等不可预测事件造成的交易中断、延误等风险及损失，</w:t>
      </w:r>
      <w:r>
        <w:rPr>
          <w:rFonts w:hint="eastAsia" w:ascii="宋体" w:hAnsi="宋体" w:cs="黑体"/>
          <w:sz w:val="24"/>
          <w:highlight w:val="none"/>
          <w:lang w:eastAsia="zh-CN"/>
        </w:rPr>
        <w:t>销售机构</w:t>
      </w:r>
      <w:r>
        <w:rPr>
          <w:rFonts w:hint="eastAsia" w:ascii="宋体" w:hAnsi="宋体" w:eastAsia="宋体" w:cs="黑体"/>
          <w:sz w:val="24"/>
          <w:highlight w:val="none"/>
        </w:rPr>
        <w:t>不承担责任；但</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应在上述情况发生</w:t>
      </w:r>
      <w:r>
        <w:rPr>
          <w:rFonts w:hint="eastAsia" w:ascii="宋体" w:hAnsi="宋体" w:eastAsia="宋体" w:cs="黑体"/>
          <w:sz w:val="24"/>
          <w:highlight w:val="none"/>
          <w:lang w:eastAsia="zh-CN"/>
        </w:rPr>
        <w:t>后</w:t>
      </w:r>
      <w:r>
        <w:rPr>
          <w:rFonts w:hint="eastAsia" w:ascii="宋体" w:hAnsi="宋体" w:eastAsia="宋体" w:cs="黑体"/>
          <w:sz w:val="24"/>
          <w:highlight w:val="none"/>
        </w:rPr>
        <w:t>在条件允许时及时通知</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并采取一切必要且可能的措施阻止损失扩大。</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因国家有关法律、法规、规章、政策的修改或新的法律、法规、规章、政策颁布以及紧急措施的出台导致的风险及损失，</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不承担责任。</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hint="eastAsia" w:ascii="宋体" w:hAnsi="宋体" w:eastAsia="宋体" w:cs="黑体"/>
          <w:b/>
          <w:bCs/>
          <w:sz w:val="24"/>
          <w:highlight w:val="none"/>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第六条 </w:t>
      </w:r>
      <w:r>
        <w:rPr>
          <w:rFonts w:hint="eastAsia" w:ascii="Calibri" w:hAnsi="Calibri" w:eastAsia="宋体" w:cs="黑体"/>
          <w:b/>
          <w:bCs/>
          <w:sz w:val="24"/>
          <w:highlight w:val="none"/>
          <w:lang w:val="en-US" w:eastAsia="zh-CN"/>
        </w:rPr>
        <w:t>适用法律与争议解决</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本协议适用中华人民共和国（仅为明确本合同适用法律规则，不含香港特别行政区、澳门特别行政区及中国台湾地区）的法律和行政法规。本协议项下的及与之有关的一切争议，投资者与销售机构双方应首先协商解决，协商不成的，应提交销售机构或管理人所在地人民法院诉讼解决。诉讼期间，未涉及争议的条款仍需继续履行。</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82" w:firstLineChars="200"/>
        <w:contextualSpacing/>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第七条 </w:t>
      </w:r>
      <w:r>
        <w:rPr>
          <w:rFonts w:hint="eastAsia" w:ascii="Calibri" w:hAnsi="Calibri" w:eastAsia="宋体" w:cs="黑体"/>
          <w:b/>
          <w:bCs/>
          <w:sz w:val="24"/>
          <w:highlight w:val="none"/>
          <w:lang w:val="en-US" w:eastAsia="zh-CN"/>
        </w:rPr>
        <w:t>协议生效和终止</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投资者和</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双方认可本协议可以纸质或电子数据等形式提交、订立或确认。 </w:t>
      </w:r>
    </w:p>
    <w:p>
      <w:pPr>
        <w:keepNext w:val="0"/>
        <w:keepLines w:val="0"/>
        <w:pageBreakBefore w:val="0"/>
        <w:widowControl/>
        <w:numPr>
          <w:ilvl w:val="0"/>
          <w:numId w:val="6"/>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本协议书以纸质书面形式订立的，自投资者签字和销售机构签章之后立即生效。协议一式</w:t>
      </w:r>
      <w:r>
        <w:rPr>
          <w:rFonts w:hint="eastAsia" w:ascii="宋体" w:hAnsi="宋体" w:eastAsia="宋体" w:cs="黑体"/>
          <w:sz w:val="24"/>
          <w:highlight w:val="none"/>
          <w:lang w:val="en-US" w:eastAsia="zh-CN"/>
        </w:rPr>
        <w:t>叁</w:t>
      </w:r>
      <w:r>
        <w:rPr>
          <w:rFonts w:hint="eastAsia" w:ascii="宋体" w:hAnsi="宋体" w:eastAsia="宋体" w:cs="黑体"/>
          <w:sz w:val="24"/>
          <w:highlight w:val="none"/>
        </w:rPr>
        <w:t>份，投资者</w:t>
      </w:r>
      <w:r>
        <w:rPr>
          <w:rFonts w:hint="eastAsia" w:ascii="宋体" w:hAnsi="宋体" w:eastAsia="宋体" w:cs="黑体"/>
          <w:sz w:val="24"/>
          <w:highlight w:val="none"/>
          <w:lang w:eastAsia="zh-CN"/>
        </w:rPr>
        <w:t>、</w:t>
      </w:r>
      <w:r>
        <w:rPr>
          <w:rFonts w:hint="eastAsia" w:ascii="宋体" w:hAnsi="宋体" w:eastAsia="宋体" w:cs="黑体"/>
          <w:sz w:val="24"/>
          <w:highlight w:val="none"/>
          <w:lang w:val="en-US" w:eastAsia="zh-CN"/>
        </w:rPr>
        <w:t>管理人</w:t>
      </w:r>
      <w:r>
        <w:rPr>
          <w:rFonts w:hint="eastAsia" w:ascii="宋体" w:hAnsi="宋体" w:eastAsia="宋体" w:cs="黑体"/>
          <w:sz w:val="24"/>
          <w:highlight w:val="none"/>
        </w:rPr>
        <w:t>和</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各执壹份，具有同等法律效力。 </w:t>
      </w:r>
    </w:p>
    <w:p>
      <w:pPr>
        <w:keepNext w:val="0"/>
        <w:keepLines w:val="0"/>
        <w:pageBreakBefore w:val="0"/>
        <w:widowControl/>
        <w:numPr>
          <w:ilvl w:val="0"/>
          <w:numId w:val="6"/>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rPr>
        <w:t>本协议书以数据电文形式订立的，投资者在销售机构的电子银行</w:t>
      </w:r>
      <w:r>
        <w:rPr>
          <w:rFonts w:hint="eastAsia" w:ascii="宋体" w:hAnsi="宋体" w:eastAsia="宋体" w:cs="黑体"/>
          <w:sz w:val="24"/>
          <w:highlight w:val="none"/>
          <w:lang w:eastAsia="zh-CN"/>
        </w:rPr>
        <w:t>渠道</w:t>
      </w:r>
      <w:r>
        <w:rPr>
          <w:rFonts w:hint="eastAsia" w:ascii="宋体" w:hAnsi="宋体" w:eastAsia="宋体" w:cs="黑体"/>
          <w:sz w:val="24"/>
          <w:highlight w:val="none"/>
        </w:rPr>
        <w:t>（包括但不限于网上银行、手机银行或监管机构认可的其他销售渠道）点击购买理财计划，投资者使用的身份认证要素或其他安全措施完成的一切交易视为投资者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pPr>
        <w:keepNext w:val="0"/>
        <w:keepLines w:val="0"/>
        <w:pageBreakBefore w:val="0"/>
        <w:widowControl/>
        <w:numPr>
          <w:ilvl w:val="0"/>
          <w:numId w:val="6"/>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rPr>
        <w:t>投资者和</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双方在本协议及对应期次的理财计划产品说明书项下权利义务履行完毕之日，本协议自动终止。</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firstLine="0"/>
        <w:contextualSpacing/>
        <w:textAlignment w:val="auto"/>
        <w:rPr>
          <w:rFonts w:hint="eastAsia" w:ascii="宋体" w:hAnsi="宋体" w:eastAsia="宋体" w:cs="黑体"/>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val="0"/>
          <w:sz w:val="24"/>
          <w:highlight w:val="none"/>
          <w:lang w:val="en-US" w:eastAsia="zh-CN"/>
        </w:rPr>
      </w:pPr>
      <w:r>
        <w:rPr>
          <w:rFonts w:hint="eastAsia" w:eastAsia="宋体" w:cs="黑体"/>
          <w:b/>
          <w:bCs w:val="0"/>
          <w:sz w:val="24"/>
          <w:highlight w:val="none"/>
          <w:lang w:val="en-US" w:eastAsia="zh-CN"/>
        </w:rPr>
        <w:t xml:space="preserve">第八条 </w:t>
      </w:r>
      <w:r>
        <w:rPr>
          <w:rFonts w:hint="eastAsia" w:ascii="Calibri" w:hAnsi="Calibri" w:eastAsia="宋体" w:cs="黑体"/>
          <w:b/>
          <w:bCs w:val="0"/>
          <w:sz w:val="24"/>
          <w:highlight w:val="none"/>
          <w:lang w:val="en-US" w:eastAsia="zh-CN"/>
        </w:rPr>
        <w:t xml:space="preserve">附则 </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如果投资者与</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之间存在多份理财计划</w:t>
      </w:r>
      <w:r>
        <w:rPr>
          <w:rFonts w:hint="eastAsia" w:ascii="宋体" w:hAnsi="宋体" w:eastAsia="宋体" w:cs="黑体"/>
          <w:sz w:val="24"/>
          <w:highlight w:val="none"/>
          <w:lang w:val="en-US" w:eastAsia="zh-CN"/>
        </w:rPr>
        <w:t>销售</w:t>
      </w:r>
      <w:r>
        <w:rPr>
          <w:rFonts w:hint="eastAsia" w:ascii="宋体" w:hAnsi="宋体" w:eastAsia="宋体" w:cs="黑体"/>
          <w:sz w:val="24"/>
          <w:highlight w:val="none"/>
        </w:rPr>
        <w:t>协议书，则每一协议书分别与其所对应的</w:t>
      </w:r>
      <w:r>
        <w:rPr>
          <w:rFonts w:hint="eastAsia" w:ascii="宋体" w:hAnsi="宋体" w:eastAsia="宋体" w:cs="黑体"/>
          <w:sz w:val="24"/>
          <w:highlight w:val="none"/>
          <w:lang w:val="en-US" w:eastAsia="zh-CN"/>
        </w:rPr>
        <w:t>理财计划</w:t>
      </w:r>
      <w:r>
        <w:rPr>
          <w:rFonts w:hint="eastAsia" w:ascii="宋体" w:hAnsi="宋体" w:eastAsia="宋体" w:cs="黑体"/>
          <w:sz w:val="24"/>
          <w:highlight w:val="none"/>
        </w:rPr>
        <w:t>产品说明书等销售文本单独构成一个理财计划合同，各个合同之间互相独立，每一合同的效力及履行情况均独立于其他合同。</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如果由于任何原因使本合同下的任何条款或内容成为无效或被依法撤销，本合同其他条款或内容的合法性、有效性和可执行性不受影响。</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在理财计划存续期内，如因监管政策或法律法规发生变化，在不损害投资者利益的前提下，</w:t>
      </w:r>
      <w:r>
        <w:rPr>
          <w:rFonts w:hint="eastAsia" w:ascii="宋体" w:hAnsi="宋体" w:eastAsia="宋体" w:cs="黑体"/>
          <w:sz w:val="24"/>
          <w:highlight w:val="none"/>
          <w:lang w:val="en-US" w:eastAsia="zh-CN"/>
        </w:rPr>
        <w:t>管理人</w:t>
      </w:r>
      <w:r>
        <w:rPr>
          <w:rFonts w:hint="eastAsia" w:ascii="宋体" w:hAnsi="宋体" w:eastAsia="宋体" w:cs="黑体"/>
          <w:sz w:val="24"/>
          <w:highlight w:val="none"/>
        </w:rPr>
        <w:t>有权单方对理财计划</w:t>
      </w:r>
      <w:r>
        <w:rPr>
          <w:rFonts w:hint="default" w:ascii="宋体" w:hAnsi="宋体" w:eastAsia="宋体" w:cs="黑体"/>
          <w:sz w:val="24"/>
          <w:highlight w:val="none"/>
          <w:lang w:val="en-US"/>
        </w:rPr>
        <w:t>合同</w:t>
      </w:r>
      <w:r>
        <w:rPr>
          <w:rFonts w:hint="eastAsia" w:ascii="宋体" w:hAnsi="宋体" w:eastAsia="宋体" w:cs="黑体"/>
          <w:sz w:val="24"/>
          <w:highlight w:val="none"/>
          <w:lang w:val="en-US" w:eastAsia="zh-CN"/>
        </w:rPr>
        <w:t>销售文件</w:t>
      </w:r>
      <w:r>
        <w:rPr>
          <w:rFonts w:hint="eastAsia" w:ascii="宋体" w:hAnsi="宋体" w:eastAsia="宋体" w:cs="黑体"/>
          <w:sz w:val="24"/>
          <w:highlight w:val="none"/>
        </w:rPr>
        <w:t>进行修订。</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hint="eastAsia" w:ascii="宋体" w:hAnsi="宋体" w:eastAsia="宋体" w:cs="黑体"/>
          <w:sz w:val="24"/>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widowControl/>
        <w:spacing w:line="360" w:lineRule="auto"/>
        <w:jc w:val="right"/>
        <w:rPr>
          <w:rFonts w:hint="eastAsia" w:ascii="宋体" w:hAnsi="Wingdings" w:eastAsia="宋体" w:cs="宋体"/>
          <w:color w:val="000000"/>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杭银理财有限责任公司</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val="0"/>
          <w:bCs w:val="0"/>
          <w:sz w:val="24"/>
          <w:szCs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val="0"/>
          <w:bCs w:val="0"/>
          <w:sz w:val="24"/>
          <w:szCs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val="0"/>
          <w:bCs w:val="0"/>
          <w:sz w:val="24"/>
          <w:szCs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val="0"/>
          <w:bCs w:val="0"/>
          <w:sz w:val="24"/>
          <w:szCs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黑体"/>
          <w:b w:val="0"/>
          <w:bCs w:val="0"/>
          <w:sz w:val="24"/>
          <w:szCs w:val="24"/>
          <w:highlight w:val="none"/>
          <w:lang w:val="en-US" w:eastAsia="zh-CN"/>
        </w:rPr>
      </w:pPr>
      <w:bookmarkStart w:id="0" w:name="_GoBack"/>
      <w:bookmarkEnd w:id="0"/>
      <w:r>
        <w:rPr>
          <w:rFonts w:hint="eastAsia" w:ascii="宋体" w:hAnsi="宋体" w:eastAsia="宋体" w:cs="黑体"/>
          <w:b w:val="0"/>
          <w:bCs w:val="0"/>
          <w:sz w:val="24"/>
          <w:szCs w:val="24"/>
          <w:highlight w:val="none"/>
          <w:lang w:val="en-US" w:eastAsia="zh-CN"/>
        </w:rPr>
        <w:t>本页为</w:t>
      </w:r>
      <w:r>
        <w:rPr>
          <w:rFonts w:hint="eastAsia" w:ascii="宋体" w:hAnsi="宋体" w:eastAsia="宋体" w:cs="黑体"/>
          <w:b w:val="0"/>
          <w:bCs w:val="0"/>
          <w:sz w:val="24"/>
          <w:szCs w:val="24"/>
          <w:highlight w:val="none"/>
        </w:rPr>
        <w:t>纸质</w:t>
      </w:r>
      <w:r>
        <w:rPr>
          <w:rFonts w:hint="eastAsia" w:ascii="宋体" w:hAnsi="宋体" w:eastAsia="宋体" w:cs="黑体"/>
          <w:b w:val="0"/>
          <w:bCs w:val="0"/>
          <w:sz w:val="24"/>
          <w:szCs w:val="24"/>
          <w:highlight w:val="none"/>
          <w:lang w:val="en-US" w:eastAsia="zh-CN"/>
        </w:rPr>
        <w:t>形式（如有）销售协议书签章页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highlight w:val="none"/>
          <w:lang w:eastAsia="zh-CN"/>
        </w:rPr>
      </w:pPr>
      <w:r>
        <w:rPr>
          <w:rFonts w:hint="eastAsia" w:ascii="宋体" w:hAnsi="宋体" w:eastAsia="宋体" w:cs="黑体"/>
          <w:b/>
          <w:bCs/>
          <w:sz w:val="24"/>
          <w:highlight w:val="none"/>
        </w:rPr>
        <w:t>投资者</w:t>
      </w:r>
      <w:r>
        <w:rPr>
          <w:rFonts w:hint="eastAsia" w:ascii="宋体" w:hAnsi="宋体" w:eastAsia="宋体" w:cs="黑体"/>
          <w:b/>
          <w:bCs/>
          <w:sz w:val="24"/>
          <w:highlight w:val="none"/>
          <w:lang w:eastAsia="zh-CN"/>
        </w:rPr>
        <w:t>（</w:t>
      </w:r>
      <w:r>
        <w:rPr>
          <w:rFonts w:hint="eastAsia" w:ascii="宋体" w:hAnsi="宋体" w:eastAsia="宋体" w:cs="黑体"/>
          <w:b/>
          <w:bCs/>
          <w:sz w:val="24"/>
          <w:highlight w:val="none"/>
        </w:rPr>
        <w:t>签字</w:t>
      </w:r>
      <w:r>
        <w:rPr>
          <w:rFonts w:hint="eastAsia" w:ascii="宋体" w:hAnsi="宋体" w:eastAsia="宋体" w:cs="黑体"/>
          <w:b/>
          <w:bCs/>
          <w:sz w:val="24"/>
          <w:highlight w:val="none"/>
          <w:lang w:eastAsia="zh-CN"/>
        </w:rPr>
        <w:t>或签章）</w:t>
      </w:r>
      <w:r>
        <w:rPr>
          <w:rFonts w:hint="eastAsia" w:ascii="宋体" w:hAnsi="宋体" w:eastAsia="宋体" w:cs="黑体"/>
          <w:b/>
          <w:bCs/>
          <w:sz w:val="24"/>
          <w:szCs w:val="24"/>
          <w:highlight w:val="none"/>
          <w:lang w:eastAsia="zh-CN"/>
        </w:rPr>
        <w:t>：</w:t>
      </w:r>
    </w:p>
    <w:p>
      <w:pPr>
        <w:spacing w:before="156" w:beforeLines="50" w:after="156" w:afterLines="50" w:line="360" w:lineRule="auto"/>
        <w:ind w:firstLine="4800" w:firstLineChars="2000"/>
        <w:jc w:val="right"/>
        <w:rPr>
          <w:rFonts w:hint="eastAsia" w:ascii="Arial" w:hAnsi="Arial"/>
          <w:sz w:val="24"/>
          <w:highlight w:val="none"/>
        </w:rPr>
      </w:pPr>
      <w:r>
        <w:rPr>
          <w:rFonts w:hint="eastAsia" w:ascii="Arial" w:hAnsi="Arial"/>
          <w:sz w:val="24"/>
          <w:highlight w:val="none"/>
        </w:rPr>
        <w:t xml:space="preserve">   年   月   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r>
        <w:rPr>
          <w:rFonts w:hint="eastAsia" w:ascii="宋体" w:hAnsi="宋体" w:eastAsia="宋体" w:cs="黑体"/>
          <w:b/>
          <w:bCs/>
          <w:sz w:val="24"/>
          <w:highlight w:val="none"/>
        </w:rPr>
        <w:t>销售机构签章</w:t>
      </w:r>
      <w:r>
        <w:rPr>
          <w:rFonts w:hint="eastAsia" w:ascii="宋体" w:hAnsi="宋体" w:eastAsia="宋体" w:cs="黑体"/>
          <w:b/>
          <w:bCs/>
          <w:sz w:val="24"/>
          <w:szCs w:val="24"/>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spacing w:before="156" w:beforeLines="50" w:after="156" w:afterLines="50" w:line="360" w:lineRule="auto"/>
        <w:ind w:firstLine="4800" w:firstLineChars="2000"/>
        <w:jc w:val="right"/>
        <w:rPr>
          <w:rFonts w:hint="eastAsia" w:ascii="Arial" w:hAnsi="Arial"/>
          <w:sz w:val="24"/>
          <w:highlight w:val="none"/>
        </w:rPr>
      </w:pPr>
      <w:r>
        <w:rPr>
          <w:rFonts w:hint="eastAsia" w:ascii="Arial" w:hAnsi="Arial"/>
          <w:sz w:val="24"/>
          <w:highlight w:val="none"/>
        </w:rPr>
        <w:t xml:space="preserve">   年   月   日</w:t>
      </w:r>
    </w:p>
    <w:p>
      <w:pPr>
        <w:spacing w:line="360" w:lineRule="auto"/>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9264"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投资需谨慎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F5FAE6B"/>
    <w:multiLevelType w:val="singleLevel"/>
    <w:tmpl w:val="AF5FAE6B"/>
    <w:lvl w:ilvl="0" w:tentative="0">
      <w:start w:val="1"/>
      <w:numFmt w:val="chineseCounting"/>
      <w:suff w:val="nothing"/>
      <w:lvlText w:val="（%1）"/>
      <w:lvlJc w:val="left"/>
      <w:pPr>
        <w:ind w:left="0" w:firstLine="420"/>
      </w:pPr>
      <w:rPr>
        <w:rFonts w:hint="eastAsia"/>
      </w:rPr>
    </w:lvl>
  </w:abstractNum>
  <w:abstractNum w:abstractNumId="1">
    <w:nsid w:val="61CBC088"/>
    <w:multiLevelType w:val="singleLevel"/>
    <w:tmpl w:val="61CBC088"/>
    <w:lvl w:ilvl="0" w:tentative="0">
      <w:start w:val="1"/>
      <w:numFmt w:val="chineseCounting"/>
      <w:suff w:val="nothing"/>
      <w:lvlText w:val="（%1）"/>
      <w:lvlJc w:val="left"/>
      <w:pPr>
        <w:ind w:left="0" w:firstLine="420"/>
      </w:pPr>
      <w:rPr>
        <w:rFonts w:hint="eastAsia"/>
      </w:rPr>
    </w:lvl>
  </w:abstractNum>
  <w:abstractNum w:abstractNumId="2">
    <w:nsid w:val="61CBC11F"/>
    <w:multiLevelType w:val="singleLevel"/>
    <w:tmpl w:val="61CBC11F"/>
    <w:lvl w:ilvl="0" w:tentative="0">
      <w:start w:val="1"/>
      <w:numFmt w:val="chineseCounting"/>
      <w:suff w:val="nothing"/>
      <w:lvlText w:val="（%1）"/>
      <w:lvlJc w:val="left"/>
      <w:pPr>
        <w:ind w:left="0" w:firstLine="420"/>
      </w:pPr>
      <w:rPr>
        <w:rFonts w:hint="eastAsia"/>
      </w:rPr>
    </w:lvl>
  </w:abstractNum>
  <w:abstractNum w:abstractNumId="3">
    <w:nsid w:val="61CBC1A0"/>
    <w:multiLevelType w:val="singleLevel"/>
    <w:tmpl w:val="61CBC1A0"/>
    <w:lvl w:ilvl="0" w:tentative="0">
      <w:start w:val="1"/>
      <w:numFmt w:val="chineseCounting"/>
      <w:suff w:val="nothing"/>
      <w:lvlText w:val="（%1）"/>
      <w:lvlJc w:val="left"/>
      <w:pPr>
        <w:ind w:left="0" w:firstLine="420"/>
      </w:pPr>
      <w:rPr>
        <w:rFonts w:hint="eastAsia"/>
      </w:rPr>
    </w:lvl>
  </w:abstractNum>
  <w:abstractNum w:abstractNumId="4">
    <w:nsid w:val="61CBC209"/>
    <w:multiLevelType w:val="singleLevel"/>
    <w:tmpl w:val="61CBC209"/>
    <w:lvl w:ilvl="0" w:tentative="0">
      <w:start w:val="1"/>
      <w:numFmt w:val="chineseCounting"/>
      <w:suff w:val="nothing"/>
      <w:lvlText w:val="（%1）"/>
      <w:lvlJc w:val="left"/>
      <w:pPr>
        <w:ind w:left="0" w:firstLine="420"/>
      </w:pPr>
      <w:rPr>
        <w:rFonts w:hint="eastAsia"/>
      </w:rPr>
    </w:lvl>
  </w:abstractNum>
  <w:abstractNum w:abstractNumId="5">
    <w:nsid w:val="61CBC248"/>
    <w:multiLevelType w:val="singleLevel"/>
    <w:tmpl w:val="61CBC248"/>
    <w:lvl w:ilvl="0" w:tentative="0">
      <w:start w:val="2"/>
      <w:numFmt w:val="chineseCounting"/>
      <w:suff w:val="nothing"/>
      <w:lvlText w:val="（%1）"/>
      <w:lvlJc w:val="left"/>
      <w:pPr>
        <w:ind w:left="0" w:firstLine="420"/>
      </w:pPr>
      <w:rPr>
        <w:rFonts w:hint="eastAsia"/>
      </w:rPr>
    </w:lvl>
  </w:abstractNum>
  <w:abstractNum w:abstractNumId="6">
    <w:nsid w:val="61CBC28E"/>
    <w:multiLevelType w:val="singleLevel"/>
    <w:tmpl w:val="61CBC28E"/>
    <w:lvl w:ilvl="0" w:tentative="0">
      <w:start w:val="1"/>
      <w:numFmt w:val="chineseCounting"/>
      <w:suff w:val="nothing"/>
      <w:lvlText w:val="（%1）"/>
      <w:lvlJc w:val="left"/>
      <w:pPr>
        <w:ind w:left="0" w:firstLine="420"/>
      </w:pPr>
      <w:rPr>
        <w:rFonts w:hint="eastAsia"/>
      </w:rPr>
    </w:lvl>
  </w:abstractNum>
  <w:num w:numId="1">
    <w:abstractNumId w:val="1"/>
  </w:num>
  <w:num w:numId="2">
    <w:abstractNumId w:val="2"/>
  </w:num>
  <w:num w:numId="3">
    <w:abstractNumId w:val="0"/>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4A3A51"/>
    <w:rsid w:val="00D5498D"/>
    <w:rsid w:val="01364432"/>
    <w:rsid w:val="01523B8E"/>
    <w:rsid w:val="01E60817"/>
    <w:rsid w:val="01FD241C"/>
    <w:rsid w:val="03A32FCF"/>
    <w:rsid w:val="046C4318"/>
    <w:rsid w:val="05E05E4D"/>
    <w:rsid w:val="06420CFA"/>
    <w:rsid w:val="06503B59"/>
    <w:rsid w:val="06F301FD"/>
    <w:rsid w:val="0752555A"/>
    <w:rsid w:val="0754117E"/>
    <w:rsid w:val="07E45984"/>
    <w:rsid w:val="0828699A"/>
    <w:rsid w:val="08290D0F"/>
    <w:rsid w:val="087D4021"/>
    <w:rsid w:val="090E0E88"/>
    <w:rsid w:val="09155E8F"/>
    <w:rsid w:val="097E3F67"/>
    <w:rsid w:val="097E4163"/>
    <w:rsid w:val="09FE573C"/>
    <w:rsid w:val="0A0C6349"/>
    <w:rsid w:val="0A1347F5"/>
    <w:rsid w:val="0A1F3796"/>
    <w:rsid w:val="0A2A32B9"/>
    <w:rsid w:val="0ABB2FA7"/>
    <w:rsid w:val="0B0A1D4B"/>
    <w:rsid w:val="0B281275"/>
    <w:rsid w:val="0B8E27E3"/>
    <w:rsid w:val="0BF71AE2"/>
    <w:rsid w:val="0C9C7394"/>
    <w:rsid w:val="0CA6603D"/>
    <w:rsid w:val="0CB44C8B"/>
    <w:rsid w:val="0D0B1B00"/>
    <w:rsid w:val="0D3F210A"/>
    <w:rsid w:val="0E36795A"/>
    <w:rsid w:val="0E4A4B6F"/>
    <w:rsid w:val="0E9465E2"/>
    <w:rsid w:val="0EAE473F"/>
    <w:rsid w:val="0EF65480"/>
    <w:rsid w:val="0F3349D0"/>
    <w:rsid w:val="10776FA2"/>
    <w:rsid w:val="10AD2EE1"/>
    <w:rsid w:val="10E7087B"/>
    <w:rsid w:val="10FA5463"/>
    <w:rsid w:val="11BA058F"/>
    <w:rsid w:val="12081858"/>
    <w:rsid w:val="1268769D"/>
    <w:rsid w:val="12B62B3B"/>
    <w:rsid w:val="12F57C75"/>
    <w:rsid w:val="12F96486"/>
    <w:rsid w:val="13031153"/>
    <w:rsid w:val="13181417"/>
    <w:rsid w:val="135A629F"/>
    <w:rsid w:val="13CF7B8E"/>
    <w:rsid w:val="14B80FF2"/>
    <w:rsid w:val="14C57FED"/>
    <w:rsid w:val="150C5665"/>
    <w:rsid w:val="15485BE1"/>
    <w:rsid w:val="15C56302"/>
    <w:rsid w:val="160940BB"/>
    <w:rsid w:val="1659752C"/>
    <w:rsid w:val="16E43A7F"/>
    <w:rsid w:val="171153AB"/>
    <w:rsid w:val="175F7C56"/>
    <w:rsid w:val="185A3DA1"/>
    <w:rsid w:val="18EA78A9"/>
    <w:rsid w:val="198C4B50"/>
    <w:rsid w:val="19BB4557"/>
    <w:rsid w:val="19DA4F78"/>
    <w:rsid w:val="19F13F4F"/>
    <w:rsid w:val="1A102675"/>
    <w:rsid w:val="1A276601"/>
    <w:rsid w:val="1A5F6E5F"/>
    <w:rsid w:val="1AFA5FFE"/>
    <w:rsid w:val="1B280245"/>
    <w:rsid w:val="1B581220"/>
    <w:rsid w:val="1B843575"/>
    <w:rsid w:val="1BBE4697"/>
    <w:rsid w:val="1D177BAB"/>
    <w:rsid w:val="1D4D5B7F"/>
    <w:rsid w:val="1D5076C2"/>
    <w:rsid w:val="1D552DD9"/>
    <w:rsid w:val="1DAB6D83"/>
    <w:rsid w:val="1E3173A3"/>
    <w:rsid w:val="1E5B27FF"/>
    <w:rsid w:val="1E792E51"/>
    <w:rsid w:val="1F0F5A19"/>
    <w:rsid w:val="1F1D6E1F"/>
    <w:rsid w:val="1F3E7F7D"/>
    <w:rsid w:val="1F51312D"/>
    <w:rsid w:val="1FC9553A"/>
    <w:rsid w:val="204D3B12"/>
    <w:rsid w:val="205A2AB3"/>
    <w:rsid w:val="20B6224D"/>
    <w:rsid w:val="21025026"/>
    <w:rsid w:val="21036497"/>
    <w:rsid w:val="21CE3241"/>
    <w:rsid w:val="222B5013"/>
    <w:rsid w:val="22A04AF7"/>
    <w:rsid w:val="22A73C8E"/>
    <w:rsid w:val="22D3594B"/>
    <w:rsid w:val="22F12819"/>
    <w:rsid w:val="234F46D7"/>
    <w:rsid w:val="23753F06"/>
    <w:rsid w:val="238E1AAE"/>
    <w:rsid w:val="24030B6D"/>
    <w:rsid w:val="24345B9A"/>
    <w:rsid w:val="245517BD"/>
    <w:rsid w:val="2483647E"/>
    <w:rsid w:val="256F076F"/>
    <w:rsid w:val="25AF7681"/>
    <w:rsid w:val="26820AF7"/>
    <w:rsid w:val="26C12605"/>
    <w:rsid w:val="27947E62"/>
    <w:rsid w:val="27EB2573"/>
    <w:rsid w:val="292668E3"/>
    <w:rsid w:val="29361BBD"/>
    <w:rsid w:val="2A124404"/>
    <w:rsid w:val="2A1B5D68"/>
    <w:rsid w:val="2A5975B6"/>
    <w:rsid w:val="2A991D32"/>
    <w:rsid w:val="2AB92324"/>
    <w:rsid w:val="2AD6555A"/>
    <w:rsid w:val="2B376BE0"/>
    <w:rsid w:val="2B5B0398"/>
    <w:rsid w:val="2BC36E28"/>
    <w:rsid w:val="2C1B1E9D"/>
    <w:rsid w:val="2C990269"/>
    <w:rsid w:val="2CAB68C5"/>
    <w:rsid w:val="2E354AE5"/>
    <w:rsid w:val="2EBC6D03"/>
    <w:rsid w:val="2F196945"/>
    <w:rsid w:val="2F1F666C"/>
    <w:rsid w:val="2FD32A37"/>
    <w:rsid w:val="3012561C"/>
    <w:rsid w:val="30551FFC"/>
    <w:rsid w:val="311F702A"/>
    <w:rsid w:val="31A82883"/>
    <w:rsid w:val="31E004B9"/>
    <w:rsid w:val="320E3E15"/>
    <w:rsid w:val="327B27BD"/>
    <w:rsid w:val="32B15B31"/>
    <w:rsid w:val="32C937E9"/>
    <w:rsid w:val="333F6AA7"/>
    <w:rsid w:val="3480359E"/>
    <w:rsid w:val="34BE4ED5"/>
    <w:rsid w:val="35476F5E"/>
    <w:rsid w:val="354D3F58"/>
    <w:rsid w:val="359A216E"/>
    <w:rsid w:val="35CB65AD"/>
    <w:rsid w:val="36631FD8"/>
    <w:rsid w:val="36970026"/>
    <w:rsid w:val="36C419F2"/>
    <w:rsid w:val="36E72D9B"/>
    <w:rsid w:val="36FD7080"/>
    <w:rsid w:val="377E2614"/>
    <w:rsid w:val="379F2ED6"/>
    <w:rsid w:val="37CA172C"/>
    <w:rsid w:val="37DC2068"/>
    <w:rsid w:val="38071350"/>
    <w:rsid w:val="38224FD0"/>
    <w:rsid w:val="38430370"/>
    <w:rsid w:val="39775E90"/>
    <w:rsid w:val="39AC0F1B"/>
    <w:rsid w:val="39B95084"/>
    <w:rsid w:val="3A3E2041"/>
    <w:rsid w:val="3B131EF6"/>
    <w:rsid w:val="3B490D86"/>
    <w:rsid w:val="3BD74075"/>
    <w:rsid w:val="3C2F2290"/>
    <w:rsid w:val="3C6231DE"/>
    <w:rsid w:val="3EA06F50"/>
    <w:rsid w:val="3EA67C14"/>
    <w:rsid w:val="3EAD1B36"/>
    <w:rsid w:val="3F056B9E"/>
    <w:rsid w:val="3F354A62"/>
    <w:rsid w:val="3FB01289"/>
    <w:rsid w:val="3FE233B8"/>
    <w:rsid w:val="3FF54C55"/>
    <w:rsid w:val="40181F9C"/>
    <w:rsid w:val="406370BC"/>
    <w:rsid w:val="40FB7670"/>
    <w:rsid w:val="41A745AD"/>
    <w:rsid w:val="41B60000"/>
    <w:rsid w:val="423C06E2"/>
    <w:rsid w:val="42815397"/>
    <w:rsid w:val="42C94634"/>
    <w:rsid w:val="443700FB"/>
    <w:rsid w:val="45540446"/>
    <w:rsid w:val="458F3937"/>
    <w:rsid w:val="459F641E"/>
    <w:rsid w:val="45A93DC9"/>
    <w:rsid w:val="45BB5620"/>
    <w:rsid w:val="45EC58A2"/>
    <w:rsid w:val="45F127ED"/>
    <w:rsid w:val="46263D02"/>
    <w:rsid w:val="46CD66A0"/>
    <w:rsid w:val="472803B7"/>
    <w:rsid w:val="478411E4"/>
    <w:rsid w:val="488B59A4"/>
    <w:rsid w:val="48CC5267"/>
    <w:rsid w:val="494502E1"/>
    <w:rsid w:val="494C4325"/>
    <w:rsid w:val="4A010AC9"/>
    <w:rsid w:val="4A7F0ADF"/>
    <w:rsid w:val="4AA612F0"/>
    <w:rsid w:val="4B0D3113"/>
    <w:rsid w:val="4C1A730D"/>
    <w:rsid w:val="4C6B0DDA"/>
    <w:rsid w:val="4C6E1306"/>
    <w:rsid w:val="4C7368E1"/>
    <w:rsid w:val="4CC946ED"/>
    <w:rsid w:val="4CF979F4"/>
    <w:rsid w:val="4D8C0BC8"/>
    <w:rsid w:val="4E186164"/>
    <w:rsid w:val="4E247E9A"/>
    <w:rsid w:val="4E2F1033"/>
    <w:rsid w:val="4E8274B0"/>
    <w:rsid w:val="4EA65BC4"/>
    <w:rsid w:val="4EFC1B31"/>
    <w:rsid w:val="4F2836A5"/>
    <w:rsid w:val="4FF363B3"/>
    <w:rsid w:val="501216FC"/>
    <w:rsid w:val="50B73634"/>
    <w:rsid w:val="51434E1B"/>
    <w:rsid w:val="51504FE6"/>
    <w:rsid w:val="5270265F"/>
    <w:rsid w:val="52C56880"/>
    <w:rsid w:val="54E91D9C"/>
    <w:rsid w:val="552119F1"/>
    <w:rsid w:val="55A47BB4"/>
    <w:rsid w:val="56B44788"/>
    <w:rsid w:val="56F63067"/>
    <w:rsid w:val="57481AEB"/>
    <w:rsid w:val="57856F6A"/>
    <w:rsid w:val="57B655F7"/>
    <w:rsid w:val="57BB6218"/>
    <w:rsid w:val="57FF3AAA"/>
    <w:rsid w:val="58DD2EEE"/>
    <w:rsid w:val="58E96C7A"/>
    <w:rsid w:val="59263C31"/>
    <w:rsid w:val="59AD3C67"/>
    <w:rsid w:val="5A4B183F"/>
    <w:rsid w:val="5B0D630F"/>
    <w:rsid w:val="5B602150"/>
    <w:rsid w:val="5B9919B4"/>
    <w:rsid w:val="5BB70148"/>
    <w:rsid w:val="5C107127"/>
    <w:rsid w:val="5C3C3DDC"/>
    <w:rsid w:val="5D160516"/>
    <w:rsid w:val="5D713BC5"/>
    <w:rsid w:val="5D7D0F36"/>
    <w:rsid w:val="5DB61BFF"/>
    <w:rsid w:val="5DEF454B"/>
    <w:rsid w:val="5E5A6C63"/>
    <w:rsid w:val="5F3C6712"/>
    <w:rsid w:val="5F4B58F3"/>
    <w:rsid w:val="6053481F"/>
    <w:rsid w:val="60553A8D"/>
    <w:rsid w:val="606E0DED"/>
    <w:rsid w:val="60AB2000"/>
    <w:rsid w:val="61B53E2B"/>
    <w:rsid w:val="61BE3E8C"/>
    <w:rsid w:val="61C97391"/>
    <w:rsid w:val="61D85325"/>
    <w:rsid w:val="62860AAA"/>
    <w:rsid w:val="628B7CEE"/>
    <w:rsid w:val="629D5796"/>
    <w:rsid w:val="63017D89"/>
    <w:rsid w:val="6382523F"/>
    <w:rsid w:val="63FA4C5C"/>
    <w:rsid w:val="64102A52"/>
    <w:rsid w:val="64BC6713"/>
    <w:rsid w:val="66F54088"/>
    <w:rsid w:val="671E2162"/>
    <w:rsid w:val="67C2281F"/>
    <w:rsid w:val="680C1A56"/>
    <w:rsid w:val="681B021B"/>
    <w:rsid w:val="684F0C72"/>
    <w:rsid w:val="68D8721E"/>
    <w:rsid w:val="6A1D2F79"/>
    <w:rsid w:val="6A4437C7"/>
    <w:rsid w:val="6A831914"/>
    <w:rsid w:val="6B610D05"/>
    <w:rsid w:val="6BAC21D5"/>
    <w:rsid w:val="6C891F0A"/>
    <w:rsid w:val="6CED1CB3"/>
    <w:rsid w:val="6D3B42C3"/>
    <w:rsid w:val="6D5A3D63"/>
    <w:rsid w:val="6D9A4080"/>
    <w:rsid w:val="6DFD5353"/>
    <w:rsid w:val="6E2D2684"/>
    <w:rsid w:val="6E7E575F"/>
    <w:rsid w:val="6EC27507"/>
    <w:rsid w:val="6EF15941"/>
    <w:rsid w:val="6F926461"/>
    <w:rsid w:val="6F9921A1"/>
    <w:rsid w:val="6FA453FA"/>
    <w:rsid w:val="6FCC0B51"/>
    <w:rsid w:val="720B7A64"/>
    <w:rsid w:val="720F6016"/>
    <w:rsid w:val="73407EBD"/>
    <w:rsid w:val="73932176"/>
    <w:rsid w:val="73EF4563"/>
    <w:rsid w:val="74037319"/>
    <w:rsid w:val="74175679"/>
    <w:rsid w:val="744124AA"/>
    <w:rsid w:val="74664F47"/>
    <w:rsid w:val="7495757E"/>
    <w:rsid w:val="752C3BFE"/>
    <w:rsid w:val="756E538F"/>
    <w:rsid w:val="75D950C9"/>
    <w:rsid w:val="763B76E3"/>
    <w:rsid w:val="76F41323"/>
    <w:rsid w:val="77100360"/>
    <w:rsid w:val="778222EA"/>
    <w:rsid w:val="77A30DC4"/>
    <w:rsid w:val="77E0572E"/>
    <w:rsid w:val="77ED4104"/>
    <w:rsid w:val="78EF4372"/>
    <w:rsid w:val="79771B00"/>
    <w:rsid w:val="7980282D"/>
    <w:rsid w:val="798F6426"/>
    <w:rsid w:val="79B94653"/>
    <w:rsid w:val="7ACA272A"/>
    <w:rsid w:val="7B0E7C70"/>
    <w:rsid w:val="7B2E004A"/>
    <w:rsid w:val="7B76641B"/>
    <w:rsid w:val="7BBF1397"/>
    <w:rsid w:val="7CED52DC"/>
    <w:rsid w:val="7E6F339A"/>
    <w:rsid w:val="7E810662"/>
    <w:rsid w:val="7ED67E61"/>
    <w:rsid w:val="7F590AE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22"/>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1"/>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19"/>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4"/>
    <w:qFormat/>
    <w:uiPriority w:val="0"/>
    <w:pPr>
      <w:jc w:val="left"/>
    </w:pPr>
  </w:style>
  <w:style w:type="paragraph" w:styleId="6">
    <w:name w:val="Balloon Text"/>
    <w:basedOn w:val="1"/>
    <w:link w:val="20"/>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3"/>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paragraph" w:customStyle="1" w:styleId="16">
    <w:name w:val="List Paragraph"/>
    <w:basedOn w:val="1"/>
    <w:unhideWhenUsed/>
    <w:qFormat/>
    <w:uiPriority w:val="99"/>
    <w:pPr>
      <w:ind w:firstLine="420" w:firstLineChars="200"/>
    </w:pPr>
  </w:style>
  <w:style w:type="paragraph" w:customStyle="1" w:styleId="17">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paragraph" w:customStyle="1" w:styleId="18">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9">
    <w:name w:val="标题 3 Char"/>
    <w:link w:val="4"/>
    <w:qFormat/>
    <w:uiPriority w:val="0"/>
    <w:rPr>
      <w:rFonts w:hAnsi="Calibri" w:eastAsia="宋体"/>
      <w:b/>
      <w:sz w:val="24"/>
    </w:rPr>
  </w:style>
  <w:style w:type="character" w:customStyle="1" w:styleId="20">
    <w:name w:val="批注框文本 Char"/>
    <w:link w:val="6"/>
    <w:qFormat/>
    <w:uiPriority w:val="0"/>
    <w:rPr>
      <w:rFonts w:ascii="Calibri" w:hAnsi="Calibri" w:cs="黑体"/>
      <w:kern w:val="2"/>
      <w:sz w:val="18"/>
      <w:szCs w:val="18"/>
    </w:rPr>
  </w:style>
  <w:style w:type="character" w:customStyle="1" w:styleId="21">
    <w:name w:val="标题 2 Char"/>
    <w:link w:val="3"/>
    <w:qFormat/>
    <w:uiPriority w:val="0"/>
    <w:rPr>
      <w:rFonts w:ascii="Arial" w:hAnsi="Arial" w:eastAsia="宋体"/>
      <w:b/>
      <w:sz w:val="24"/>
    </w:rPr>
  </w:style>
  <w:style w:type="character" w:customStyle="1" w:styleId="22">
    <w:name w:val="标题 1 Char"/>
    <w:link w:val="2"/>
    <w:qFormat/>
    <w:uiPriority w:val="0"/>
    <w:rPr>
      <w:rFonts w:eastAsia="宋体"/>
      <w:b/>
      <w:kern w:val="44"/>
      <w:sz w:val="44"/>
    </w:rPr>
  </w:style>
  <w:style w:type="character" w:customStyle="1" w:styleId="23">
    <w:name w:val="批注主题 Char"/>
    <w:link w:val="10"/>
    <w:qFormat/>
    <w:uiPriority w:val="0"/>
    <w:rPr>
      <w:rFonts w:ascii="Calibri" w:hAnsi="Calibri" w:cs="黑体"/>
      <w:b/>
      <w:bCs/>
      <w:kern w:val="2"/>
      <w:sz w:val="21"/>
      <w:szCs w:val="24"/>
    </w:rPr>
  </w:style>
  <w:style w:type="character" w:customStyle="1" w:styleId="24">
    <w:name w:val="批注文字 Char"/>
    <w:link w:val="5"/>
    <w:qFormat/>
    <w:uiPriority w:val="0"/>
    <w:rPr>
      <w:rFonts w:ascii="Calibri" w:hAnsi="Calibri" w:cs="黑体"/>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57</Pages>
  <Words>36598</Words>
  <Characters>38992</Characters>
  <Lines>1</Lines>
  <Paragraphs>1</Paragraphs>
  <TotalTime>0</TotalTime>
  <ScaleCrop>false</ScaleCrop>
  <LinksUpToDate>false</LinksUpToDate>
  <CharactersWithSpaces>39219</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陈舒虹</dc:creator>
  <cp:lastModifiedBy>hccb</cp:lastModifiedBy>
  <dcterms:modified xsi:type="dcterms:W3CDTF">2025-07-25T02:23:39Z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06A49D61929F4201B4ADB8DA4C945300</vt:lpwstr>
  </property>
</Properties>
</file>