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6A11F6">
      <w:pPr>
        <w:widowControl/>
        <w:shd w:val="clear" w:color="auto" w:fill="FFFFFF"/>
        <w:spacing w:line="837" w:lineRule="atLeast"/>
        <w:jc w:val="center"/>
        <w:outlineLvl w:val="1"/>
        <w:rPr>
          <w:rFonts w:ascii="微软雅黑" w:hAnsi="微软雅黑" w:cs="宋体"/>
          <w:b/>
          <w:bCs/>
          <w:color w:val="004EA2"/>
          <w:kern w:val="0"/>
          <w:sz w:val="27"/>
          <w:szCs w:val="27"/>
        </w:rPr>
      </w:pP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杭银理财幸福99月添益1801期理财</w:t>
      </w: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（</w:t>
      </w: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FRG1801</w:t>
      </w: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）</w:t>
      </w:r>
    </w:p>
    <w:p w:rsidR="006A11F6">
      <w:pPr>
        <w:widowControl/>
        <w:shd w:val="clear" w:color="auto" w:fill="FFFFFF"/>
        <w:spacing w:line="837" w:lineRule="atLeast"/>
        <w:jc w:val="center"/>
        <w:outlineLvl w:val="1"/>
        <w:rPr>
          <w:rFonts w:ascii="微软雅黑" w:hAnsi="微软雅黑" w:cs="宋体"/>
          <w:b/>
          <w:bCs/>
          <w:color w:val="004EA2"/>
          <w:kern w:val="0"/>
          <w:sz w:val="27"/>
          <w:szCs w:val="27"/>
        </w:rPr>
      </w:pP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业绩比较基准及开放期公告</w:t>
      </w:r>
    </w:p>
    <w:p w:rsidR="006A11F6"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</w:p>
    <w:p w:rsidR="006A11F6"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color w:val="333333"/>
          <w:kern w:val="0"/>
          <w:sz w:val="24"/>
        </w:rPr>
        <w:t>尊敬的投资者：</w:t>
      </w:r>
    </w:p>
    <w:p w:rsidR="006A11F6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color w:val="333333"/>
          <w:kern w:val="0"/>
          <w:sz w:val="24"/>
        </w:rPr>
        <w:t>根据市场情况及产品投资的资产组合收益变动情况，</w:t>
      </w:r>
      <w:r>
        <w:rPr>
          <w:rFonts w:ascii="宋体" w:eastAsia="宋体" w:hAnsi="宋体" w:cs="宋体"/>
          <w:color w:val="333333"/>
          <w:sz w:val="24"/>
        </w:rPr>
        <w:t>杭银理财幸福99月添益1801期理财</w:t>
      </w:r>
      <w:r>
        <w:rPr>
          <w:rFonts w:ascii="宋体" w:eastAsia="宋体" w:hAnsi="宋体" w:cs="宋体"/>
          <w:color w:val="333333"/>
          <w:sz w:val="24"/>
        </w:rPr>
        <w:t>（产品编号：</w:t>
      </w:r>
      <w:r>
        <w:rPr>
          <w:rFonts w:ascii="宋体" w:eastAsia="宋体" w:hAnsi="宋体" w:cs="宋体"/>
          <w:color w:val="333333"/>
          <w:sz w:val="24"/>
        </w:rPr>
        <w:t>FRG1801</w:t>
      </w:r>
      <w:r>
        <w:rPr>
          <w:rFonts w:ascii="宋体" w:eastAsia="宋体" w:hAnsi="宋体" w:cs="宋体"/>
          <w:color w:val="333333"/>
          <w:sz w:val="24"/>
        </w:rPr>
        <w:t>）下一运行周期（</w:t>
      </w:r>
      <w:r>
        <w:rPr>
          <w:rFonts w:ascii="宋体" w:eastAsia="宋体" w:hAnsi="宋体" w:cs="宋体"/>
          <w:color w:val="333333"/>
          <w:sz w:val="24"/>
        </w:rPr>
        <w:t>2025-08-06</w:t>
      </w:r>
      <w:r>
        <w:rPr>
          <w:rFonts w:ascii="宋体" w:eastAsia="宋体" w:hAnsi="宋体" w:cs="宋体"/>
          <w:color w:val="333333"/>
          <w:sz w:val="24"/>
        </w:rPr>
        <w:t>至</w:t>
      </w:r>
      <w:r>
        <w:rPr>
          <w:rFonts w:ascii="宋体" w:eastAsia="宋体" w:hAnsi="宋体" w:cs="宋体"/>
          <w:color w:val="333333"/>
          <w:sz w:val="24"/>
        </w:rPr>
        <w:t>2025-09-03</w:t>
      </w:r>
      <w:r>
        <w:rPr>
          <w:rFonts w:ascii="宋体" w:eastAsia="宋体" w:hAnsi="宋体" w:cs="宋体"/>
          <w:color w:val="333333"/>
          <w:sz w:val="24"/>
        </w:rPr>
        <w:t>）的业绩比较基准如下：</w:t>
      </w:r>
    </w:p>
    <w:tbl>
      <w:tblPr>
        <w:tblStyle w:val="TableGrid"/>
        <w:tblW w:w="8516" w:type="dxa"/>
        <w:tblLayout w:type="fixed"/>
        <w:tblLook w:val="04A0"/>
      </w:tblPr>
      <w:tblGrid>
        <w:gridCol w:w="4258"/>
        <w:gridCol w:w="4258"/>
      </w:tblGrid>
      <w:tr>
        <w:tblPrEx>
          <w:tblW w:w="8516" w:type="dxa"/>
          <w:tblLayout w:type="fixed"/>
          <w:tblLook w:val="04A0"/>
        </w:tblPrEx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333333"/>
                <w:sz w:val="24"/>
              </w:rPr>
              <w:t>销售代码</w:t>
            </w:r>
          </w:p>
        </w:tc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业绩比较基准</w:t>
            </w:r>
          </w:p>
        </w:tc>
      </w:tr>
      <w:tr>
        <w:tblPrEx>
          <w:tblW w:w="8516" w:type="dxa"/>
          <w:tblLayout w:type="fixed"/>
          <w:tblLook w:val="04A0"/>
        </w:tblPrEx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</w:t>
            </w:r>
          </w:p>
        </w:tc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中国人民银行公布的7天通知存款利率</w:t>
            </w:r>
          </w:p>
        </w:tc>
      </w:tr>
      <w:tr>
        <w:tblPrEx>
          <w:tblW w:w="8516" w:type="dxa"/>
          <w:tblLayout w:type="fixed"/>
          <w:tblLook w:val="04A0"/>
        </w:tblPrEx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FRG1801B</w:t>
            </w:r>
          </w:p>
        </w:tc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中国人民银行公布的7天通知存款利率</w:t>
            </w:r>
          </w:p>
        </w:tc>
      </w:tr>
      <w:tr>
        <w:tblPrEx>
          <w:tblW w:w="8516" w:type="dxa"/>
          <w:tblLayout w:type="fixed"/>
          <w:tblLook w:val="04A0"/>
        </w:tblPrEx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FRG1801C</w:t>
            </w:r>
          </w:p>
        </w:tc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中国人民银行公布的7天通知存款利率</w:t>
            </w:r>
          </w:p>
        </w:tc>
      </w:tr>
    </w:tbl>
    <w:p w:rsidR="006A11F6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杭银理财幸福99月添益1801期理财</w:t>
      </w:r>
      <w:r>
        <w:rPr>
          <w:rFonts w:ascii="宋体" w:eastAsia="宋体" w:hAnsi="宋体" w:cs="宋体"/>
          <w:b/>
          <w:color w:val="333333"/>
          <w:sz w:val="24"/>
        </w:rPr>
        <w:t>（产品编号：</w:t>
      </w:r>
      <w:r>
        <w:rPr>
          <w:rFonts w:ascii="宋体" w:eastAsia="宋体" w:hAnsi="宋体" w:cs="宋体"/>
          <w:b/>
          <w:color w:val="333333"/>
          <w:sz w:val="24"/>
        </w:rPr>
        <w:t>FRG1801</w:t>
      </w:r>
      <w:r>
        <w:rPr>
          <w:rFonts w:ascii="宋体" w:eastAsia="宋体" w:hAnsi="宋体" w:cs="宋体"/>
          <w:b/>
          <w:color w:val="333333"/>
          <w:sz w:val="24"/>
        </w:rPr>
        <w:t>）本周期</w:t>
      </w:r>
      <w:r>
        <w:rPr>
          <w:rFonts w:ascii="宋体" w:hAnsi="宋体" w:cs="宋体" w:hint="eastAsia"/>
          <w:color w:val="333333"/>
          <w:kern w:val="0"/>
          <w:sz w:val="24"/>
        </w:rPr>
        <w:t>开放期具体安排如下，开放期最后一日及确认日如遇非工作日，则依次顺延至下一个工作日，敬请投资者关注，提前做好投资安排。</w:t>
      </w:r>
    </w:p>
    <w:tbl>
      <w:tblPr>
        <w:tblStyle w:val="TableGrid"/>
        <w:tblW w:w="8472" w:type="dxa"/>
        <w:tblLayout w:type="fixed"/>
        <w:tblLook w:val="04A0"/>
      </w:tblPr>
      <w:tblGrid>
        <w:gridCol w:w="1668"/>
        <w:gridCol w:w="2976"/>
        <w:gridCol w:w="1985"/>
        <w:gridCol w:w="1843"/>
      </w:tblGrid>
      <w:tr w:rsidTr="00573F61">
        <w:tblPrEx>
          <w:tblW w:w="8472" w:type="dxa"/>
          <w:tblLayout w:type="fixed"/>
          <w:tblLook w:val="04A0"/>
        </w:tblPrEx>
        <w:trPr>
          <w:trHeight w:val="355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333333"/>
                <w:sz w:val="24"/>
              </w:rPr>
              <w:t>销售代码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交易类型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2025-07-31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2025-08-05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2025-08-06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FRG1801B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2025-08-05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2025-08-05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2025-08-06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FRG1801C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2025-07-31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2025-08-05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2025-08-06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</w:tbl>
    <w:p w:rsidR="006A11F6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杭银理财幸福99月添益1801期理财</w:t>
      </w:r>
      <w:r>
        <w:rPr>
          <w:rFonts w:ascii="宋体" w:eastAsia="宋体" w:hAnsi="宋体" w:cs="宋体"/>
          <w:b/>
          <w:color w:val="333333"/>
          <w:sz w:val="24"/>
        </w:rPr>
        <w:t>（产品编号：</w:t>
      </w:r>
      <w:r>
        <w:rPr>
          <w:rFonts w:ascii="宋体" w:eastAsia="宋体" w:hAnsi="宋体" w:cs="宋体"/>
          <w:b/>
          <w:color w:val="333333"/>
          <w:sz w:val="24"/>
        </w:rPr>
        <w:t>FRG1801</w:t>
      </w:r>
      <w:r>
        <w:rPr>
          <w:rFonts w:ascii="宋体" w:eastAsia="宋体" w:hAnsi="宋体" w:cs="宋体"/>
          <w:b/>
          <w:color w:val="333333"/>
          <w:sz w:val="24"/>
        </w:rPr>
        <w:t>）下周期</w:t>
      </w:r>
      <w:r>
        <w:rPr>
          <w:rFonts w:ascii="宋体" w:hAnsi="宋体" w:cs="宋体" w:hint="eastAsia"/>
          <w:color w:val="333333"/>
          <w:kern w:val="0"/>
          <w:sz w:val="24"/>
        </w:rPr>
        <w:t>开放期具体安排如下，开放期最后一日及确认日如遇非工作日，则依次顺延至下一个工作日，敬请投资者关注，提前做好投资安排。</w:t>
      </w:r>
    </w:p>
    <w:tbl>
      <w:tblPr>
        <w:tblStyle w:val="TableGrid"/>
        <w:tblW w:w="8472" w:type="dxa"/>
        <w:tblLayout w:type="fixed"/>
        <w:tblLook w:val="04A0"/>
      </w:tblPr>
      <w:tblGrid>
        <w:gridCol w:w="1668"/>
        <w:gridCol w:w="2976"/>
        <w:gridCol w:w="1985"/>
        <w:gridCol w:w="1843"/>
      </w:tblGrid>
      <w:tr w:rsidTr="00573F61">
        <w:tblPrEx>
          <w:tblW w:w="8472" w:type="dxa"/>
          <w:tblLayout w:type="fixed"/>
          <w:tblLook w:val="04A0"/>
        </w:tblPrEx>
        <w:trPr>
          <w:trHeight w:val="355"/>
        </w:trPr>
        <w:tc>
          <w:tcPr>
            <w:tcW w:w="1668" w:type="dxa"/>
          </w:tcPr>
          <w:p w:rsidR="006A11F6" w:rsidP="00374B44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333333"/>
                <w:sz w:val="24"/>
              </w:rPr>
              <w:t>销售代码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交易类型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2025-08-28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2025-09-03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2025-09-04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FRG1801B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2025-09-03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2025-09-03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2025-09-04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FRG1801C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2025-08-28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2025-09-03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2025-09-04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</w:tbl>
    <w:p w:rsidR="006A11F6"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</w:p>
    <w:p w:rsidR="006A11F6"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注：</w:t>
      </w:r>
    </w:p>
    <w:p w:rsidR="006A11F6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本理财计划业绩比较基准由管理人根据投资范围及投资策略，结合市场环境因素进行测算而得出。业绩比较基准是管理人基于理财计划</w:t>
      </w:r>
      <w:bookmarkStart w:id="0" w:name="_GoBack"/>
      <w:bookmarkEnd w:id="0"/>
      <w:r>
        <w:rPr>
          <w:rFonts w:ascii="宋体" w:hAnsi="宋体" w:cs="宋体" w:hint="eastAsia"/>
          <w:kern w:val="0"/>
          <w:szCs w:val="21"/>
        </w:rPr>
        <w:t>收益风险特征、投资策略、过往经验等因素对理财计划业绩设定的投资目标，不代表理财计划的未来表现和实际收益，也不构成对理财计划收益的承诺。</w:t>
      </w:r>
    </w:p>
    <w:p w:rsidR="006A11F6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如法定节假日调整，管理人将对公告中的日期做出相应调整，以管理人最新公告为准。</w:t>
      </w:r>
    </w:p>
    <w:p w:rsidR="006A11F6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开放时间具体安排以销售机构规定为准。</w:t>
      </w:r>
    </w:p>
    <w:p w:rsidR="006A11F6">
      <w:pPr>
        <w:widowControl/>
        <w:jc w:val="right"/>
        <w:rPr>
          <w:rFonts w:ascii="微软雅黑" w:hAnsi="微软雅黑" w:cs="宋体"/>
          <w:color w:val="333333"/>
          <w:kern w:val="0"/>
          <w:sz w:val="24"/>
        </w:rPr>
      </w:pPr>
      <w:r>
        <w:rPr>
          <w:rFonts w:ascii="微软雅黑" w:hAnsi="微软雅黑" w:cs="宋体" w:hint="eastAsia"/>
          <w:color w:val="333333"/>
          <w:kern w:val="0"/>
          <w:sz w:val="24"/>
        </w:rPr>
        <w:t>                         </w:t>
      </w:r>
      <w:r>
        <w:rPr>
          <w:rFonts w:ascii="微软雅黑" w:hAnsi="微软雅黑" w:cs="宋体" w:hint="eastAsia"/>
          <w:color w:val="333333"/>
          <w:kern w:val="0"/>
          <w:sz w:val="24"/>
        </w:rPr>
        <w:t>杭银理财有限责任公司</w:t>
      </w:r>
    </w:p>
    <w:p w:rsidR="006A11F6">
      <w:pPr>
        <w:widowControl/>
        <w:jc w:val="right"/>
      </w:pPr>
      <w:r>
        <w:rPr>
          <w:rFonts w:ascii="宋体" w:hAnsi="宋体" w:cs="宋体" w:hint="eastAsia"/>
          <w:color w:val="333333"/>
          <w:kern w:val="0"/>
          <w:sz w:val="24"/>
        </w:rPr>
        <w:t>                         </w:t>
      </w:r>
      <w:r>
        <w:rPr>
          <w:rFonts w:ascii="宋体" w:eastAsia="宋体" w:hAnsi="宋体" w:cs="宋体"/>
          <w:color w:val="333333"/>
          <w:sz w:val="24"/>
        </w:rPr>
        <w:t>2025年7月22日</w:t>
      </w:r>
    </w:p>
    <w:p w:rsidR="006A11F6">
      <w:pPr>
        <w:widowControl/>
        <w:jc w:val="right"/>
      </w:pPr>
    </w:p>
    <w:sectPr>
      <w:headerReference w:type="default" r:id="rId5"/>
      <w:pgSz w:w="11906" w:h="16838"/>
      <w:pgMar w:top="2551" w:right="1803" w:bottom="2551" w:left="1803" w:header="851" w:footer="992" w:gutter="0"/>
      <w:cols w:space="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11F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903C63B"/>
    <w:multiLevelType w:val="singleLevel"/>
    <w:tmpl w:val="4903C63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40"/>
  <w:doNotDisplayPageBoundaries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00040F12"/>
    <w:rsid w:val="00076F95"/>
    <w:rsid w:val="000B5C80"/>
    <w:rsid w:val="00123A32"/>
    <w:rsid w:val="00182547"/>
    <w:rsid w:val="001E34DE"/>
    <w:rsid w:val="00216866"/>
    <w:rsid w:val="00251162"/>
    <w:rsid w:val="002979BD"/>
    <w:rsid w:val="00374B44"/>
    <w:rsid w:val="00386722"/>
    <w:rsid w:val="003B478B"/>
    <w:rsid w:val="003B5EA1"/>
    <w:rsid w:val="00573F61"/>
    <w:rsid w:val="00632F14"/>
    <w:rsid w:val="006A11F6"/>
    <w:rsid w:val="006F1E86"/>
    <w:rsid w:val="00800AAF"/>
    <w:rsid w:val="008E2414"/>
    <w:rsid w:val="00941ACB"/>
    <w:rsid w:val="00970427"/>
    <w:rsid w:val="009C52F4"/>
    <w:rsid w:val="00B00500"/>
    <w:rsid w:val="00B0716D"/>
    <w:rsid w:val="00BB6E73"/>
    <w:rsid w:val="00C822CD"/>
    <w:rsid w:val="00D00D6A"/>
    <w:rsid w:val="00D01161"/>
    <w:rsid w:val="00DB32F4"/>
    <w:rsid w:val="00DD583F"/>
    <w:rsid w:val="00F25FAF"/>
    <w:rsid w:val="00F43942"/>
    <w:rsid w:val="01632288"/>
    <w:rsid w:val="023B73FD"/>
    <w:rsid w:val="035E6A6E"/>
    <w:rsid w:val="04EF499C"/>
    <w:rsid w:val="06090E49"/>
    <w:rsid w:val="086F3434"/>
    <w:rsid w:val="09D5040F"/>
    <w:rsid w:val="0AA12391"/>
    <w:rsid w:val="0C760411"/>
    <w:rsid w:val="0FAD1E3A"/>
    <w:rsid w:val="0FE05E22"/>
    <w:rsid w:val="0FFB2C2E"/>
    <w:rsid w:val="14064585"/>
    <w:rsid w:val="144D2883"/>
    <w:rsid w:val="161D7C87"/>
    <w:rsid w:val="169966B8"/>
    <w:rsid w:val="1774510A"/>
    <w:rsid w:val="192E28D5"/>
    <w:rsid w:val="1B395CAB"/>
    <w:rsid w:val="1DE30B4B"/>
    <w:rsid w:val="1E9A3ACF"/>
    <w:rsid w:val="1EF87BD2"/>
    <w:rsid w:val="1FB466A7"/>
    <w:rsid w:val="1FCB4E7D"/>
    <w:rsid w:val="212E6400"/>
    <w:rsid w:val="216138F2"/>
    <w:rsid w:val="21F964F5"/>
    <w:rsid w:val="22291B40"/>
    <w:rsid w:val="22680F97"/>
    <w:rsid w:val="227F642E"/>
    <w:rsid w:val="23E23118"/>
    <w:rsid w:val="252937ED"/>
    <w:rsid w:val="26CE5261"/>
    <w:rsid w:val="26F22D0A"/>
    <w:rsid w:val="28362D7D"/>
    <w:rsid w:val="29A34A1D"/>
    <w:rsid w:val="2B2B5DF9"/>
    <w:rsid w:val="2B991B88"/>
    <w:rsid w:val="2EDF0E96"/>
    <w:rsid w:val="2F1871F2"/>
    <w:rsid w:val="2F294853"/>
    <w:rsid w:val="2FC14D08"/>
    <w:rsid w:val="30E359F4"/>
    <w:rsid w:val="32C46370"/>
    <w:rsid w:val="35286DA6"/>
    <w:rsid w:val="38921940"/>
    <w:rsid w:val="3D4A7245"/>
    <w:rsid w:val="3E692474"/>
    <w:rsid w:val="3E834198"/>
    <w:rsid w:val="3F4D0D7F"/>
    <w:rsid w:val="41F371BC"/>
    <w:rsid w:val="4273183E"/>
    <w:rsid w:val="446E5366"/>
    <w:rsid w:val="456D2AD8"/>
    <w:rsid w:val="467D220C"/>
    <w:rsid w:val="468E71F3"/>
    <w:rsid w:val="472C02DC"/>
    <w:rsid w:val="4A4D08B6"/>
    <w:rsid w:val="4BB54F8B"/>
    <w:rsid w:val="50270C90"/>
    <w:rsid w:val="50356190"/>
    <w:rsid w:val="50A20A38"/>
    <w:rsid w:val="51475EBB"/>
    <w:rsid w:val="54D44304"/>
    <w:rsid w:val="55072DFB"/>
    <w:rsid w:val="55167E68"/>
    <w:rsid w:val="557F18F4"/>
    <w:rsid w:val="55E447C3"/>
    <w:rsid w:val="57251378"/>
    <w:rsid w:val="57D7577C"/>
    <w:rsid w:val="57F43A1C"/>
    <w:rsid w:val="5B2F104F"/>
    <w:rsid w:val="5BFE1262"/>
    <w:rsid w:val="5E085CFB"/>
    <w:rsid w:val="5EC66559"/>
    <w:rsid w:val="60C55E6C"/>
    <w:rsid w:val="62576867"/>
    <w:rsid w:val="6404319E"/>
    <w:rsid w:val="64381403"/>
    <w:rsid w:val="65D24C58"/>
    <w:rsid w:val="6687052B"/>
    <w:rsid w:val="67EC6F4F"/>
    <w:rsid w:val="680375CC"/>
    <w:rsid w:val="68F17FDC"/>
    <w:rsid w:val="6A8B3349"/>
    <w:rsid w:val="6A9B6989"/>
    <w:rsid w:val="6DD2217A"/>
    <w:rsid w:val="6E683E61"/>
    <w:rsid w:val="6FAE51B6"/>
    <w:rsid w:val="701E6454"/>
    <w:rsid w:val="7107423D"/>
    <w:rsid w:val="74790878"/>
    <w:rsid w:val="76654E07"/>
    <w:rsid w:val="76E67429"/>
    <w:rsid w:val="78FB4CF4"/>
    <w:rsid w:val="79E32EAD"/>
    <w:rsid w:val="7B4A3932"/>
    <w:rsid w:val="7C90559F"/>
    <w:rsid w:val="7D875343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FEC92F2-15B5-4B9B-AD78-DB014E53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2620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hspcadmin</cp:lastModifiedBy>
  <cp:revision>25</cp:revision>
  <dcterms:created xsi:type="dcterms:W3CDTF">2022-08-17T14:47:00Z</dcterms:created>
  <dcterms:modified xsi:type="dcterms:W3CDTF">2024-09-11T01:44:00Z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