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cs="宋体"/>
          <w:b/>
          <w:bCs/>
          <w:sz w:val="44"/>
          <w:szCs w:val="44"/>
          <w:highlight w:val="none"/>
        </w:rPr>
        <w:t>幸福99丰裕固收763天25139期理财风险揭示书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eastAsia="zh-CN"/>
        </w:rPr>
        <w:t>5</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国家金融监督管理总局相关监督规定，杭银理财有限责任公司作为本理财计划的管理人郑重提示：在购买理财计划前，请仔细阅读本理财计划完整合同（包括但不限于理财计划风险揭示书、理财计划说明书、投资者权益须知、理财计划投资协议书和理财计划销售协议书，</w:t>
      </w:r>
      <w:r>
        <w:rPr>
          <w:rFonts w:hint="eastAsia" w:ascii="宋体" w:hAnsi="宋体" w:cs="宋体"/>
          <w:b/>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购买力风险：如发生通货膨胀，则所投资产的收益可能会被通货膨胀抵消，从而对理财计划收益的实际购买力产生影响。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法律、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提前或延期终止风险：为保护投资者利益，在理财计划存续期间，管理人可根据理财计划说明书约定的情形提前或延期终止本理财计划。如理财计划被提前或延期终止，则投资者将面临提前终止再投资或延期兑付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信息传递风险：1.理财计划管理人将按照本理财计划销售文件中约定的信息披露方式、途径向投资者公示本理财计划的各类信息和重大事件，投资者应及时查询、了解。由于投资者未能及时主动了解理财计划信息或由于不抗力及/或意外事件的影响导致投资者无法及时了解理财计划信息，从而影响投资者的投资决策，由此产生的责任和风险由投资者自行承担。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资金流动性风险：本理财计划认购份额确认后，封闭式运作，产品终止前投资者不得提前赎回。</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收益不达业绩比较基准风险：本理财计划可投资于债券及非标准化债权类资产等固定收益类及权益类资产，因融资人违约及市场波动或导致投资者的本金出现损失。</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上述理财计划共性与特定风险发生时，投资者的本金及收益可能遭受损失，在最不利情形下，将损失全部本金及收益（如有），由此产生的风险及损失将由投资者自行承担。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240" w:firstLineChars="100"/>
        <w:jc w:val="left"/>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本理财计划为公募、封闭式、〖固定收益类〗净值型理财计划，〖763天〗</w:t>
      </w:r>
      <w:r>
        <w:rPr>
          <w:rFonts w:hint="eastAsia" w:ascii="宋体" w:hAnsi="宋体" w:cs="宋体"/>
          <w:bCs/>
          <w:color w:val="000000"/>
          <w:sz w:val="24"/>
          <w:highlight w:val="none"/>
        </w:rPr>
        <w:t>，</w:t>
      </w:r>
      <w:r>
        <w:rPr>
          <w:rFonts w:hint="eastAsia" w:ascii="宋体" w:hAnsi="宋体" w:cs="宋体"/>
          <w:b/>
          <w:sz w:val="24"/>
          <w:highlight w:val="none"/>
        </w:rPr>
        <w:t>不保证本金与收益。理财计划过往业绩不代表其未来表现，不等于理财计划实际收益，投资须谨慎！根据本公司理财产品内部风险评级，该理财计划风险评级结果为〖R2〗,〖中低〗风险</w:t>
      </w:r>
      <w:r>
        <w:rPr>
          <w:rFonts w:hint="eastAsia" w:ascii="宋体" w:hAnsi="宋体" w:cs="宋体"/>
          <w:bCs/>
          <w:sz w:val="24"/>
          <w:highlight w:val="none"/>
        </w:rPr>
        <w:t>（本风险等级为我公司内部风险评级结果，仅供参考,理财计划通过代理销售机构渠道销售的，理财计划产品评级应当以代理销售机构最终披露的评级结果为准），</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 w:val="0"/>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rPr>
        <w:t>本理财计划投资者适当性评估由销售机构负责，销售机构应确保个人投资者的风险承受能力不低于本理财计划风险评级。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理财计划管理人有权按照国内外反洗钱相关适用的法律法规和监管要求，从销售机构获得相应必要的投资者身份信息并报送投资者身份信息及其持有理财产品信息。销售机构将在合法、合理且必要时向管理人提供投资者身份识别信息（投资者身份识别信息包括但不限于：投资者的姓名、性别、国籍、职业、住所地或者工作单位地址、常居地地址、联系方式、身份证明文件的种类、号码和有效期限、代理人信息、受益所有人信息），以及在合法、合理且必要时进一步提供身份证明文件的复印件和影印件以及其他必要信息。投资者签署后即表示同意并配合提供前述信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pStyle w:val="13"/>
        <w:spacing w:line="360" w:lineRule="auto"/>
        <w:jc w:val="center"/>
        <w:outlineLvl w:val="1"/>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投资者确认栏（个人投资者填写）</w:t>
      </w:r>
    </w:p>
    <w:p>
      <w:pPr>
        <w:pStyle w:val="13"/>
        <w:spacing w:line="360" w:lineRule="auto"/>
        <w:jc w:val="both"/>
        <w:rPr>
          <w:rFonts w:hint="eastAsia" w:ascii="宋体" w:hAnsi="宋体" w:cs="宋体"/>
          <w:b/>
          <w:color w:val="auto"/>
          <w:highlight w:val="none"/>
        </w:rPr>
      </w:pPr>
    </w:p>
    <w:p>
      <w:pPr>
        <w:pStyle w:val="13"/>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3"/>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3"/>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如超过一年未进行风险承受能力评估或影响本人风险承受能力的因素发生变化，本人将于再次购买理财计划时及时完成风险承受能力评估。</w:t>
      </w:r>
    </w:p>
    <w:p>
      <w:pPr>
        <w:pStyle w:val="13"/>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13"/>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计划的资金为合法自有资金，不存在使用借款、贷款等非自有资金的情形；且系为合法目的投资本理财计划，而非为洗钱等违法违规之目的，本人将配合管理人或销售机构开展客户身份识别及尽职调查、反恐怖融资以及非居民金融账户尽职调查等，及时、真实、准确提供身份信息及资金来源信息。</w:t>
      </w:r>
    </w:p>
    <w:p>
      <w:pPr>
        <w:pStyle w:val="13"/>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 xml:space="preserve">“本人已经阅读上述风险揭示，愿意承担投资风险。”如通过线上渠道购买，认/申购交易确认即视为投资者同意自身风险承受能力等级并确认风险揭示内容，愿意承担投资风险，与书面签署具有同等效力。） </w:t>
      </w:r>
    </w:p>
    <w:p>
      <w:pPr>
        <w:pStyle w:val="13"/>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3"/>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rPr>
          <w:rFonts w:hint="eastAsia" w:ascii="宋体" w:hAnsi="宋体"/>
          <w:b/>
          <w:kern w:val="0"/>
          <w:szCs w:val="21"/>
          <w:highlight w:val="none"/>
        </w:rPr>
      </w:pPr>
    </w:p>
    <w:p>
      <w:pPr>
        <w:pStyle w:val="13"/>
        <w:spacing w:line="360" w:lineRule="auto"/>
        <w:ind w:firstLine="482" w:firstLineChars="200"/>
        <w:jc w:val="center"/>
        <w:outlineLvl w:val="1"/>
        <w:rPr>
          <w:rFonts w:hint="eastAsia" w:ascii="宋体" w:hAnsi="宋体" w:cs="宋体"/>
          <w:b/>
          <w:bCs/>
          <w:color w:val="auto"/>
          <w:highlight w:val="none"/>
        </w:rPr>
      </w:pPr>
      <w:r>
        <w:rPr>
          <w:rFonts w:hint="eastAsia" w:ascii="宋体" w:hAnsi="宋体" w:cs="宋体"/>
          <w:b/>
          <w:bCs/>
          <w:color w:val="auto"/>
          <w:highlight w:val="none"/>
        </w:rPr>
        <w:t>投资者确认栏（机构投资者）</w:t>
      </w:r>
    </w:p>
    <w:p>
      <w:pPr>
        <w:pStyle w:val="13"/>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cs="宋体"/>
          <w:b/>
          <w:bCs/>
          <w:color w:val="auto"/>
          <w:highlight w:val="none"/>
          <w:u w:val="single"/>
        </w:rPr>
        <w:t>接受本风险揭示书及《理财计划产品说明书》《投资者权益须知》《理财计划投资协议书》《理财计划销售协议书》等本理财计划合同全部内容，自愿且有能力承担投资本理财计划的风险。</w:t>
      </w:r>
    </w:p>
    <w:p>
      <w:pPr>
        <w:pStyle w:val="13"/>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jc w:val="both"/>
        <w:rPr>
          <w:rFonts w:hint="eastAsia" w:ascii="宋体" w:hAnsi="宋体" w:cs="宋体"/>
          <w:color w:val="auto"/>
          <w:highlight w:val="none"/>
        </w:rPr>
      </w:pPr>
      <w:r>
        <w:rPr>
          <w:rFonts w:hint="eastAsia" w:ascii="宋体" w:hAnsi="宋体" w:cs="宋体"/>
          <w:color w:val="auto"/>
          <w:highlight w:val="none"/>
        </w:rPr>
        <w:t>投资者（公章）                          法定代表人或授权代理人（签章）</w:t>
      </w: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ind w:firstLine="480" w:firstLineChars="200"/>
        <w:jc w:val="right"/>
        <w:rPr>
          <w:rFonts w:hint="eastAsia" w:ascii="宋体" w:hAnsi="宋体" w:cs="宋体"/>
          <w:color w:val="auto"/>
          <w:highlight w:val="none"/>
        </w:rPr>
      </w:pPr>
    </w:p>
    <w:p>
      <w:pPr>
        <w:pStyle w:val="13"/>
        <w:spacing w:line="360" w:lineRule="auto"/>
        <w:ind w:firstLine="480" w:firstLineChars="200"/>
        <w:jc w:val="righ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highlight w:val="none"/>
          <w:u w:val="single"/>
        </w:rPr>
        <w:t xml:space="preserve">      </w:t>
      </w:r>
      <w:r>
        <w:rPr>
          <w:rFonts w:hint="eastAsia" w:ascii="宋体" w:hAnsi="宋体" w:cs="宋体"/>
          <w:color w:val="auto"/>
          <w:highlight w:val="none"/>
        </w:rPr>
        <w:t>年</w:t>
      </w:r>
      <w:r>
        <w:rPr>
          <w:rFonts w:hint="eastAsia" w:ascii="宋体" w:hAnsi="宋体" w:cs="宋体"/>
          <w:highlight w:val="none"/>
          <w:u w:val="single"/>
        </w:rPr>
        <w:t xml:space="preserve">    </w:t>
      </w:r>
      <w:r>
        <w:rPr>
          <w:rFonts w:hint="eastAsia" w:ascii="宋体" w:hAnsi="宋体" w:cs="宋体"/>
          <w:color w:val="auto"/>
          <w:highlight w:val="none"/>
        </w:rPr>
        <w:t>月</w:t>
      </w:r>
      <w:r>
        <w:rPr>
          <w:rFonts w:hint="eastAsia" w:ascii="宋体" w:hAnsi="宋体" w:cs="宋体"/>
          <w:highlight w:val="none"/>
          <w:u w:val="single"/>
        </w:rPr>
        <w:t xml:space="preserve">    </w:t>
      </w:r>
      <w:r>
        <w:rPr>
          <w:rFonts w:hint="eastAsia" w:ascii="宋体" w:hAnsi="宋体" w:cs="宋体"/>
          <w:color w:val="auto"/>
          <w:highlight w:val="none"/>
        </w:rPr>
        <w:t>日</w:t>
      </w: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562BF7"/>
    <w:rsid w:val="03BA3F56"/>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AD01AC"/>
    <w:rsid w:val="1D866C77"/>
    <w:rsid w:val="1D9446FE"/>
    <w:rsid w:val="1DA62CA8"/>
    <w:rsid w:val="1E831DF3"/>
    <w:rsid w:val="1E856DEB"/>
    <w:rsid w:val="1F3C1565"/>
    <w:rsid w:val="20BD2325"/>
    <w:rsid w:val="24A67BC4"/>
    <w:rsid w:val="25801A05"/>
    <w:rsid w:val="27CE3874"/>
    <w:rsid w:val="27EB3D24"/>
    <w:rsid w:val="28B13D99"/>
    <w:rsid w:val="2A4135AD"/>
    <w:rsid w:val="2AD52CEA"/>
    <w:rsid w:val="2B683C5D"/>
    <w:rsid w:val="2B8255D3"/>
    <w:rsid w:val="2C016B4D"/>
    <w:rsid w:val="2CED7384"/>
    <w:rsid w:val="2D131CD0"/>
    <w:rsid w:val="2DD45D89"/>
    <w:rsid w:val="2F237638"/>
    <w:rsid w:val="2F6A71CE"/>
    <w:rsid w:val="307B1E47"/>
    <w:rsid w:val="348C31DF"/>
    <w:rsid w:val="348E01C6"/>
    <w:rsid w:val="354C4323"/>
    <w:rsid w:val="35CD15B7"/>
    <w:rsid w:val="35D86BDE"/>
    <w:rsid w:val="35FD5667"/>
    <w:rsid w:val="36310E4A"/>
    <w:rsid w:val="36591675"/>
    <w:rsid w:val="372216A6"/>
    <w:rsid w:val="38663D34"/>
    <w:rsid w:val="39310E98"/>
    <w:rsid w:val="3AA66AF1"/>
    <w:rsid w:val="3B885E8A"/>
    <w:rsid w:val="3C4454BA"/>
    <w:rsid w:val="3D3D1991"/>
    <w:rsid w:val="3E6E2E42"/>
    <w:rsid w:val="3EA23778"/>
    <w:rsid w:val="3EAC1C1C"/>
    <w:rsid w:val="3EE67142"/>
    <w:rsid w:val="3EFE04EE"/>
    <w:rsid w:val="3F0A6615"/>
    <w:rsid w:val="3FCF347B"/>
    <w:rsid w:val="3FE830E5"/>
    <w:rsid w:val="40163267"/>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C66812"/>
    <w:rsid w:val="5DF35554"/>
    <w:rsid w:val="608F3A1C"/>
    <w:rsid w:val="61423886"/>
    <w:rsid w:val="6336483C"/>
    <w:rsid w:val="646D7D7D"/>
    <w:rsid w:val="64A47711"/>
    <w:rsid w:val="64BB6AA4"/>
    <w:rsid w:val="64EB1FB1"/>
    <w:rsid w:val="65085FDD"/>
    <w:rsid w:val="65F53E4A"/>
    <w:rsid w:val="66A625FE"/>
    <w:rsid w:val="66BC7D07"/>
    <w:rsid w:val="672D0717"/>
    <w:rsid w:val="68782DAE"/>
    <w:rsid w:val="69644745"/>
    <w:rsid w:val="69BC658F"/>
    <w:rsid w:val="6A042D14"/>
    <w:rsid w:val="6ABE1B22"/>
    <w:rsid w:val="6B29233B"/>
    <w:rsid w:val="6B8C2015"/>
    <w:rsid w:val="6C1B5E3A"/>
    <w:rsid w:val="6C3E06A6"/>
    <w:rsid w:val="6D966DB7"/>
    <w:rsid w:val="6DF02B61"/>
    <w:rsid w:val="6EE209DA"/>
    <w:rsid w:val="70597F18"/>
    <w:rsid w:val="7082330A"/>
    <w:rsid w:val="725917A9"/>
    <w:rsid w:val="73631A55"/>
    <w:rsid w:val="77B75243"/>
    <w:rsid w:val="77C21A5F"/>
    <w:rsid w:val="77D23D86"/>
    <w:rsid w:val="792D1E0D"/>
    <w:rsid w:val="79321117"/>
    <w:rsid w:val="7A3A7C0C"/>
    <w:rsid w:val="7A835F66"/>
    <w:rsid w:val="7A8955BC"/>
    <w:rsid w:val="7A9D6576"/>
    <w:rsid w:val="7C0B646F"/>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6"/>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7"/>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Default"/>
    <w:qFormat/>
    <w:uiPriority w:val="0"/>
    <w:pPr>
      <w:widowControl w:val="0"/>
      <w:autoSpaceDE w:val="0"/>
      <w:autoSpaceDN w:val="0"/>
      <w:adjustRightInd w:val="0"/>
    </w:pPr>
    <w:rPr>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框文本 字符"/>
    <w:link w:val="3"/>
    <w:uiPriority w:val="0"/>
    <w:rPr>
      <w:rFonts w:ascii="Calibri" w:hAnsi="Calibri" w:cs="黑体"/>
      <w:kern w:val="2"/>
      <w:sz w:val="18"/>
      <w:szCs w:val="18"/>
    </w:rPr>
  </w:style>
  <w:style w:type="character" w:customStyle="1" w:styleId="16">
    <w:name w:val="批注文字 字符"/>
    <w:link w:val="2"/>
    <w:uiPriority w:val="0"/>
    <w:rPr>
      <w:rFonts w:ascii="Calibri" w:hAnsi="Calibri" w:cs="黑体"/>
      <w:kern w:val="2"/>
      <w:sz w:val="21"/>
      <w:szCs w:val="24"/>
    </w:rPr>
  </w:style>
  <w:style w:type="character" w:customStyle="1" w:styleId="17">
    <w:name w:val="批注主题 字符"/>
    <w:link w:val="7"/>
    <w:uiPriority w:val="0"/>
    <w:rPr>
      <w:rFonts w:ascii="Calibri" w:hAnsi="Calibri" w:cs="黑体"/>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35349</Words>
  <Characters>37717</Characters>
  <Lines>259</Lines>
  <Paragraphs>72</Paragraphs>
  <TotalTime>0</TotalTime>
  <ScaleCrop>false</ScaleCrop>
  <LinksUpToDate>false</LinksUpToDate>
  <CharactersWithSpaces>38116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2025-07-10T06:55:03Z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