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幸福99丰裕固收763天25139期理财产品说明书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5</w:t>
      </w:r>
      <w:r>
        <w:rPr>
          <w:rFonts w:hint="eastAsia" w:ascii="宋体" w:hAnsi="宋体" w:cs="宋体"/>
          <w:sz w:val="28"/>
          <w:szCs w:val="28"/>
          <w:highlight w:val="none"/>
        </w:rPr>
        <w:t>01版）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sz w:val="24"/>
          <w:highlight w:val="none"/>
        </w:rPr>
        <w:t>:</w:t>
      </w:r>
      <w:r>
        <w:rPr>
          <w:rFonts w:hint="eastAsia" w:ascii="宋体" w:hAnsi="宋体" w:cs="宋体"/>
          <w:bCs/>
          <w:sz w:val="24"/>
          <w:highlight w:val="none"/>
        </w:rPr>
        <w:t>〖</w:t>
      </w:r>
      <w:r>
        <w:rPr>
          <w:rFonts w:hint="eastAsia" w:ascii="宋体" w:hAnsi="宋体" w:cs="宋体"/>
          <w:color w:val="000000"/>
          <w:sz w:val="24"/>
          <w:highlight w:val="none"/>
        </w:rPr>
        <w:t>Z7002225000257</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理财计划销售协议书》，将共同构成投资者与管理人之间的理财计划销售文件。</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在本理财计划存续期内，如因监管政策或法律法规发生变化，在不损害投资者利益的前提下，管理人有权对因上述变化导致的本理财计划说明书条款变化进行修订。</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3"/>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3"/>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指杭银理财有限责任公司，主要从事面向不特定社会公众公开发行理财产品、面向合格投资者非公开发行理财产品、理财顾问和咨询服务等相关业务。杭银理财有限责任公司简称杭银理财，官网网站为</w:t>
      </w:r>
      <w:r>
        <w:rPr>
          <w:rFonts w:hint="eastAsia" w:ascii="宋体" w:hAnsi="宋体" w:cs="宋体"/>
          <w:bCs/>
          <w:color w:val="auto"/>
          <w:kern w:val="2"/>
          <w:highlight w:val="none"/>
          <w:u w:val="single"/>
        </w:rPr>
        <w:t>https://www.hzbankwealth.com.cn。</w:t>
      </w:r>
    </w:p>
    <w:p>
      <w:pPr>
        <w:pStyle w:val="13"/>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rPr>
          <w:rFonts w:hint="eastAsia" w:ascii="宋体" w:hAnsi="宋体" w:cs="宋体"/>
          <w:bCs/>
          <w:color w:val="auto"/>
          <w:kern w:val="2"/>
          <w:highlight w:val="none"/>
          <w:u w:val="single"/>
        </w:rPr>
        <w:instrText xml:space="preserve"> HYPERLINK "http://www.hzbank.com.cn" </w:instrText>
      </w:r>
      <w:r>
        <w:fldChar w:fldCharType="separate"/>
      </w:r>
      <w:r>
        <w:rPr>
          <w:rFonts w:hint="eastAsia" w:ascii="宋体" w:hAnsi="宋体" w:cs="宋体"/>
          <w:bCs/>
          <w:color w:val="auto"/>
          <w:kern w:val="2"/>
          <w:highlight w:val="none"/>
          <w:u w:val="single"/>
        </w:rPr>
        <w:t>www.hzbank.com.cn</w:t>
      </w:r>
      <w:r>
        <w:fldChar w:fldCharType="end"/>
      </w:r>
      <w:r>
        <w:rPr>
          <w:rFonts w:hint="eastAsia" w:ascii="宋体" w:hAnsi="宋体" w:cs="宋体"/>
          <w:bCs/>
          <w:color w:val="auto"/>
          <w:kern w:val="2"/>
          <w:highlight w:val="none"/>
        </w:rPr>
        <w:t>，客服热线为95398。</w:t>
      </w:r>
    </w:p>
    <w:p>
      <w:pPr>
        <w:pStyle w:val="13"/>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highlight w:val="none"/>
        </w:rPr>
        <w:t>〖</w:t>
      </w:r>
      <w:r>
        <w:rPr>
          <w:rFonts w:hint="eastAsia" w:ascii="宋体" w:hAnsi="宋体" w:cs="宋体"/>
          <w:bCs/>
          <w:color w:val="auto"/>
          <w:kern w:val="2"/>
          <w:highlight w:val="none"/>
        </w:rPr>
        <w:t>杭州银行股份有限公司</w:t>
      </w:r>
      <w:r>
        <w:rPr>
          <w:rFonts w:hint="eastAsia" w:ascii="宋体" w:hAnsi="宋体" w:cs="宋体"/>
          <w:highlight w:val="none"/>
        </w:rPr>
        <w:t>〗</w:t>
      </w:r>
      <w:r>
        <w:rPr>
          <w:rFonts w:hint="eastAsia" w:ascii="宋体" w:hAnsi="宋体" w:cs="宋体"/>
          <w:bCs/>
          <w:color w:val="auto"/>
          <w:kern w:val="2"/>
          <w:highlight w:val="none"/>
        </w:rPr>
        <w:t>。</w:t>
      </w:r>
    </w:p>
    <w:p>
      <w:pPr>
        <w:pStyle w:val="13"/>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3"/>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3"/>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国家金融监督管理总局、中国证券监督管理委员会、外汇管理局、银行业理财登记托管中心等。</w:t>
      </w:r>
    </w:p>
    <w:p>
      <w:pPr>
        <w:pStyle w:val="13"/>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3"/>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指《幸福99丰裕固收763天25139期理财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3"/>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指作为幸福99丰裕固收763天25139期理财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3"/>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指作为幸福99丰裕固收763天25139期理财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3"/>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指作为幸福99丰裕固收763天25139期理财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3"/>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理财计划销售协议书：</w:t>
      </w:r>
      <w:r>
        <w:rPr>
          <w:rFonts w:hint="eastAsia" w:ascii="宋体" w:hAnsi="宋体" w:cs="宋体"/>
          <w:bCs/>
          <w:color w:val="auto"/>
          <w:kern w:val="2"/>
          <w:highlight w:val="none"/>
        </w:rPr>
        <w:t>指作为幸福99丰裕固收763天25139期理财合同不可分割组成部分的理财计划销售协议书，以及对该文件的有效修改与补充。</w:t>
      </w:r>
    </w:p>
    <w:p>
      <w:pPr>
        <w:pStyle w:val="13"/>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指《理财计划风险揭示书》《理财计划产品说明书》《投资者权益须知》《理财计划投资协议书》《理财计划销售协议书》五个部分。</w:t>
      </w:r>
    </w:p>
    <w:p>
      <w:pPr>
        <w:pStyle w:val="13"/>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指幸福99丰裕固收763天25139期理财</w:t>
      </w:r>
      <w:r>
        <w:rPr>
          <w:rFonts w:hint="eastAsia" w:ascii="宋体" w:hAnsi="宋体" w:cs="宋体"/>
          <w:bCs/>
          <w:highlight w:val="none"/>
        </w:rPr>
        <w:t>。</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3"/>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3"/>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指上海证券交易所、深圳证券交易所的正常交易日。如涉及到监管条例部分，统一以监管条例表述替代。</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指理财计划成立后，理财计划不接受投资者申购赎回的时间。</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其他费用：</w:t>
      </w:r>
      <w:r>
        <w:rPr>
          <w:rFonts w:hint="eastAsia" w:ascii="宋体" w:hAnsi="宋体" w:cs="宋体"/>
          <w:bCs/>
          <w:highlight w:val="none"/>
        </w:rPr>
        <w:t>指除理财计划费用以外，理财计划涉及的其他相关费用，包括但不限于认购费、申购费、赎回费、投顾费等，具体以本说明书第八条约定为准。</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3"/>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3"/>
        <w:numPr>
          <w:ilvl w:val="0"/>
          <w:numId w:val="7"/>
        </w:numPr>
        <w:adjustRightInd/>
        <w:spacing w:line="360" w:lineRule="auto"/>
        <w:ind w:left="0" w:firstLine="0"/>
        <w:rPr>
          <w:rFonts w:hint="eastAsia" w:ascii="宋体" w:hAnsi="宋体" w:cs="宋体"/>
          <w:b/>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3"/>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3"/>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3"/>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3"/>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3"/>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3"/>
        <w:numPr>
          <w:ilvl w:val="0"/>
          <w:numId w:val="9"/>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3"/>
        <w:adjustRightInd/>
        <w:spacing w:line="360" w:lineRule="auto"/>
        <w:rPr>
          <w:rFonts w:hint="eastAsia" w:ascii="宋体" w:hAnsi="宋体" w:cs="宋体"/>
          <w:bCs/>
          <w:color w:val="auto"/>
          <w:kern w:val="2"/>
          <w:highlight w:val="none"/>
        </w:rPr>
      </w:pPr>
    </w:p>
    <w:p>
      <w:pPr>
        <w:pStyle w:val="13"/>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3"/>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cs="宋体"/>
          <w:b/>
          <w:highlight w:val="none"/>
        </w:rPr>
        <w:t>R2</w:t>
      </w:r>
      <w:r>
        <w:rPr>
          <w:rFonts w:hint="eastAsia" w:ascii="宋体" w:hAnsi="宋体" w:cs="宋体"/>
          <w:b/>
          <w:color w:val="auto"/>
          <w:kern w:val="2"/>
          <w:highlight w:val="none"/>
        </w:rPr>
        <w:t>〗，〖</w:t>
      </w:r>
      <w:r>
        <w:rPr>
          <w:rFonts w:hint="eastAsia" w:ascii="宋体" w:hAnsi="宋体" w:cs="宋体"/>
          <w:b/>
          <w:highlight w:val="none"/>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502"/>
        <w:gridCol w:w="5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内部风险评级</w:t>
            </w:r>
          </w:p>
        </w:tc>
        <w:tc>
          <w:tcPr>
            <w:tcW w:w="1502"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风险程度</w:t>
            </w:r>
          </w:p>
        </w:tc>
        <w:tc>
          <w:tcPr>
            <w:tcW w:w="5163"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R1</w:t>
            </w:r>
          </w:p>
        </w:tc>
        <w:tc>
          <w:tcPr>
            <w:tcW w:w="1502"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低</w:t>
            </w:r>
          </w:p>
        </w:tc>
        <w:tc>
          <w:tcPr>
            <w:tcW w:w="5163"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保守型、稳健型、平衡型、成长型、进取型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3"/>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R2</w:t>
            </w:r>
          </w:p>
        </w:tc>
        <w:tc>
          <w:tcPr>
            <w:tcW w:w="1502" w:type="dxa"/>
            <w:noWrap w:val="0"/>
            <w:vAlign w:val="top"/>
          </w:tcPr>
          <w:p>
            <w:pPr>
              <w:pStyle w:val="13"/>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中低</w:t>
            </w:r>
          </w:p>
        </w:tc>
        <w:tc>
          <w:tcPr>
            <w:tcW w:w="5163" w:type="dxa"/>
            <w:noWrap w:val="0"/>
            <w:vAlign w:val="top"/>
          </w:tcPr>
          <w:p>
            <w:pPr>
              <w:pStyle w:val="13"/>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R3</w:t>
            </w:r>
          </w:p>
        </w:tc>
        <w:tc>
          <w:tcPr>
            <w:tcW w:w="1502"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w:t>
            </w:r>
          </w:p>
        </w:tc>
        <w:tc>
          <w:tcPr>
            <w:tcW w:w="5163"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R4</w:t>
            </w:r>
          </w:p>
        </w:tc>
        <w:tc>
          <w:tcPr>
            <w:tcW w:w="1502"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中高</w:t>
            </w:r>
          </w:p>
        </w:tc>
        <w:tc>
          <w:tcPr>
            <w:tcW w:w="5163"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R5</w:t>
            </w:r>
          </w:p>
        </w:tc>
        <w:tc>
          <w:tcPr>
            <w:tcW w:w="1502"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高</w:t>
            </w:r>
          </w:p>
        </w:tc>
        <w:tc>
          <w:tcPr>
            <w:tcW w:w="5163" w:type="dxa"/>
            <w:noWrap w:val="0"/>
            <w:vAlign w:val="top"/>
          </w:tcPr>
          <w:p>
            <w:pPr>
              <w:pStyle w:val="13"/>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进取型</w:t>
            </w:r>
          </w:p>
        </w:tc>
      </w:tr>
    </w:tbl>
    <w:p>
      <w:pPr>
        <w:pStyle w:val="13"/>
        <w:adjustRightInd/>
        <w:spacing w:line="360" w:lineRule="auto"/>
        <w:ind w:firstLine="480" w:firstLineChars="200"/>
        <w:rPr>
          <w:rFonts w:ascii="宋体" w:hAnsi="宋体" w:cs="宋体"/>
          <w:bCs/>
          <w:color w:val="auto"/>
          <w:kern w:val="2"/>
          <w:highlight w:val="none"/>
        </w:rPr>
      </w:pPr>
      <w:r>
        <w:rPr>
          <w:rFonts w:hint="eastAsia" w:ascii="宋体" w:hAnsi="宋体" w:cs="宋体"/>
          <w:bCs/>
          <w:color w:val="auto"/>
          <w:kern w:val="2"/>
          <w:highlight w:val="none"/>
        </w:rPr>
        <w:t>投资者风险承受能力评级水平以销售机构评估为准。</w:t>
      </w:r>
    </w:p>
    <w:p>
      <w:pPr>
        <w:pStyle w:val="13"/>
        <w:adjustRightInd/>
        <w:spacing w:line="360" w:lineRule="auto"/>
        <w:rPr>
          <w:rFonts w:hint="eastAsia" w:ascii="宋体" w:hAnsi="宋体" w:cs="宋体"/>
          <w:bCs/>
          <w:color w:val="auto"/>
          <w:kern w:val="2"/>
          <w:highlight w:val="none"/>
        </w:rPr>
      </w:pPr>
    </w:p>
    <w:p>
      <w:pPr>
        <w:pStyle w:val="13"/>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产品名称</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幸福99丰裕固收763天25139期理财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产品简称</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丰裕固收25139期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产品编号</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〖FYG25139〗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登记编码</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本理财计划在全国银行业理财信息登记系统的登记编码是〖Z7002225000257〗，投资者可依据该编码在“中国理财网（www.chinawealth.com.cn）”查询本理财计划信息。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发行对象</w:t>
            </w:r>
          </w:p>
        </w:tc>
        <w:tc>
          <w:tcPr>
            <w:tcW w:w="7185" w:type="dxa"/>
            <w:noWrap w:val="0"/>
            <w:vAlign w:val="center"/>
          </w:tcPr>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本理财计划适合</w:t>
            </w:r>
            <w:r>
              <w:rPr>
                <w:rFonts w:hint="eastAsia" w:ascii="宋体" w:hAnsi="宋体" w:eastAsia="宋体" w:cs="宋体"/>
                <w:b/>
                <w:kern w:val="2"/>
                <w:sz w:val="21"/>
                <w:szCs w:val="21"/>
                <w:highlight w:val="none"/>
                <w:lang w:val="en-US" w:eastAsia="zh-CN" w:bidi="ar-SA"/>
              </w:rPr>
              <w:t>〖</w:t>
            </w:r>
            <w:r>
              <w:rPr>
                <w:rFonts w:hint="eastAsia" w:ascii="宋体" w:hAnsi="宋体" w:eastAsia="宋体" w:cs="宋体"/>
                <w:b/>
                <w:color w:val="000000"/>
                <w:kern w:val="2"/>
                <w:sz w:val="21"/>
                <w:szCs w:val="21"/>
                <w:highlight w:val="none"/>
                <w:lang w:val="en-US" w:eastAsia="zh-CN" w:bidi="ar-SA"/>
              </w:rPr>
              <w:t>〖机构投资者〗以及〖稳健型、平衡型、成长型、进取型〗的个人投资者。</w:t>
            </w:r>
            <w:r>
              <w:rPr>
                <w:rFonts w:hint="eastAsia" w:ascii="宋体" w:hAnsi="宋体" w:eastAsia="宋体" w:cs="宋体"/>
                <w:bCs/>
                <w:kern w:val="2"/>
                <w:sz w:val="21"/>
                <w:szCs w:val="24"/>
                <w:highlight w:val="none"/>
                <w:lang w:val="en-US" w:eastAsia="zh-CN" w:bidi="ar-SA"/>
              </w:rPr>
              <w:t>投资者风险承受能力评级水平以销售机构评估为准。</w:t>
            </w:r>
          </w:p>
          <w:p>
            <w:pPr>
              <w:widowControl/>
              <w:spacing w:line="300" w:lineRule="auto"/>
              <w:contextualSpacing/>
              <w:jc w:val="both"/>
              <w:rPr>
                <w:rFonts w:hint="eastAsia" w:ascii="宋体" w:hAnsi="宋体" w:eastAsia="宋体" w:cs="黑体"/>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其中：</w:t>
            </w:r>
            <w:r>
              <w:rPr>
                <w:rFonts w:hint="eastAsia" w:ascii="宋体" w:hAnsi="宋体" w:eastAsia="宋体" w:cs="黑体"/>
                <w:color w:val="000000"/>
                <w:kern w:val="2"/>
                <w:sz w:val="21"/>
                <w:szCs w:val="21"/>
                <w:highlight w:val="none"/>
                <w:lang w:val="en-US" w:eastAsia="zh-CN" w:bidi="ar-SA"/>
              </w:rPr>
              <w:t xml:space="preserve"> </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A份额（销售代码〖FYG25139A〗）：代销机构所有个人及机构客户。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B份额（销售代码〖FYG25139B〗）：部分代销机构客户。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C份额（销售代码〖FYG25139C〗）：部分代销机构客户。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D份额（销售代码〖FYG25139D〗）：部分代销机构客户。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E份额（幸福金桂）（销售代码〖FYG25139E〗）：部分代销机构客户。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F份额（幸福金桂）（销售代码〖FYG25139F〗）：部分代销机构客户。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I份额（爽盈优选）（销售代码〖FYG25139I〗）：部分代销机构客户。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P份额（芙蓉锦程·优选）（销售代码〖FYG25139P〗）：普通个人投资者和机构客户。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Q份额（芙蓉锦程·优选-尊享款）（销售代码〖FYG25139Q〗）：普通个人投资者和机构客户。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产品类型</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〖固定收益类〗</w:t>
            </w:r>
            <w:r>
              <w:rPr>
                <w:rFonts w:hint="eastAsia" w:ascii="宋体" w:hAnsi="宋体" w:eastAsia="宋体" w:cs="宋体"/>
                <w:color w:val="000000"/>
                <w:kern w:val="2"/>
                <w:sz w:val="21"/>
                <w:szCs w:val="21"/>
                <w:highlight w:val="none"/>
                <w:lang w:val="en-US" w:eastAsia="zh-CN" w:bidi="ar-SA"/>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运作模式</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分级产品</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销售范围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全国</w:t>
            </w:r>
            <w:r>
              <w:rPr>
                <w:rFonts w:hint="eastAsia" w:ascii="宋体" w:hAnsi="宋体" w:eastAsia="宋体" w:cs="宋体"/>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可通过杭银理财直销渠道和代理销售机构的</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营业网点、网上银行、手机银行</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交易币种</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发行规模上限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〖2025〗年〖7〗月〖17〗日-〖2025〗年〖7〗月〖23〗日</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认购时间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认购期首日〖9：00〗至认购结束日〖17：00〗</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成立日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〖2025〗年〖7〗月〖24〗日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到期日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〖2027〗年〖8〗月〖26〗日，若到期日为非工作日则顺延至下一个工作日。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理财期限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〖763〗天（实际理财期限受制于管理人提前终止权等条款）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认购起点金额</w:t>
            </w:r>
          </w:p>
        </w:tc>
        <w:tc>
          <w:tcPr>
            <w:tcW w:w="7185" w:type="dxa"/>
            <w:noWrap w:val="0"/>
            <w:vAlign w:val="center"/>
          </w:tcPr>
          <w:p>
            <w:pPr>
              <w:widowControl/>
              <w:spacing w:line="360" w:lineRule="auto"/>
              <w:contextualSpacing/>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〖Q份额〗起点〖1〗元整，超过认购起点部分，应为〖1〗元的整数倍</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产品成立</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kern w:val="2"/>
                <w:sz w:val="21"/>
                <w:szCs w:val="21"/>
                <w:highlight w:val="none"/>
                <w:lang w:val="en-US" w:eastAsia="zh-CN" w:bidi="ar-SA"/>
              </w:rPr>
              <w:t>〖3000〗</w:t>
            </w:r>
            <w:r>
              <w:rPr>
                <w:rFonts w:hint="eastAsia" w:ascii="宋体" w:hAnsi="宋体" w:eastAsia="宋体" w:cs="宋体"/>
                <w:color w:val="000000"/>
                <w:kern w:val="2"/>
                <w:sz w:val="21"/>
                <w:szCs w:val="21"/>
                <w:highlight w:val="none"/>
                <w:lang w:val="en-US" w:eastAsia="zh-CN" w:bidi="ar-SA"/>
              </w:rPr>
              <w:t>万元，则管理人可宣布本理财计划不成立并在原定理财计划成立日后</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2</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个工作日内通过管理人或销售机构发布不成立信息，投资者购买的理财资金将在原定成立日后2个工作日内划转至投资者指定理财账户，</w:t>
            </w:r>
            <w:r>
              <w:rPr>
                <w:rFonts w:hint="eastAsia" w:ascii="宋体" w:hAnsi="宋体" w:eastAsia="宋体" w:cs="宋体"/>
                <w:b/>
                <w:color w:val="000000"/>
                <w:kern w:val="2"/>
                <w:sz w:val="21"/>
                <w:szCs w:val="21"/>
                <w:highlight w:val="none"/>
                <w:lang w:val="en-US" w:eastAsia="zh-CN" w:bidi="ar-SA"/>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单户限额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单位净值=理财计划估值日理财计划总净值÷理财计划总份额，单位净值保留小数点后四位，四舍五入。</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理财计划总净值=理财计划认购总额+理财计划所获总收益-理财计划总费用（包括但不限于固定管理费、托管费、销售服务费、浮动管理费等）。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资金与收益支付方式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理财计划到期后，最快</w:t>
            </w:r>
            <w:r>
              <w:rPr>
                <w:rFonts w:hint="eastAsia" w:ascii="宋体" w:hAnsi="宋体" w:eastAsia="宋体" w:cs="宋体"/>
                <w:kern w:val="2"/>
                <w:sz w:val="21"/>
                <w:szCs w:val="21"/>
                <w:highlight w:val="none"/>
                <w:lang w:val="en-US" w:eastAsia="zh-CN" w:bidi="ar-SA"/>
              </w:rPr>
              <w:t>〖1〗</w:t>
            </w:r>
            <w:r>
              <w:rPr>
                <w:rFonts w:hint="eastAsia" w:ascii="宋体" w:hAnsi="宋体" w:eastAsia="宋体" w:cs="宋体"/>
                <w:color w:val="000000"/>
                <w:kern w:val="2"/>
                <w:sz w:val="21"/>
                <w:szCs w:val="21"/>
                <w:highlight w:val="none"/>
                <w:lang w:val="en-US" w:eastAsia="zh-CN" w:bidi="ar-SA"/>
              </w:rPr>
              <w:t>个工作日，最晚</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color w:val="000000"/>
                <w:kern w:val="2"/>
                <w:sz w:val="21"/>
                <w:szCs w:val="21"/>
                <w:highlight w:val="none"/>
                <w:lang w:val="en-US" w:eastAsia="zh-CN" w:bidi="ar-SA"/>
              </w:rPr>
              <w:t>个工作日内（遇节假日顺延）支付。如遇资金在途或法定工作日调整，实际资金到账日以公告为准。</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业绩比较基准</w:t>
            </w:r>
          </w:p>
        </w:tc>
        <w:tc>
          <w:tcPr>
            <w:tcW w:w="7185" w:type="dxa"/>
            <w:noWrap w:val="0"/>
            <w:vAlign w:val="center"/>
          </w:tcPr>
          <w:p>
            <w:pPr>
              <w:widowControl/>
              <w:spacing w:line="360" w:lineRule="auto"/>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本理财计划〖A份额〗业绩比较基准为〖2.60%-2.90%〗（年化）。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本理财计划〖B份额〗业绩比较基准为〖2.70%-3.00%〗（年化）。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本理财计划〖C份额〗业绩比较基准为〖2.80%-3.10%〗（年化）。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本理财计划〖D份额〗业绩比较基准为〖2.75%-3.05%〗（年化）。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本理财计划〖E份额〗业绩比较基准为〖2.70%-3.00%〗（年化）。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本理财计划〖F份额〗业绩比较基准为〖2.75%-3.05%〗（年化）。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本理财计划〖I份额〗业绩比较基准为〖2.60%-2.90%〗（年化）。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本理财计划〖P份额〗业绩比较基准为〖2.80%-3.10%〗（年化）。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本理财计划〖Q份额〗业绩比较基准为〖3.00%-3.30%〗（年化）。</w:t>
            </w:r>
          </w:p>
          <w:p>
            <w:pPr>
              <w:widowControl/>
              <w:spacing w:line="360" w:lineRule="auto"/>
              <w:jc w:val="left"/>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业绩基准测算依据：本理财计划重点投资于货币市场工具、债券、非标准化债权类资产等资产，管理人根据固定收益市场历史表现，结合当前利率水平、资产配比及市场同类型产品情况，经综合判断得出。</w:t>
            </w:r>
          </w:p>
          <w:p>
            <w:pPr>
              <w:widowControl/>
              <w:spacing w:line="360" w:lineRule="auto"/>
              <w:jc w:val="left"/>
              <w:rPr>
                <w:rFonts w:hint="eastAsia" w:ascii="宋体" w:hAnsi="宋体" w:eastAsia="宋体" w:cs="宋体"/>
                <w:b/>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管理人有权根据市场情况及理财计划运作情况调整业绩基准，并至少于新业绩基准启用前</w:t>
            </w:r>
            <w:r>
              <w:rPr>
                <w:rFonts w:hint="eastAsia" w:ascii="宋体" w:hAnsi="宋体" w:eastAsia="宋体" w:cs="宋体"/>
                <w:kern w:val="0"/>
                <w:sz w:val="21"/>
                <w:szCs w:val="24"/>
                <w:highlight w:val="none"/>
                <w:lang w:val="en-US" w:eastAsia="zh-CN" w:bidi="ar-SA"/>
              </w:rPr>
              <w:t>〖2〗</w:t>
            </w:r>
            <w:r>
              <w:rPr>
                <w:rFonts w:hint="eastAsia" w:ascii="宋体" w:hAnsi="宋体" w:eastAsia="宋体" w:cs="宋体"/>
                <w:kern w:val="2"/>
                <w:sz w:val="21"/>
                <w:szCs w:val="21"/>
                <w:highlight w:val="none"/>
                <w:lang w:val="en-US" w:eastAsia="zh-CN" w:bidi="ar-SA"/>
              </w:rPr>
              <w:t>个工作日公告。</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本理财计划为净值型理财产品，其业绩表现将随市场波动具有不确定性。本公司提醒投资者关注，业绩比较基准不是预期收益率，并不代表理财计划的未来表现和实际收益率，不构成对理财计划收益的承诺。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产品费用</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1.销售服务费：〖A份额〗收取年化〖0.30%〗的销售服务费, 〖B份额〗收取年化〖0.20%〗的销售服务费, 〖C份额〗收取年化〖0.10%〗的销售服务费, 〖D份额〗收取年化〖0.15%〗的销售服务费, 〖E份额〗收取年化〖0.20%〗的销售服务费, 〖F份额〗收取年化〖0.15%〗的销售服务费, 〖I份额〗收取年化〖0.30%〗的销售服务费, 〖P份额〗收取年化〖0.15%〗的销售服务费, 〖Q份额〗收取年化〖0.05%〗的销售服务费。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2.托管费：收取年化</w:t>
            </w:r>
            <w:r>
              <w:rPr>
                <w:rFonts w:hint="eastAsia" w:ascii="宋体" w:hAnsi="宋体" w:eastAsia="宋体" w:cs="宋体"/>
                <w:kern w:val="2"/>
                <w:sz w:val="21"/>
                <w:szCs w:val="21"/>
                <w:highlight w:val="none"/>
                <w:lang w:val="en-US" w:eastAsia="zh-CN" w:bidi="ar-SA"/>
              </w:rPr>
              <w:t>〖0.025%〗</w:t>
            </w:r>
            <w:r>
              <w:rPr>
                <w:rFonts w:hint="eastAsia" w:ascii="宋体" w:hAnsi="宋体" w:eastAsia="宋体" w:cs="宋体"/>
                <w:color w:val="000000"/>
                <w:kern w:val="2"/>
                <w:sz w:val="21"/>
                <w:szCs w:val="21"/>
                <w:highlight w:val="none"/>
                <w:lang w:val="en-US" w:eastAsia="zh-CN" w:bidi="ar-SA"/>
              </w:rPr>
              <w:t>的托管费。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3.固定管理费：〖A份额〗收取年化〖0.20%〗的固定管理费, 〖B份额〗收取年化〖0.20%〗的固定管理费, 〖C份额〗收取年化〖0.20%〗的固定管理费, 〖D份额〗收取年化〖0.20%〗的固定管理费, 〖E份额〗收取年化〖0.20%〗的固定管理费, 〖F份额〗收取年化〖0.20%〗的固定管理费, 〖I份额〗收取年化〖0.20%〗的固定管理费, 〖P份额〗收取年化〖0.15%〗的固定管理费, 〖Q份额〗收取年化〖0.05%〗的固定管理费。</w:t>
            </w:r>
          </w:p>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4.认购费：本理财计划免除认购费。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5.浮动管理费：管理人根据理财计划投资情况计算浮动管理费，本理财计划份额到期日（提前终止日）的折合年化收益率在〖业绩比较基准下限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至上限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〗的部分,</w:t>
            </w:r>
            <w:r>
              <w:rPr>
                <w:rFonts w:hint="eastAsia" w:ascii="宋体" w:hAnsi="宋体" w:eastAsia="宋体" w:cs="宋体"/>
                <w:b/>
                <w:color w:val="000000"/>
                <w:kern w:val="2"/>
                <w:sz w:val="21"/>
                <w:szCs w:val="21"/>
                <w:highlight w:val="none"/>
                <w:lang w:val="en-US" w:eastAsia="zh-CN" w:bidi="ar-SA"/>
              </w:rPr>
              <w:t>管理人提取</w:t>
            </w:r>
            <w:r>
              <w:rPr>
                <w:rFonts w:hint="eastAsia" w:ascii="宋体" w:hAnsi="宋体" w:eastAsia="宋体" w:cs="宋体"/>
                <w:b/>
                <w:kern w:val="2"/>
                <w:sz w:val="21"/>
                <w:szCs w:val="21"/>
                <w:highlight w:val="none"/>
                <w:lang w:val="en-US" w:eastAsia="zh-CN" w:bidi="ar-SA"/>
              </w:rPr>
              <w:t>〖50%〗</w:t>
            </w:r>
            <w:r>
              <w:rPr>
                <w:rFonts w:hint="eastAsia" w:ascii="宋体" w:hAnsi="宋体" w:eastAsia="宋体" w:cs="宋体"/>
                <w:b/>
                <w:color w:val="000000"/>
                <w:kern w:val="2"/>
                <w:sz w:val="21"/>
                <w:szCs w:val="21"/>
                <w:highlight w:val="none"/>
                <w:lang w:val="en-US" w:eastAsia="zh-CN" w:bidi="ar-SA"/>
              </w:rPr>
              <w:t>作为浮动管理费</w:t>
            </w:r>
            <w:r>
              <w:rPr>
                <w:rFonts w:hint="eastAsia" w:ascii="宋体" w:hAnsi="宋体" w:eastAsia="宋体" w:cs="宋体"/>
                <w:bCs/>
                <w:color w:val="000000"/>
                <w:kern w:val="2"/>
                <w:sz w:val="21"/>
                <w:szCs w:val="21"/>
                <w:highlight w:val="none"/>
                <w:lang w:val="en-US" w:eastAsia="zh-CN" w:bidi="ar-SA"/>
              </w:rPr>
              <w:t>,在超过〖</w:t>
            </w:r>
            <w:r>
              <w:rPr>
                <w:rFonts w:hint="eastAsia" w:ascii="宋体" w:hAnsi="宋体" w:eastAsia="宋体" w:cs="宋体"/>
                <w:bCs/>
                <w:kern w:val="2"/>
                <w:sz w:val="21"/>
                <w:szCs w:val="21"/>
                <w:highlight w:val="none"/>
                <w:lang w:val="en-US" w:eastAsia="zh-CN" w:bidi="ar-SA"/>
              </w:rPr>
              <w:t>业绩比较基准上限</w:t>
            </w:r>
            <w:r>
              <w:rPr>
                <w:rFonts w:hint="eastAsia" w:ascii="宋体" w:hAnsi="宋体" w:eastAsia="宋体" w:cs="宋体"/>
                <w:bCs/>
                <w:color w:val="000000"/>
                <w:kern w:val="2"/>
                <w:sz w:val="21"/>
                <w:szCs w:val="21"/>
                <w:highlight w:val="none"/>
                <w:lang w:val="en-US" w:eastAsia="zh-CN" w:bidi="ar-SA"/>
              </w:rPr>
              <w:t>〗的部分,</w:t>
            </w:r>
            <w:r>
              <w:rPr>
                <w:rFonts w:hint="eastAsia" w:ascii="宋体" w:hAnsi="宋体" w:eastAsia="宋体" w:cs="宋体"/>
                <w:b/>
                <w:color w:val="000000"/>
                <w:kern w:val="2"/>
                <w:sz w:val="21"/>
                <w:szCs w:val="21"/>
                <w:highlight w:val="none"/>
                <w:lang w:val="en-US" w:eastAsia="zh-CN" w:bidi="ar-SA"/>
              </w:rPr>
              <w:t>管理人提取</w:t>
            </w:r>
            <w:r>
              <w:rPr>
                <w:rFonts w:hint="eastAsia" w:ascii="宋体" w:hAnsi="宋体" w:eastAsia="宋体" w:cs="宋体"/>
                <w:b/>
                <w:kern w:val="2"/>
                <w:sz w:val="21"/>
                <w:szCs w:val="21"/>
                <w:highlight w:val="none"/>
                <w:lang w:val="en-US" w:eastAsia="zh-CN" w:bidi="ar-SA"/>
              </w:rPr>
              <w:t>〖80%〗</w:t>
            </w:r>
            <w:r>
              <w:rPr>
                <w:rFonts w:hint="eastAsia" w:ascii="宋体" w:hAnsi="宋体" w:eastAsia="宋体" w:cs="宋体"/>
                <w:b/>
                <w:color w:val="000000"/>
                <w:kern w:val="2"/>
                <w:sz w:val="21"/>
                <w:szCs w:val="21"/>
                <w:highlight w:val="none"/>
                <w:lang w:val="en-US" w:eastAsia="zh-CN" w:bidi="ar-SA"/>
              </w:rPr>
              <w:t>作为浮动管理费</w:t>
            </w:r>
            <w:r>
              <w:rPr>
                <w:rFonts w:hint="eastAsia" w:ascii="宋体" w:hAnsi="宋体" w:eastAsia="宋体" w:cs="宋体"/>
                <w:bCs/>
                <w:color w:val="000000"/>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提前终止</w:t>
            </w:r>
          </w:p>
        </w:tc>
        <w:tc>
          <w:tcPr>
            <w:tcW w:w="7185" w:type="dxa"/>
            <w:noWrap w:val="0"/>
            <w:vAlign w:val="center"/>
          </w:tcPr>
          <w:p>
            <w:pPr>
              <w:widowControl/>
              <w:spacing w:line="360" w:lineRule="auto"/>
              <w:contextualSpacing/>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0"/>
                <w:sz w:val="21"/>
                <w:szCs w:val="21"/>
                <w:highlight w:val="none"/>
                <w:lang w:val="en-US" w:eastAsia="zh-CN" w:bidi="ar-SA"/>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税费规定</w:t>
            </w:r>
          </w:p>
        </w:tc>
        <w:tc>
          <w:tcPr>
            <w:tcW w:w="7185" w:type="dxa"/>
            <w:noWrap w:val="0"/>
            <w:vAlign w:val="center"/>
          </w:tcPr>
          <w:p>
            <w:pPr>
              <w:widowControl w:val="0"/>
              <w:spacing w:line="360" w:lineRule="auto"/>
              <w:jc w:val="both"/>
              <w:outlineLvl w:val="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融资服务</w:t>
            </w:r>
          </w:p>
        </w:tc>
        <w:tc>
          <w:tcPr>
            <w:tcW w:w="7185" w:type="dxa"/>
            <w:noWrap w:val="0"/>
            <w:vAlign w:val="bottom"/>
          </w:tcPr>
          <w:p>
            <w:pPr>
              <w:widowControl w:val="0"/>
              <w:spacing w:line="360" w:lineRule="auto"/>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2"/>
                <w:sz w:val="21"/>
                <w:szCs w:val="21"/>
                <w:highlight w:val="none"/>
                <w:lang w:val="en-US" w:eastAsia="zh-CN" w:bidi="ar-SA"/>
              </w:rPr>
              <w:t>投资者在理财期限内不能提前赎回，如需质押按销售机构相关规定执行。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认购期内按照活期存款利率计息，认购期内的利息不计入认购本金份额。到期日（或理财计划实际终止日）到理财资金返还到账日为清算期，清算期内不计付利息。</w:t>
            </w:r>
            <w:r>
              <w:rPr>
                <w:rFonts w:hint="eastAsia" w:ascii="宋体" w:hAnsi="宋体" w:eastAsia="宋体" w:cs="宋体"/>
                <w:color w:val="000000"/>
                <w:kern w:val="0"/>
                <w:sz w:val="21"/>
                <w:szCs w:val="21"/>
                <w:highlight w:val="none"/>
                <w:lang w:val="en-US" w:eastAsia="zh-CN" w:bidi="ar-SA"/>
              </w:rPr>
              <w:t>（具体以销售机构规定为准）</w:t>
            </w:r>
          </w:p>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jc w:val="left"/>
        <w:rPr>
          <w:rFonts w:hint="eastAsia"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固定收益类资产：包括但不限于各类债券、存款、货币市场金融工具、债券基金、质押式及买断式回购、非标准化债权类资产，其他符合监管要求的固定收益类资产及资产管理产品。</w:t>
      </w:r>
    </w:p>
    <w:p>
      <w:pPr>
        <w:numPr>
          <w:ilvl w:val="0"/>
          <w:numId w:val="13"/>
        </w:numPr>
        <w:spacing w:line="360" w:lineRule="auto"/>
        <w:jc w:val="left"/>
        <w:rPr>
          <w:rFonts w:hint="eastAsia" w:ascii="宋体" w:hAnsi="宋体" w:cs="宋体"/>
          <w:bCs/>
          <w:sz w:val="24"/>
          <w:highlight w:val="none"/>
        </w:rPr>
      </w:pPr>
      <w:r>
        <w:rPr>
          <w:rFonts w:hint="eastAsia" w:ascii="宋体" w:hAnsi="宋体" w:cs="宋体"/>
          <w:bCs/>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本理财计划各投资资产占总资产的配置比例如下：</w:t>
      </w:r>
      <w:r>
        <w:rPr>
          <w:rFonts w:hint="eastAsia" w:ascii="宋体" w:hAnsi="宋体" w:cs="宋体"/>
          <w:bCs/>
          <w:color w:val="FF0000"/>
          <w:sz w:val="24"/>
          <w:highlight w:val="none"/>
        </w:rPr>
        <w:t xml:space="preserve"> </w:t>
      </w:r>
    </w:p>
    <w:tbl>
      <w:tblPr>
        <w:tblStyle w:val="8"/>
        <w:tblW w:w="829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90"/>
        <w:gridCol w:w="4716"/>
        <w:gridCol w:w="179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投资资产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配置比例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restart"/>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固定收益类资产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90%-100%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continue"/>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权益类资产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0%-10%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特殊资产类型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非标准化债权类资产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0%-50%</w:t>
            </w:r>
          </w:p>
        </w:tc>
      </w:tr>
    </w:tbl>
    <w:p>
      <w:pPr>
        <w:pStyle w:val="13"/>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rPr>
        <w:t>本理财计划特殊资产类型为基于大类资产类型项下的进一步细化分类，其配置比例不得超过大类资产配置比例。</w:t>
      </w:r>
    </w:p>
    <w:p>
      <w:pPr>
        <w:pStyle w:val="13"/>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rPr>
        <w:t>本理财计划自成立日起</w:t>
      </w:r>
      <w:r>
        <w:rPr>
          <w:rFonts w:hint="eastAsia" w:ascii="宋体" w:hAnsi="宋体" w:cs="宋体"/>
          <w:highlight w:val="none"/>
        </w:rPr>
        <w:t>〖</w:t>
      </w:r>
      <w:r>
        <w:rPr>
          <w:rFonts w:hint="eastAsia" w:ascii="宋体" w:hAnsi="宋体" w:cs="宋体"/>
          <w:bCs/>
          <w:color w:val="auto"/>
          <w:kern w:val="2"/>
          <w:highlight w:val="none"/>
        </w:rPr>
        <w:t>1个月</w:t>
      </w:r>
      <w:r>
        <w:rPr>
          <w:rFonts w:hint="eastAsia" w:ascii="宋体" w:hAnsi="宋体" w:cs="宋体"/>
          <w:highlight w:val="none"/>
        </w:rPr>
        <w:t>〗</w:t>
      </w:r>
      <w:r>
        <w:rPr>
          <w:rFonts w:hint="eastAsia" w:ascii="宋体" w:hAnsi="宋体" w:cs="宋体"/>
          <w:bCs/>
          <w:color w:val="auto"/>
          <w:kern w:val="2"/>
          <w:highlight w:val="none"/>
        </w:rPr>
        <w:t>为建仓期，管理人应当在建仓期结束前使各项投资比例符合约定。在理财计划存续期间如遇市场变化导致各类投资品投资比例暂时超出以上范围，为保护投资者利益，管理人将在流动性受限资产可出售、可转让或者恢复交易的15个交易日内调整至上述比例范围。</w:t>
      </w:r>
    </w:p>
    <w:p>
      <w:pPr>
        <w:pStyle w:val="13"/>
        <w:adjustRightInd/>
        <w:spacing w:line="360" w:lineRule="auto"/>
        <w:ind w:firstLine="458" w:firstLineChars="190"/>
        <w:rPr>
          <w:rFonts w:ascii="宋体" w:hAnsi="宋体" w:cs="宋体"/>
          <w:b/>
          <w:bCs w:val="0"/>
          <w:color w:val="auto"/>
          <w:kern w:val="2"/>
          <w:highlight w:val="none"/>
        </w:rPr>
      </w:pPr>
      <w:r>
        <w:rPr>
          <w:rFonts w:hint="eastAsia" w:ascii="宋体" w:hAnsi="宋体" w:cs="宋体"/>
          <w:b/>
          <w:bCs w:val="0"/>
          <w:color w:val="auto"/>
          <w:kern w:val="2"/>
          <w:highlight w:val="none"/>
        </w:rPr>
        <w:t>本理财计划可以投资不存在活跃交易市场并且需要采用估值技术确定公允价值的资产，上述资产比例可以达到50%以上。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3"/>
        <w:numPr>
          <w:ilvl w:val="0"/>
          <w:numId w:val="14"/>
        </w:numPr>
        <w:adjustRightInd/>
        <w:spacing w:line="360" w:lineRule="auto"/>
        <w:rPr>
          <w:rFonts w:hint="eastAsia" w:ascii="宋体" w:hAnsi="宋体" w:cs="宋体"/>
          <w:bCs/>
          <w:color w:val="auto"/>
          <w:kern w:val="2"/>
          <w:highlight w:val="none"/>
        </w:rPr>
      </w:pPr>
      <w:r>
        <w:rPr>
          <w:rFonts w:hint="eastAsia" w:ascii="宋体" w:hAnsi="宋体" w:cs="宋体"/>
          <w:bCs/>
          <w:color w:val="auto"/>
          <w:kern w:val="2"/>
          <w:highlight w:val="none"/>
        </w:rPr>
        <w:t>资产配置策略</w:t>
      </w:r>
    </w:p>
    <w:p>
      <w:pPr>
        <w:pStyle w:val="13"/>
        <w:adjustRightInd/>
        <w:spacing w:line="360" w:lineRule="auto"/>
        <w:rPr>
          <w:rFonts w:ascii="宋体" w:cs="宋体"/>
          <w:sz w:val="21"/>
          <w:szCs w:val="21"/>
          <w:highlight w:val="none"/>
        </w:rPr>
      </w:pPr>
      <w:r>
        <w:rPr>
          <w:rFonts w:hint="eastAsia" w:ascii="宋体" w:hAnsi="宋体" w:cs="宋体"/>
          <w:bCs/>
          <w:color w:val="auto"/>
          <w:kern w:val="2"/>
          <w:highlight w:val="none"/>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numPr>
          <w:ilvl w:val="0"/>
          <w:numId w:val="15"/>
        </w:numPr>
        <w:spacing w:line="360" w:lineRule="auto"/>
        <w:jc w:val="left"/>
        <w:rPr>
          <w:rFonts w:hint="eastAsia" w:ascii="宋体" w:hAnsi="宋体" w:cs="宋体"/>
          <w:bCs/>
          <w:sz w:val="24"/>
          <w:highlight w:val="none"/>
        </w:rPr>
      </w:pPr>
      <w:r>
        <w:rPr>
          <w:rFonts w:hint="eastAsia" w:ascii="宋体" w:hAnsi="宋体" w:cs="宋体"/>
          <w:bCs/>
          <w:sz w:val="24"/>
          <w:highlight w:val="none"/>
        </w:rPr>
        <w:t>债券投资策略</w:t>
      </w:r>
    </w:p>
    <w:p>
      <w:pPr>
        <w:pStyle w:val="13"/>
        <w:adjustRightInd/>
        <w:spacing w:line="360" w:lineRule="auto"/>
        <w:ind w:firstLine="480" w:firstLineChars="200"/>
        <w:rPr>
          <w:rFonts w:hint="eastAsia" w:ascii="宋体" w:hAnsi="宋体" w:cs="宋体"/>
          <w:bCs/>
          <w:highlight w:val="none"/>
        </w:rPr>
      </w:pPr>
      <w:r>
        <w:rPr>
          <w:rFonts w:hint="eastAsia" w:ascii="宋体" w:hAnsi="宋体" w:cs="宋体"/>
          <w:bCs/>
          <w:color w:val="auto"/>
          <w:kern w:val="2"/>
          <w:highlight w:val="none"/>
        </w:rPr>
        <w:t>管理人本着稳健投资的理念，在研究债券市场宏观环境和利率走势的基础上，严格评估信用风险，通过久期策略、骑乘策略、杠杆策略和交易策略等，配置固定收益资产及资产管理产品，力争获取稳定收益。</w:t>
      </w:r>
    </w:p>
    <w:p>
      <w:pPr>
        <w:numPr>
          <w:ilvl w:val="0"/>
          <w:numId w:val="15"/>
        </w:numPr>
        <w:spacing w:line="360" w:lineRule="auto"/>
        <w:jc w:val="left"/>
        <w:rPr>
          <w:rFonts w:hint="eastAsia" w:ascii="宋体" w:hAnsi="宋体" w:cs="宋体"/>
          <w:bCs/>
          <w:sz w:val="24"/>
          <w:highlight w:val="none"/>
        </w:rPr>
      </w:pPr>
      <w:r>
        <w:rPr>
          <w:rFonts w:hint="eastAsia" w:ascii="宋体" w:hAnsi="宋体" w:cs="宋体"/>
          <w:bCs/>
          <w:sz w:val="24"/>
          <w:highlight w:val="none"/>
        </w:rPr>
        <w:t>非标准化债权类资产投资策略</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2"/>
        <w:rPr>
          <w:rFonts w:hint="eastAsia" w:ascii="宋体" w:hAnsi="宋体" w:cs="宋体"/>
          <w:b/>
          <w:sz w:val="24"/>
          <w:highlight w:val="none"/>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拟投资市场、资产的流动性风险评估</w:t>
      </w:r>
    </w:p>
    <w:p>
      <w:pPr>
        <w:spacing w:line="360" w:lineRule="auto"/>
        <w:ind w:left="420"/>
        <w:jc w:val="left"/>
        <w:rPr>
          <w:rFonts w:hint="eastAsia" w:ascii="宋体" w:hAnsi="宋体" w:cs="宋体"/>
          <w:bCs/>
          <w:sz w:val="24"/>
          <w:highlight w:val="none"/>
        </w:rPr>
      </w:pPr>
      <w:r>
        <w:rPr>
          <w:rFonts w:hint="eastAsia" w:ascii="宋体" w:hAnsi="宋体" w:cs="宋体"/>
          <w:bCs/>
          <w:sz w:val="24"/>
          <w:highlight w:val="none"/>
        </w:rPr>
        <w:t>本理财计划拟投资市场可能面临的流动性风险如下：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以上风险仅为列举性质，未能详尽列明拟投资市场和资产面临的全部流动性风险</w:t>
      </w:r>
      <w:r>
        <w:rPr>
          <w:rFonts w:ascii="宋体" w:hAnsi="宋体" w:cs="宋体"/>
          <w:bCs/>
          <w:sz w:val="24"/>
          <w:highlight w:val="none"/>
        </w:rPr>
        <w:t>可能导致投资者投资本金及收益损失</w:t>
      </w:r>
      <w:r>
        <w:rPr>
          <w:rFonts w:hint="eastAsia" w:ascii="宋体" w:hAnsi="宋体" w:cs="宋体"/>
          <w:bCs/>
          <w:sz w:val="24"/>
          <w:highlight w:val="none"/>
        </w:rPr>
        <w:t>或延期兑付</w:t>
      </w:r>
      <w:r>
        <w:rPr>
          <w:rFonts w:ascii="宋体" w:hAnsi="宋体" w:cs="宋体"/>
          <w:bCs/>
          <w:sz w:val="24"/>
          <w:highlight w:val="none"/>
        </w:rPr>
        <w:t>的所有因素</w:t>
      </w:r>
      <w:r>
        <w:rPr>
          <w:rFonts w:hint="eastAsia" w:ascii="宋体" w:hAnsi="宋体" w:cs="宋体"/>
          <w:bCs/>
          <w:sz w:val="24"/>
          <w:highlight w:val="none"/>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9"/>
        <w:gridCol w:w="6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托管人名称</w:t>
            </w:r>
          </w:p>
        </w:tc>
        <w:tc>
          <w:tcPr>
            <w:tcW w:w="6553" w:type="dxa"/>
            <w:noWrap w:val="0"/>
            <w:vAlign w:val="top"/>
          </w:tcPr>
          <w:p>
            <w:pPr>
              <w:widowControl w:val="0"/>
              <w:spacing w:line="360" w:lineRule="auto"/>
              <w:jc w:val="left"/>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托管人住所</w:t>
            </w:r>
          </w:p>
        </w:tc>
        <w:tc>
          <w:tcPr>
            <w:tcW w:w="6553" w:type="dxa"/>
            <w:noWrap w:val="0"/>
            <w:vAlign w:val="top"/>
          </w:tcPr>
          <w:p>
            <w:pPr>
              <w:widowControl w:val="0"/>
              <w:spacing w:line="360" w:lineRule="auto"/>
              <w:jc w:val="left"/>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托管人职责</w:t>
            </w:r>
          </w:p>
        </w:tc>
        <w:tc>
          <w:tcPr>
            <w:tcW w:w="6553" w:type="dxa"/>
            <w:noWrap w:val="0"/>
            <w:vAlign w:val="top"/>
          </w:tcPr>
          <w:p>
            <w:pPr>
              <w:widowControl w:val="0"/>
              <w:spacing w:line="360" w:lineRule="auto"/>
              <w:jc w:val="left"/>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ind w:firstLine="482"/>
        <w:jc w:val="left"/>
        <w:outlineLvl w:val="2"/>
        <w:rPr>
          <w:rFonts w:hint="eastAsia" w:ascii="宋体" w:hAnsi="宋体" w:cs="宋体"/>
          <w:bCs/>
          <w:color w:val="000000"/>
          <w:sz w:val="24"/>
          <w:highlight w:val="none"/>
        </w:rPr>
      </w:pPr>
      <w:r>
        <w:rPr>
          <w:rFonts w:hint="eastAsia" w:ascii="宋体" w:hAnsi="宋体" w:cs="宋体"/>
          <w:b/>
          <w:sz w:val="24"/>
          <w:highlight w:val="none"/>
        </w:rPr>
        <w:t>销售机构</w:t>
      </w:r>
    </w:p>
    <w:tbl>
      <w:tblPr>
        <w:tblStyle w:val="8"/>
        <w:tblW w:w="8522" w:type="dxa"/>
        <w:tblInd w:w="0" w:type="dxa"/>
        <w:tblLayout w:type="fixed"/>
        <w:tblCellMar>
          <w:top w:w="0" w:type="dxa"/>
          <w:left w:w="108" w:type="dxa"/>
          <w:bottom w:w="0" w:type="dxa"/>
          <w:right w:w="108" w:type="dxa"/>
        </w:tblCellMar>
      </w:tblPr>
      <w:tblGrid>
        <w:gridCol w:w="675"/>
        <w:gridCol w:w="1701"/>
        <w:gridCol w:w="1718"/>
        <w:gridCol w:w="4428"/>
      </w:tblGrid>
      <w:tr>
        <w:tblPrEx>
          <w:tblLayout w:type="fixed"/>
          <w:tblCellMar>
            <w:top w:w="0" w:type="dxa"/>
            <w:left w:w="108" w:type="dxa"/>
            <w:bottom w:w="0" w:type="dxa"/>
            <w:right w:w="108" w:type="dxa"/>
          </w:tblCellMar>
        </w:tblPrEx>
        <w:trPr>
          <w:trHeight w:val="300" w:hRule="atLeast"/>
        </w:trPr>
        <w:tc>
          <w:tcPr>
            <w:tcW w:w="675" w:type="dxa"/>
            <w:vMerge w:val="restart"/>
            <w:tcBorders>
              <w:top w:val="single" w:color="auto" w:sz="4" w:space="0"/>
              <w:left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销售机构信息</w:t>
            </w: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杭州银行股份有限公司</w:t>
            </w:r>
          </w:p>
        </w:tc>
        <w:tc>
          <w:tcPr>
            <w:tcW w:w="1718" w:type="dxa"/>
            <w:tcBorders>
              <w:top w:val="single" w:color="auto" w:sz="4" w:space="0"/>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single" w:color="auto" w:sz="4" w:space="0"/>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浙江省杭州市上城区解放东路168号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95398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苏州银行股份有限公司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江苏省苏州工业园区钟园路728号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96067</w:t>
            </w:r>
          </w:p>
        </w:tc>
      </w:tr>
      <w:tr>
        <w:tblPrEx>
          <w:tblLayout w:type="fixed"/>
          <w:tblCellMar>
            <w:top w:w="0" w:type="dxa"/>
            <w:left w:w="108" w:type="dxa"/>
            <w:bottom w:w="0" w:type="dxa"/>
            <w:right w:w="108" w:type="dxa"/>
          </w:tblCellMar>
        </w:tblPrEx>
        <w:trPr>
          <w:trHeight w:val="51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厦门银行股份有限公司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福建省厦门市思明区湖滨北路101号商业银行大厦</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400-858-8888</w:t>
            </w:r>
          </w:p>
        </w:tc>
      </w:tr>
      <w:tr>
        <w:tblPrEx>
          <w:tblLayout w:type="fixed"/>
          <w:tblCellMar>
            <w:top w:w="0" w:type="dxa"/>
            <w:left w:w="108" w:type="dxa"/>
            <w:bottom w:w="0" w:type="dxa"/>
            <w:right w:w="108" w:type="dxa"/>
          </w:tblCellMar>
        </w:tblPrEx>
        <w:trPr>
          <w:trHeight w:val="30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中信银行股份有限公司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北京市朝阳区光华路10号院1号楼6-30层、32-42层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95558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齐鲁银行股份有限公司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山东省济南市历下区经十路10817号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400-609-6588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甘肃银行股份有限公司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甘肃省兰州市城关区东岗西路525—1号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4008696666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杭银理财有限责任公司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浙江省杭州市拱墅区庆春路38号金龙财富中心</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400-8950-999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绍兴银行股份有限公司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浙江省绍兴市越城区中兴南路1号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4000896528</w:t>
            </w:r>
          </w:p>
        </w:tc>
      </w:tr>
      <w:tr>
        <w:tblPrEx>
          <w:tblLayout w:type="fixed"/>
          <w:tblCellMar>
            <w:top w:w="0" w:type="dxa"/>
            <w:left w:w="108" w:type="dxa"/>
            <w:bottom w:w="0" w:type="dxa"/>
            <w:right w:w="108" w:type="dxa"/>
          </w:tblCellMar>
        </w:tblPrEx>
        <w:trPr>
          <w:trHeight w:val="72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浙江萧山农村商业银行股份有限公司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浙江省杭州市萧山区城厢街道人民路258号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4008896596</w:t>
            </w:r>
          </w:p>
        </w:tc>
      </w:tr>
      <w:tr>
        <w:tblPrEx>
          <w:tblLayout w:type="fixed"/>
          <w:tblCellMar>
            <w:top w:w="0" w:type="dxa"/>
            <w:left w:w="108" w:type="dxa"/>
            <w:bottom w:w="0" w:type="dxa"/>
            <w:right w:w="108" w:type="dxa"/>
          </w:tblCellMar>
        </w:tblPrEx>
        <w:trPr>
          <w:trHeight w:val="46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海南银行股份有限公司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海南省海口市龙华区海秀东路31号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0898-96566</w:t>
            </w:r>
          </w:p>
        </w:tc>
      </w:tr>
      <w:tr>
        <w:tblPrEx>
          <w:tblLayout w:type="fixed"/>
          <w:tblCellMar>
            <w:top w:w="0" w:type="dxa"/>
            <w:left w:w="108" w:type="dxa"/>
            <w:bottom w:w="0" w:type="dxa"/>
            <w:right w:w="108" w:type="dxa"/>
          </w:tblCellMar>
        </w:tblPrEx>
        <w:trPr>
          <w:trHeight w:val="46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秦皇岛银行股份有限公司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河北省秦皇岛市海港区河北大街西段560号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0335-96336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温州银行股份有限公司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浙江省温州市鹿城区会展路1316号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0577-96699</w:t>
            </w:r>
          </w:p>
        </w:tc>
      </w:tr>
      <w:tr>
        <w:tblPrEx>
          <w:tblLayout w:type="fixed"/>
          <w:tblCellMar>
            <w:top w:w="0" w:type="dxa"/>
            <w:left w:w="108" w:type="dxa"/>
            <w:bottom w:w="0" w:type="dxa"/>
            <w:right w:w="108" w:type="dxa"/>
          </w:tblCellMar>
        </w:tblPrEx>
        <w:trPr>
          <w:trHeight w:val="28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中邮邮惠万家银行有限责任公司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上海市虹口区东大名路1080号25层、26层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95504</w:t>
            </w:r>
          </w:p>
        </w:tc>
      </w:tr>
      <w:tr>
        <w:tblPrEx>
          <w:tblLayout w:type="fixed"/>
          <w:tblCellMar>
            <w:top w:w="0" w:type="dxa"/>
            <w:left w:w="108" w:type="dxa"/>
            <w:bottom w:w="0" w:type="dxa"/>
            <w:right w:w="108" w:type="dxa"/>
          </w:tblCellMar>
        </w:tblPrEx>
        <w:trPr>
          <w:trHeight w:val="28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大连农村商业银行股份有限公司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辽宁省大连经济技术开发区五彩城A区1栋-A1号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96689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吉林银行股份有限公司</w:t>
            </w: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经济开发区东南湖大路1817号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400-88-96666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single" w:color="auto" w:sz="4" w:space="0"/>
              <w:left w:val="single" w:color="auto" w:sz="4" w:space="0"/>
              <w:right w:val="single" w:color="auto" w:sz="4" w:space="0"/>
            </w:tcBorders>
            <w:noWrap w:val="0"/>
            <w:vAlign w:val="center"/>
          </w:tcPr>
          <w:p>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兰州银行股份有限公司</w:t>
            </w: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甘肃省兰州市酒泉路211号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400-88-96799</w:t>
            </w:r>
          </w:p>
        </w:tc>
      </w:tr>
      <w:tr>
        <w:tblPrEx>
          <w:tblLayout w:type="fixed"/>
          <w:tblCellMar>
            <w:top w:w="0" w:type="dxa"/>
            <w:left w:w="108" w:type="dxa"/>
            <w:bottom w:w="0" w:type="dxa"/>
            <w:right w:w="108" w:type="dxa"/>
          </w:tblCellMar>
        </w:tblPrEx>
        <w:trPr>
          <w:trHeight w:val="163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销售机构职责</w:t>
            </w:r>
          </w:p>
        </w:tc>
        <w:tc>
          <w:tcPr>
            <w:tcW w:w="7847"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主要负责理财计划推广、投资者风险承受能力评估、投资者适当性管理、理财计划份额认购、申购及赎回办理。</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p>
    <w:p>
      <w:pPr>
        <w:spacing w:line="360" w:lineRule="auto"/>
        <w:ind w:firstLine="480" w:firstLineChars="200"/>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本理财计划估值日为每个工作日，定期由理财管理人和理财托管人核对估值结果并向投资者披露，具体日期以管理人公告为准。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货币市场工具类资产</w:t>
      </w:r>
    </w:p>
    <w:p>
      <w:pPr>
        <w:pStyle w:val="13"/>
        <w:adjustRightInd/>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银行存款及回购，以本金列示，按商定利率在实际持有期间内逐日计提利息。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债券及同业存单类资产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以收取合同现金流量为目的并持有到期的债券及同业存单类资产，按摊余成本法进行计量。其余债券及同业存单类资产，按市价法估值。市价法不能确定公允价值的，采用估值技术进行估值。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债权类资产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rPr>
        <w:t xml:space="preserve">    对于符合监管要求的债权类资产，按照摊余成本法进行计量。其余债权类资产，按市价法估值。市价法不能确定其公允价值的，采用估值技术进行估值。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股权类资产</w:t>
      </w:r>
    </w:p>
    <w:p>
      <w:pPr>
        <w:numPr>
          <w:ilvl w:val="0"/>
          <w:numId w:val="24"/>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上市流通股票按估值日其所在证券交易所的收盘价估值；估值日无交易，且最近交易日后未发生影响公允价值计量的重大事件的，以最近交易日的收盘价估值。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未上市股票的估值：</w:t>
      </w:r>
    </w:p>
    <w:p>
      <w:pPr>
        <w:spacing w:line="360" w:lineRule="auto"/>
        <w:rPr>
          <w:rFonts w:hint="eastAsia" w:ascii="宋体" w:hAnsi="宋体"/>
          <w:sz w:val="24"/>
          <w:highlight w:val="none"/>
        </w:rPr>
      </w:pPr>
      <w:r>
        <w:rPr>
          <w:rFonts w:hint="eastAsia" w:ascii="宋体" w:hAnsi="宋体" w:cs="宋体"/>
          <w:bCs/>
          <w:color w:val="000000"/>
          <w:sz w:val="24"/>
          <w:highlight w:val="none"/>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spacing w:line="360" w:lineRule="auto"/>
        <w:rPr>
          <w:rFonts w:hint="eastAsia" w:ascii="宋体" w:hAnsi="宋体"/>
          <w:sz w:val="24"/>
          <w:highlight w:val="none"/>
        </w:rPr>
      </w:pPr>
      <w:r>
        <w:rPr>
          <w:rFonts w:hint="eastAsia" w:ascii="宋体" w:hAnsi="宋体"/>
          <w:sz w:val="24"/>
          <w:highlight w:val="none"/>
        </w:rPr>
        <w:t xml:space="preserve">      2）首次公开发行有明确锁定期的股票，同一股票在交易所上市后，按交易所上市的同一股票的市价估值；</w:t>
      </w:r>
    </w:p>
    <w:p>
      <w:pPr>
        <w:spacing w:line="360" w:lineRule="auto"/>
        <w:rPr>
          <w:rFonts w:hint="eastAsia" w:ascii="宋体" w:hAnsi="宋体"/>
          <w:sz w:val="24"/>
          <w:highlight w:val="none"/>
        </w:rPr>
      </w:pPr>
      <w:r>
        <w:rPr>
          <w:rFonts w:hint="eastAsia" w:ascii="宋体" w:hAnsi="宋体"/>
          <w:sz w:val="24"/>
          <w:highlight w:val="none"/>
        </w:rPr>
        <w:t xml:space="preserve">      3）首次发行未上市的股票，按发行价格进行估值；</w:t>
      </w:r>
    </w:p>
    <w:p>
      <w:pPr>
        <w:spacing w:line="360" w:lineRule="auto"/>
        <w:rPr>
          <w:rFonts w:hint="eastAsia" w:ascii="宋体" w:hAnsi="宋体"/>
          <w:sz w:val="24"/>
          <w:highlight w:val="none"/>
        </w:rPr>
      </w:pPr>
      <w:r>
        <w:rPr>
          <w:rFonts w:hint="eastAsia" w:ascii="宋体" w:hAnsi="宋体"/>
          <w:sz w:val="24"/>
          <w:highlight w:val="none"/>
        </w:rPr>
        <w:t xml:space="preserve">      4）因持有股票而享有的配股权，采用估值技术确定公允价值。</w:t>
      </w:r>
    </w:p>
    <w:p>
      <w:pPr>
        <w:numPr>
          <w:ilvl w:val="0"/>
          <w:numId w:val="24"/>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非上市股权的估值：</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基金、资产管理计划类资产</w:t>
      </w:r>
    </w:p>
    <w:p>
      <w:p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3"/>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3"/>
        <w:spacing w:line="360" w:lineRule="auto"/>
        <w:ind w:firstLine="480" w:firstLineChars="200"/>
        <w:rPr>
          <w:rFonts w:hint="eastAsia" w:ascii="宋体" w:hAnsi="宋体" w:cs="宋体"/>
          <w:bCs/>
          <w:highlight w:val="none"/>
        </w:rPr>
      </w:pPr>
      <w:r>
        <w:rPr>
          <w:rFonts w:hint="eastAsia" w:ascii="宋体" w:hAnsi="宋体" w:cs="宋体"/>
          <w:bCs/>
          <w:kern w:val="2"/>
          <w:highlight w:val="none"/>
        </w:rPr>
        <w:t>以</w:t>
      </w:r>
      <w:r>
        <w:rPr>
          <w:rFonts w:hint="eastAsia" w:ascii="宋体" w:hAnsi="宋体" w:cs="宋体"/>
          <w:bCs/>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3"/>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13"/>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理财计划投资所涉及的交易市场遇法定节假日或因其他原因暂停营业时暂停估值，该种情况理财计划估值日期提前到上一交易日。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本理财计划涉及费用包括销售服务费、托管费、固定管理费、认购费、浮动管理费以及理财计划运作和清算中产生的其他费用等。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理财计划财产A份额的年化销售服务费率为〖0.30%〗, B份额的年化销售服务费率为〖0.20%〗, C份额的年化销售服务费率为〖0.10%〗, D份额的年化销售服务费率为〖0.15%〗, E份额的年化销售服务费率为〖0.20%〗, F份额的年化销售服务费率为〖0.15%〗, I份额的年化销售服务费率为〖0.30%〗, P份额的年化销售服务费率为〖0.15%〗, Q份额的年化销售服务费率为〖0.05%〗, 以〖A份额〗为例，计算方法如下：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bCs/>
          <w:color w:val="000000"/>
          <w:sz w:val="24"/>
          <w:highlight w:val="none"/>
        </w:rPr>
        <w:t>0.30%</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sz w:val="24"/>
          <w:highlight w:val="none"/>
        </w:rPr>
        <w:t>A</w:t>
      </w:r>
      <w:r>
        <w:rPr>
          <w:rFonts w:hint="eastAsia" w:ascii="宋体" w:hAnsi="宋体" w:cs="宋体"/>
          <w:bCs/>
          <w:color w:val="000000"/>
          <w:sz w:val="24"/>
          <w:highlight w:val="none"/>
        </w:rPr>
        <w:t>份额每日应计提的销售服务费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sz w:val="24"/>
          <w:highlight w:val="none"/>
        </w:rPr>
        <w:t>A</w:t>
      </w:r>
      <w:r>
        <w:rPr>
          <w:rFonts w:hint="eastAsia" w:ascii="宋体" w:hAnsi="宋体" w:cs="宋体"/>
          <w:bCs/>
          <w:color w:val="000000"/>
          <w:sz w:val="24"/>
          <w:highlight w:val="none"/>
        </w:rPr>
        <w:t>份额前一日资产净值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销售服务费原则上按日计提。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理财计划财产的年化托管费为〖0.025%〗，计算方法如下：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H＝E×〖0.025%</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理财计划财产A份额的年化固定管理费率为〖0.20%〗, B份额的年化固定管理费率为〖0.20%〗, C份额的年化固定管理费率为〖0.20%〗, D份额的年化固定管理费率为〖0.20%〗, E份额的年化固定管理费率为〖0.20%〗, F份额的年化固定管理费率为〖0.20%〗, I份额的年化固定管理费率为〖0.20%〗, P份额的年化固定管理费率为〖0.15%〗, Q份额的年化固定管理费率为〖0.05%〗, 以〖A份额〗为例，计算方法如下：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H＝E×〖0.20%</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sz w:val="24"/>
          <w:highlight w:val="none"/>
        </w:rPr>
        <w:t>A</w:t>
      </w:r>
      <w:r>
        <w:rPr>
          <w:rFonts w:hint="eastAsia" w:ascii="宋体" w:hAnsi="宋体" w:cs="宋体"/>
          <w:bCs/>
          <w:color w:val="000000"/>
          <w:sz w:val="24"/>
          <w:highlight w:val="none"/>
        </w:rPr>
        <w:t>份额每日应计提的固定管理费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sz w:val="24"/>
          <w:highlight w:val="none"/>
        </w:rPr>
        <w:t>A</w:t>
      </w:r>
      <w:r>
        <w:rPr>
          <w:rFonts w:hint="eastAsia" w:ascii="宋体" w:hAnsi="宋体" w:cs="宋体"/>
          <w:bCs/>
          <w:color w:val="000000"/>
          <w:sz w:val="24"/>
          <w:highlight w:val="none"/>
        </w:rPr>
        <w:t>份额前一日资产净值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固定管理费原则上按日计提，如理财计划实际运作结果不达业绩比较基准下限时，管理人有权减免固定管理费。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理财管理人根据理财计划投资情况计算浮动管理费，浮动管理费原则上按估值日计提，到期收取。具体计算方法如下：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（1）若本理财计划到期日（提前终止日）的折合年化收益率超过业绩比较基准下限但未达到业绩比较基准上限，则超过业绩比较基准下限的部分管理人收取〖50%〗作为浮动管理费，即：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H=E×NAV0×（K-S)×〖50%〗×N÷365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H=E×NAV0×[(K-R)×〖80%〗+(R-S)×〖50%〗]×N÷365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lang w:val="en-US" w:eastAsia="zh-CN"/>
        </w:rPr>
        <w:t>理财计划到期（提前终止）时应</w:t>
      </w:r>
      <w:r>
        <w:rPr>
          <w:rFonts w:hint="eastAsia" w:ascii="宋体" w:hAnsi="宋体" w:cs="宋体"/>
          <w:bCs/>
          <w:color w:val="000000"/>
          <w:sz w:val="24"/>
          <w:highlight w:val="none"/>
        </w:rPr>
        <w:t>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lang w:val="en-US" w:eastAsia="zh-CN"/>
        </w:rPr>
        <w:t>投资者持有</w:t>
      </w:r>
      <w:r>
        <w:rPr>
          <w:rFonts w:hint="eastAsia" w:ascii="宋体" w:hAnsi="宋体" w:cs="宋体"/>
          <w:bCs/>
          <w:color w:val="000000"/>
          <w:sz w:val="24"/>
          <w:highlight w:val="none"/>
        </w:rPr>
        <w:t>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K为收取浮动管理费前投资者</w:t>
      </w:r>
      <w:r>
        <w:rPr>
          <w:rFonts w:hint="eastAsia" w:ascii="宋体" w:hAnsi="宋体" w:cs="宋体"/>
          <w:bCs/>
          <w:color w:val="000000"/>
          <w:sz w:val="24"/>
          <w:highlight w:val="none"/>
          <w:lang w:val="en-US" w:eastAsia="zh-CN"/>
        </w:rPr>
        <w:t>持有</w:t>
      </w:r>
      <w:r>
        <w:rPr>
          <w:rFonts w:hint="eastAsia" w:ascii="宋体" w:hAnsi="宋体" w:cs="宋体"/>
          <w:bCs/>
          <w:color w:val="000000"/>
          <w:sz w:val="24"/>
          <w:highlight w:val="none"/>
        </w:rPr>
        <w:t>份额对应持有区间折合年化收益率</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w:t>
      </w:r>
      <w:r>
        <w:rPr>
          <w:rFonts w:hint="eastAsia" w:ascii="宋体" w:hAnsi="宋体" w:cs="宋体"/>
          <w:bCs/>
          <w:color w:val="000000"/>
          <w:sz w:val="24"/>
          <w:highlight w:val="none"/>
          <w:lang w:val="en-US" w:eastAsia="zh-CN"/>
        </w:rPr>
        <w:t>理财计划成立日之初的</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w:t>
      </w:r>
      <w:r>
        <w:rPr>
          <w:rFonts w:hint="eastAsia" w:ascii="宋体" w:hAnsi="宋体" w:cs="宋体"/>
          <w:bCs/>
          <w:color w:val="000000"/>
          <w:sz w:val="24"/>
          <w:highlight w:val="none"/>
          <w:lang w:val="en-US" w:eastAsia="zh-CN"/>
        </w:rPr>
        <w:t>理财计划到期日</w:t>
      </w:r>
      <w:r>
        <w:rPr>
          <w:rFonts w:hint="eastAsia" w:ascii="宋体" w:hAnsi="宋体" w:cs="宋体"/>
          <w:bCs/>
          <w:color w:val="000000"/>
          <w:sz w:val="24"/>
          <w:highlight w:val="none"/>
        </w:rPr>
        <w:t>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w:t>
      </w:r>
      <w:r>
        <w:rPr>
          <w:rFonts w:hint="eastAsia" w:ascii="宋体" w:hAnsi="宋体" w:cs="宋体"/>
          <w:bCs/>
          <w:color w:val="000000"/>
          <w:sz w:val="24"/>
          <w:highlight w:val="none"/>
          <w:lang w:val="en-US" w:eastAsia="zh-CN"/>
        </w:rPr>
        <w:t>理财计划</w:t>
      </w:r>
      <w:r>
        <w:rPr>
          <w:rFonts w:hint="eastAsia" w:ascii="宋体" w:hAnsi="宋体" w:cs="宋体"/>
          <w:bCs/>
          <w:color w:val="000000"/>
          <w:sz w:val="24"/>
          <w:highlight w:val="none"/>
        </w:rPr>
        <w:t>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S为</w:t>
      </w:r>
      <w:r>
        <w:rPr>
          <w:rFonts w:hint="eastAsia" w:ascii="宋体" w:hAnsi="宋体" w:cs="宋体"/>
          <w:bCs/>
          <w:color w:val="000000"/>
          <w:sz w:val="24"/>
          <w:highlight w:val="none"/>
          <w:lang w:val="en-US" w:eastAsia="zh-CN"/>
        </w:rPr>
        <w:t>理财计划</w:t>
      </w:r>
      <w:r>
        <w:rPr>
          <w:rFonts w:hint="eastAsia" w:ascii="宋体" w:hAnsi="宋体" w:cs="宋体"/>
          <w:bCs/>
          <w:color w:val="000000"/>
          <w:sz w:val="24"/>
          <w:highlight w:val="none"/>
        </w:rPr>
        <w:t>业绩比较基准下限</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N为</w:t>
      </w:r>
      <w:r>
        <w:rPr>
          <w:rFonts w:hint="eastAsia" w:ascii="宋体" w:hAnsi="宋体" w:cs="宋体"/>
          <w:bCs/>
          <w:color w:val="000000"/>
          <w:sz w:val="24"/>
          <w:highlight w:val="none"/>
          <w:lang w:val="en-US" w:eastAsia="zh-CN"/>
        </w:rPr>
        <w:t>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w:t>
      </w:r>
      <w:r>
        <w:rPr>
          <w:rFonts w:hint="eastAsia" w:ascii="宋体" w:hAnsi="宋体" w:cs="宋体"/>
          <w:bCs/>
          <w:color w:val="000000"/>
          <w:sz w:val="24"/>
          <w:highlight w:val="none"/>
          <w:lang w:val="en-US" w:eastAsia="zh-CN"/>
        </w:rPr>
        <w:t>理财计划运作期间每单位份额的实际分红金额合计</w:t>
      </w:r>
      <w:r>
        <w:rPr>
          <w:rFonts w:hint="eastAsia" w:ascii="宋体" w:hAnsi="宋体" w:cs="宋体"/>
          <w:bCs/>
          <w:color w:val="000000"/>
          <w:sz w:val="24"/>
          <w:highlight w:val="none"/>
        </w:rPr>
        <w:t>（如有）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numPr>
          <w:ilvl w:val="0"/>
          <w:numId w:val="0"/>
        </w:numPr>
        <w:spacing w:line="360" w:lineRule="auto"/>
        <w:ind w:firstLine="480" w:firstLineChars="200"/>
        <w:jc w:val="left"/>
        <w:outlineLvl w:val="9"/>
        <w:rPr>
          <w:rFonts w:hint="eastAsia" w:ascii="宋体" w:hAnsi="宋体" w:cs="宋体"/>
          <w:b/>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numPr>
          <w:ilvl w:val="0"/>
          <w:numId w:val="32"/>
        </w:numPr>
        <w:spacing w:line="360" w:lineRule="auto"/>
        <w:jc w:val="left"/>
        <w:rPr>
          <w:rFonts w:hint="eastAsia" w:ascii="宋体" w:hAnsi="宋体" w:cs="宋体"/>
          <w:b/>
          <w:sz w:val="24"/>
          <w:highlight w:val="none"/>
        </w:rPr>
      </w:pPr>
      <w:r>
        <w:rPr>
          <w:rFonts w:hint="eastAsia" w:ascii="宋体" w:hAnsi="宋体" w:cs="宋体"/>
          <w:b/>
          <w:sz w:val="24"/>
          <w:highlight w:val="none"/>
        </w:rPr>
        <w:t>示例一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扣除托管费、固定管理费、销售服务费（如有）后，投资收益率超过〖业绩比较基准上限〗。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以某投资者投资10万元为例，假设购买时理财计划净值为1.0000元，折算份额为100,000.00份，假设份额成立日（含）至估值日（含）的区间天数为362天,业绩比较基准为4.0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%-5.0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假设理财产品到期时扣除托管费、固定管理费、销售服务费（如有）后，如理财计划净值未扣除浮动管理费前的为1.0615，此时，(1.0615÷1.0000-1)×365÷362=6.20%&gt;5.00%，即在〖4.00%-5.00%〗部分的投资收益管理人收取80%作为浮动管理费，超过〖5.00%〗部分的投资收益管理人收取100%作为浮动管理费，浮动管理费为：</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100,000×1.0000×[（1.0615÷1.0000-1）×365÷362-5.00%）×100%+(5.00%-4.00%)×80%)]×362÷365=1,984.52（元）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100,000.00×（1.0615-1.0000）-1,984.52= 4,165.48（元）。</w:t>
      </w:r>
    </w:p>
    <w:p>
      <w:pPr>
        <w:numPr>
          <w:ilvl w:val="0"/>
          <w:numId w:val="32"/>
        </w:numPr>
        <w:spacing w:line="360" w:lineRule="auto"/>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扣除托管费、固定管理费、销售服务费（如有）后，投资收益率超过业绩比较基准下限，但未达到业绩比较基准上限。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以某投资者投资10万元为例，假设购买时理财计划净值为1.0000元，折算份额为100,000.00份,假设份额成立日（含）至估值日（含）的区间天数为362天,业绩比较基准为4.0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%-5.0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假设理财产品到期时扣除托管费、固定管理费、销售服务费（如有）后，如理财计划未扣除浮动管理费前的净值为1.0415，此时，(1.0415÷1.0000-1)×365÷362=4.18%，即投资收益超过〖4.00%〗但未达到〖5.00%〗，则超过〖4.00%〗部分的投资收益管理人收取80%作为浮动管理费，浮动管理费为：</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100,000.00×1.0000×[(1.0415÷1.0000-1)×365÷362-4.00%]×80%×362÷365=146.30（元）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100,000.00×（1.0415-1.0000）-146.30 =4</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003.70（元）。</w:t>
      </w:r>
    </w:p>
    <w:p>
      <w:pPr>
        <w:numPr>
          <w:ilvl w:val="0"/>
          <w:numId w:val="32"/>
        </w:numPr>
        <w:spacing w:line="360" w:lineRule="auto"/>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扣除托管费、固定管理费、销售服务费（如有）后，投资收益率未达到〖业绩比较基准下限〗。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以某投资者投资10万元为例，假设购买时理财计划净值为1.0000元，折算份额为100,000.00份，假设份额成立日（含）至估值日（含）的区间天数为362天,业绩比较基准为4.0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%-5.0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numPr>
          <w:ilvl w:val="0"/>
          <w:numId w:val="32"/>
        </w:numPr>
        <w:spacing w:line="360" w:lineRule="auto"/>
        <w:jc w:val="left"/>
        <w:rPr>
          <w:rFonts w:hint="eastAsia" w:ascii="宋体" w:hAnsi="宋体" w:cs="宋体"/>
          <w:b/>
          <w:sz w:val="24"/>
          <w:highlight w:val="none"/>
        </w:rPr>
      </w:pPr>
      <w:r>
        <w:rPr>
          <w:rFonts w:hint="eastAsia" w:ascii="宋体" w:hAnsi="宋体" w:cs="宋体"/>
          <w:b/>
          <w:sz w:val="24"/>
          <w:highlight w:val="none"/>
        </w:rPr>
        <w:t>示例四</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扣除托管费、固定管理费、销售服务费（如有）后，投资发生亏损。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以某投资者投资10万元为例，假设购买时理财计划净值为1.00元，折算份额为100,000.00份，假设份额成立日（含）至估值日（含）的区间天数为362天,业绩比较基准为4.0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%-5.0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如新增认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1〗个工作日、最晚〖3〗个工作日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highlight w:val="none"/>
        </w:rPr>
        <w:t>〖</w:t>
      </w:r>
      <w:r>
        <w:rPr>
          <w:rFonts w:hint="eastAsia" w:ascii="宋体" w:hAnsi="宋体" w:cs="宋体"/>
          <w:bCs/>
          <w:sz w:val="24"/>
          <w:highlight w:val="none"/>
        </w:rPr>
        <w:t>2</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highlight w:val="none"/>
        </w:rPr>
        <w:t>〖</w:t>
      </w:r>
      <w:r>
        <w:rPr>
          <w:rFonts w:hint="eastAsia" w:ascii="宋体" w:hAnsi="宋体" w:cs="宋体"/>
          <w:sz w:val="24"/>
          <w:szCs w:val="24"/>
          <w:highlight w:val="none"/>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如发生以下事项时，管理人可对本理财计划行使全部或部分提前终止权：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发行公告：管理人应在理财计划成立日后3个工作日内披露，包括成立日期、募集规模等信息。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p>
    <w:p>
      <w:p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如本理财计划成立不足90个工作日或剩余存续期不超过90个工作日的，管理人可不编制当期的季度、半年和年度报告等运行报告。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授权使用时限与履行相关法律法规和监管要求的必要时限一致。</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被告人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2">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3">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4">
    <w:nsid w:val="F574F5B6"/>
    <w:multiLevelType w:val="singleLevel"/>
    <w:tmpl w:val="F574F5B6"/>
    <w:lvl w:ilvl="0" w:tentative="0">
      <w:start w:val="1"/>
      <w:numFmt w:val="decimal"/>
      <w:suff w:val="nothing"/>
      <w:lvlText w:val="（%1）"/>
      <w:lvlJc w:val="left"/>
    </w:lvl>
  </w:abstractNum>
  <w:abstractNum w:abstractNumId="25">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2F21FDB"/>
    <w:multiLevelType w:val="multilevel"/>
    <w:tmpl w:val="62F21FDB"/>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5"/>
  </w:num>
  <w:num w:numId="4">
    <w:abstractNumId w:val="23"/>
  </w:num>
  <w:num w:numId="5">
    <w:abstractNumId w:val="28"/>
  </w:num>
  <w:num w:numId="6">
    <w:abstractNumId w:val="22"/>
  </w:num>
  <w:num w:numId="7">
    <w:abstractNumId w:val="17"/>
  </w:num>
  <w:num w:numId="8">
    <w:abstractNumId w:val="10"/>
  </w:num>
  <w:num w:numId="9">
    <w:abstractNumId w:val="14"/>
  </w:num>
  <w:num w:numId="10">
    <w:abstractNumId w:val="7"/>
  </w:num>
  <w:num w:numId="11">
    <w:abstractNumId w:val="8"/>
  </w:num>
  <w:num w:numId="12">
    <w:abstractNumId w:val="6"/>
  </w:num>
  <w:num w:numId="13">
    <w:abstractNumId w:val="27"/>
  </w:num>
  <w:num w:numId="14">
    <w:abstractNumId w:val="4"/>
  </w:num>
  <w:num w:numId="15">
    <w:abstractNumId w:val="0"/>
  </w:num>
  <w:num w:numId="16">
    <w:abstractNumId w:val="35"/>
  </w:num>
  <w:num w:numId="17">
    <w:abstractNumId w:val="24"/>
  </w:num>
  <w:num w:numId="18">
    <w:abstractNumId w:val="16"/>
  </w:num>
  <w:num w:numId="19">
    <w:abstractNumId w:val="32"/>
  </w:num>
  <w:num w:numId="20">
    <w:abstractNumId w:val="18"/>
  </w:num>
  <w:num w:numId="21">
    <w:abstractNumId w:val="5"/>
  </w:num>
  <w:num w:numId="22">
    <w:abstractNumId w:val="38"/>
  </w:num>
  <w:num w:numId="23">
    <w:abstractNumId w:val="3"/>
  </w:num>
  <w:num w:numId="24">
    <w:abstractNumId w:val="41"/>
  </w:num>
  <w:num w:numId="25">
    <w:abstractNumId w:val="31"/>
  </w:num>
  <w:num w:numId="26">
    <w:abstractNumId w:val="42"/>
  </w:num>
  <w:num w:numId="27">
    <w:abstractNumId w:val="26"/>
  </w:num>
  <w:num w:numId="28">
    <w:abstractNumId w:val="20"/>
  </w:num>
  <w:num w:numId="29">
    <w:abstractNumId w:val="34"/>
  </w:num>
  <w:num w:numId="30">
    <w:abstractNumId w:val="1"/>
  </w:num>
  <w:num w:numId="31">
    <w:abstractNumId w:val="21"/>
  </w:num>
  <w:num w:numId="32">
    <w:abstractNumId w:val="13"/>
  </w:num>
  <w:num w:numId="33">
    <w:abstractNumId w:val="37"/>
  </w:num>
  <w:num w:numId="34">
    <w:abstractNumId w:val="29"/>
  </w:num>
  <w:num w:numId="35">
    <w:abstractNumId w:val="15"/>
  </w:num>
  <w:num w:numId="36">
    <w:abstractNumId w:val="40"/>
  </w:num>
  <w:num w:numId="37">
    <w:abstractNumId w:val="11"/>
  </w:num>
  <w:num w:numId="38">
    <w:abstractNumId w:val="9"/>
  </w:num>
  <w:num w:numId="39">
    <w:abstractNumId w:val="12"/>
  </w:num>
  <w:num w:numId="40">
    <w:abstractNumId w:val="30"/>
  </w:num>
  <w:num w:numId="41">
    <w:abstractNumId w:val="19"/>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00604"/>
    <w:rsid w:val="002141BE"/>
    <w:rsid w:val="00232E3B"/>
    <w:rsid w:val="0023532C"/>
    <w:rsid w:val="002441E4"/>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C74C9"/>
    <w:rsid w:val="008D78BD"/>
    <w:rsid w:val="008E13C5"/>
    <w:rsid w:val="00901BED"/>
    <w:rsid w:val="00902D93"/>
    <w:rsid w:val="00914DAB"/>
    <w:rsid w:val="00993044"/>
    <w:rsid w:val="009B065F"/>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1C5"/>
    <w:rsid w:val="00E7096F"/>
    <w:rsid w:val="00EB473B"/>
    <w:rsid w:val="00EE319D"/>
    <w:rsid w:val="00F0077E"/>
    <w:rsid w:val="00F50192"/>
    <w:rsid w:val="00F5498F"/>
    <w:rsid w:val="00F5749D"/>
    <w:rsid w:val="00F8181B"/>
    <w:rsid w:val="00FA0296"/>
    <w:rsid w:val="00FA6CE7"/>
    <w:rsid w:val="00FE2923"/>
    <w:rsid w:val="02562BF7"/>
    <w:rsid w:val="03BA3F56"/>
    <w:rsid w:val="0460442C"/>
    <w:rsid w:val="04CC55AF"/>
    <w:rsid w:val="0500018B"/>
    <w:rsid w:val="05B13762"/>
    <w:rsid w:val="07376664"/>
    <w:rsid w:val="07817326"/>
    <w:rsid w:val="09130B13"/>
    <w:rsid w:val="0B1A5A6E"/>
    <w:rsid w:val="0B2D0BA7"/>
    <w:rsid w:val="0BC6746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62A128A"/>
    <w:rsid w:val="16563388"/>
    <w:rsid w:val="17432384"/>
    <w:rsid w:val="17611875"/>
    <w:rsid w:val="1783542D"/>
    <w:rsid w:val="179972B0"/>
    <w:rsid w:val="18FC27C6"/>
    <w:rsid w:val="1B757EAF"/>
    <w:rsid w:val="1CAD01AC"/>
    <w:rsid w:val="1D866C77"/>
    <w:rsid w:val="1D9446FE"/>
    <w:rsid w:val="1DA62CA8"/>
    <w:rsid w:val="1E831DF3"/>
    <w:rsid w:val="1E856DEB"/>
    <w:rsid w:val="1F3C1565"/>
    <w:rsid w:val="20BD2325"/>
    <w:rsid w:val="24A67BC4"/>
    <w:rsid w:val="25801A05"/>
    <w:rsid w:val="27CE3874"/>
    <w:rsid w:val="27EB3D24"/>
    <w:rsid w:val="28B13D99"/>
    <w:rsid w:val="2A4135AD"/>
    <w:rsid w:val="2AD52CEA"/>
    <w:rsid w:val="2B683C5D"/>
    <w:rsid w:val="2B8255D3"/>
    <w:rsid w:val="2C016B4D"/>
    <w:rsid w:val="2CED7384"/>
    <w:rsid w:val="2D131CD0"/>
    <w:rsid w:val="2DD45D89"/>
    <w:rsid w:val="2F237638"/>
    <w:rsid w:val="2F6A71CE"/>
    <w:rsid w:val="307B1E47"/>
    <w:rsid w:val="348C31DF"/>
    <w:rsid w:val="348E01C6"/>
    <w:rsid w:val="354C4323"/>
    <w:rsid w:val="35CD15B7"/>
    <w:rsid w:val="35D86BDE"/>
    <w:rsid w:val="35FD5667"/>
    <w:rsid w:val="36310E4A"/>
    <w:rsid w:val="36591675"/>
    <w:rsid w:val="372216A6"/>
    <w:rsid w:val="38663D34"/>
    <w:rsid w:val="39310E98"/>
    <w:rsid w:val="3AA66AF1"/>
    <w:rsid w:val="3B885E8A"/>
    <w:rsid w:val="3C4454BA"/>
    <w:rsid w:val="3D3D1991"/>
    <w:rsid w:val="3E6E2E42"/>
    <w:rsid w:val="3EA23778"/>
    <w:rsid w:val="3EAC1C1C"/>
    <w:rsid w:val="3EE67142"/>
    <w:rsid w:val="3EFE04EE"/>
    <w:rsid w:val="3F0A6615"/>
    <w:rsid w:val="3FCF347B"/>
    <w:rsid w:val="3FE830E5"/>
    <w:rsid w:val="40163267"/>
    <w:rsid w:val="40221B6B"/>
    <w:rsid w:val="40E021B1"/>
    <w:rsid w:val="41487A0A"/>
    <w:rsid w:val="42342BAA"/>
    <w:rsid w:val="425B6A60"/>
    <w:rsid w:val="426E7500"/>
    <w:rsid w:val="43685ADB"/>
    <w:rsid w:val="44045C03"/>
    <w:rsid w:val="46DB254E"/>
    <w:rsid w:val="47C36E36"/>
    <w:rsid w:val="48A3615E"/>
    <w:rsid w:val="48E00B0C"/>
    <w:rsid w:val="4B954EA0"/>
    <w:rsid w:val="4CC84C98"/>
    <w:rsid w:val="4D4708A6"/>
    <w:rsid w:val="4E754A4E"/>
    <w:rsid w:val="4E9967DA"/>
    <w:rsid w:val="4ECF6E10"/>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F01D88"/>
    <w:rsid w:val="5D5C0387"/>
    <w:rsid w:val="5DC66812"/>
    <w:rsid w:val="5DF35554"/>
    <w:rsid w:val="608F3A1C"/>
    <w:rsid w:val="61423886"/>
    <w:rsid w:val="6336483C"/>
    <w:rsid w:val="646D7D7D"/>
    <w:rsid w:val="64A47711"/>
    <w:rsid w:val="64BB6AA4"/>
    <w:rsid w:val="64EB1FB1"/>
    <w:rsid w:val="65085FDD"/>
    <w:rsid w:val="65F53E4A"/>
    <w:rsid w:val="66A625FE"/>
    <w:rsid w:val="66BC7D07"/>
    <w:rsid w:val="672D0717"/>
    <w:rsid w:val="68782DAE"/>
    <w:rsid w:val="69644745"/>
    <w:rsid w:val="69BC658F"/>
    <w:rsid w:val="6A042D14"/>
    <w:rsid w:val="6ABE1B22"/>
    <w:rsid w:val="6B29233B"/>
    <w:rsid w:val="6B8C2015"/>
    <w:rsid w:val="6C1B5E3A"/>
    <w:rsid w:val="6C3E06A6"/>
    <w:rsid w:val="6D966DB7"/>
    <w:rsid w:val="6DF02B61"/>
    <w:rsid w:val="6EE209DA"/>
    <w:rsid w:val="70597F18"/>
    <w:rsid w:val="7082330A"/>
    <w:rsid w:val="71202A40"/>
    <w:rsid w:val="725917A9"/>
    <w:rsid w:val="73631A55"/>
    <w:rsid w:val="77B75243"/>
    <w:rsid w:val="77C21A5F"/>
    <w:rsid w:val="77D23D86"/>
    <w:rsid w:val="792D1E0D"/>
    <w:rsid w:val="79321117"/>
    <w:rsid w:val="7A3A7C0C"/>
    <w:rsid w:val="7A835F66"/>
    <w:rsid w:val="7A8955BC"/>
    <w:rsid w:val="7A9D6576"/>
    <w:rsid w:val="7C0B646F"/>
    <w:rsid w:val="7D3E6993"/>
    <w:rsid w:val="7DAE1C60"/>
    <w:rsid w:val="7FEEF4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Style w:val="8"/>
      <w:tblLayout w:type="fixed"/>
      <w:tblCellMar>
        <w:top w:w="0" w:type="dxa"/>
        <w:left w:w="108" w:type="dxa"/>
        <w:bottom w:w="0" w:type="dxa"/>
        <w:right w:w="108" w:type="dxa"/>
      </w:tblCellMar>
    </w:tblPr>
  </w:style>
  <w:style w:type="paragraph" w:styleId="2">
    <w:name w:val="annotation text"/>
    <w:basedOn w:val="1"/>
    <w:link w:val="16"/>
    <w:uiPriority w:val="0"/>
    <w:pPr>
      <w:jc w:val="left"/>
    </w:pPr>
    <w:rPr>
      <w:rFonts w:cs="Times New Roman"/>
    </w:rPr>
  </w:style>
  <w:style w:type="paragraph" w:styleId="3">
    <w:name w:val="Balloon Text"/>
    <w:basedOn w:val="1"/>
    <w:link w:val="15"/>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annotation subject"/>
    <w:basedOn w:val="2"/>
    <w:next w:val="2"/>
    <w:link w:val="17"/>
    <w:uiPriority w:val="0"/>
    <w:rPr>
      <w:b/>
      <w:bCs/>
    </w:rPr>
  </w:style>
  <w:style w:type="table" w:styleId="9">
    <w:name w:val="Table Grid"/>
    <w:basedOn w:val="8"/>
    <w:unhideWhenUsed/>
    <w:qFormat/>
    <w:uiPriority w:val="99"/>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Default"/>
    <w:qFormat/>
    <w:uiPriority w:val="0"/>
    <w:pPr>
      <w:widowControl w:val="0"/>
      <w:autoSpaceDE w:val="0"/>
      <w:autoSpaceDN w:val="0"/>
      <w:adjustRightInd w:val="0"/>
    </w:pPr>
    <w:rPr>
      <w:color w:val="000000"/>
      <w:sz w:val="24"/>
      <w:szCs w:val="24"/>
      <w:lang w:val="en-US" w:eastAsia="zh-CN" w:bidi="ar-SA"/>
    </w:rPr>
  </w:style>
  <w:style w:type="paragraph" w:customStyle="1" w:styleId="14">
    <w:name w:val="List Paragraph"/>
    <w:basedOn w:val="1"/>
    <w:unhideWhenUsed/>
    <w:uiPriority w:val="99"/>
    <w:pPr>
      <w:ind w:firstLine="420" w:firstLineChars="200"/>
    </w:pPr>
  </w:style>
  <w:style w:type="character" w:customStyle="1" w:styleId="15">
    <w:name w:val="批注框文本 字符"/>
    <w:link w:val="3"/>
    <w:uiPriority w:val="0"/>
    <w:rPr>
      <w:rFonts w:ascii="Calibri" w:hAnsi="Calibri" w:cs="黑体"/>
      <w:kern w:val="2"/>
      <w:sz w:val="18"/>
      <w:szCs w:val="18"/>
    </w:rPr>
  </w:style>
  <w:style w:type="character" w:customStyle="1" w:styleId="16">
    <w:name w:val="批注文字 字符"/>
    <w:link w:val="2"/>
    <w:uiPriority w:val="0"/>
    <w:rPr>
      <w:rFonts w:ascii="Calibri" w:hAnsi="Calibri" w:cs="黑体"/>
      <w:kern w:val="2"/>
      <w:sz w:val="21"/>
      <w:szCs w:val="24"/>
    </w:rPr>
  </w:style>
  <w:style w:type="character" w:customStyle="1" w:styleId="17">
    <w:name w:val="批注主题 字符"/>
    <w:link w:val="7"/>
    <w:uiPriority w:val="0"/>
    <w:rPr>
      <w:rFonts w:ascii="Calibri" w:hAnsi="Calibri" w:cs="黑体"/>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55</Pages>
  <Words>35349</Words>
  <Characters>37717</Characters>
  <Lines>259</Lines>
  <Paragraphs>72</Paragraphs>
  <TotalTime>0</TotalTime>
  <ScaleCrop>false</ScaleCrop>
  <LinksUpToDate>false</LinksUpToDate>
  <CharactersWithSpaces>38116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2022-10-31T19:18:00Z</dcterms:created>
  <dc:creator>Administrator</dc:creator>
  <cp:lastModifiedBy>hccb</cp:lastModifiedBy>
  <dcterms:modified xsi:type="dcterms:W3CDTF">2025-07-10T06:55:12Z</dcterms:modified>
  <dc:title>杭银理财幸福99XXXX理财计划合同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