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jc w:val="center"/>
        <w:outlineLvl w:val="0"/>
        <w:rPr>
          <w:rFonts w:hint="eastAsia" w:ascii="Calibri" w:hAnsi="Calibri" w:eastAsia="宋体" w:cs="黑体"/>
          <w:b/>
          <w:bCs w:val="0"/>
          <w:sz w:val="44"/>
          <w:szCs w:val="44"/>
          <w:highlight w:val="none"/>
        </w:rPr>
      </w:pPr>
      <w:r>
        <w:rPr>
          <w:rFonts w:hint="eastAsia" w:ascii="Calibri" w:hAnsi="Calibri" w:eastAsia="宋体" w:cs="黑体"/>
          <w:b/>
          <w:bCs w:val="0"/>
          <w:sz w:val="44"/>
          <w:szCs w:val="44"/>
          <w:highlight w:val="none"/>
          <w:lang w:val="en-US" w:eastAsia="zh-CN"/>
        </w:rPr>
        <w:t>杭银理财理财计划</w:t>
      </w:r>
      <w:r>
        <w:rPr>
          <w:rFonts w:hint="eastAsia" w:ascii="Calibri" w:hAnsi="Calibri" w:eastAsia="宋体" w:cs="黑体"/>
          <w:b/>
          <w:bCs w:val="0"/>
          <w:sz w:val="44"/>
          <w:szCs w:val="44"/>
          <w:highlight w:val="none"/>
        </w:rPr>
        <w:t>销售协议书</w:t>
      </w:r>
    </w:p>
    <w:p>
      <w:pPr>
        <w:jc w:val="center"/>
        <w:rPr>
          <w:rFonts w:hint="eastAsia" w:ascii="宋体" w:hAnsi="宋体" w:eastAsia="宋体" w:cs="宋体"/>
          <w:b w:val="0"/>
          <w:bCs w:val="0"/>
          <w:sz w:val="28"/>
          <w:szCs w:val="28"/>
          <w:highlight w:val="none"/>
        </w:rPr>
      </w:pPr>
      <w:r>
        <w:rPr>
          <w:rFonts w:hint="eastAsia" w:ascii="宋体" w:hAnsi="宋体" w:eastAsia="宋体" w:cs="宋体"/>
          <w:sz w:val="28"/>
          <w:szCs w:val="28"/>
          <w:highlight w:val="none"/>
        </w:rPr>
        <w:t>（</w:t>
      </w:r>
      <w:r>
        <w:rPr>
          <w:rFonts w:hint="eastAsia" w:ascii="宋体" w:hAnsi="宋体" w:eastAsia="宋体" w:cs="宋体"/>
          <w:sz w:val="28"/>
          <w:szCs w:val="28"/>
          <w:highlight w:val="none"/>
          <w:lang w:eastAsia="zh-CN"/>
        </w:rPr>
        <w:t>202501</w:t>
      </w:r>
      <w:r>
        <w:rPr>
          <w:rFonts w:hint="eastAsia" w:ascii="宋体" w:hAnsi="宋体" w:eastAsia="宋体" w:cs="宋体"/>
          <w:sz w:val="28"/>
          <w:szCs w:val="28"/>
          <w:highlight w:val="none"/>
        </w:rPr>
        <w:t>版）</w:t>
      </w:r>
    </w:p>
    <w:p>
      <w:pPr>
        <w:spacing w:line="360" w:lineRule="auto"/>
        <w:jc w:val="center"/>
        <w:rPr>
          <w:rFonts w:hint="default"/>
          <w:sz w:val="32"/>
          <w:szCs w:val="40"/>
          <w:highlight w:val="none"/>
          <w:lang w:val="en-US" w:eastAsia="zh-CN"/>
        </w:rPr>
      </w:pPr>
      <w:r>
        <w:rPr>
          <w:rFonts w:hint="eastAsia" w:ascii="宋体" w:hAnsi="宋体" w:cs="宋体"/>
          <w:b/>
          <w:bCs/>
          <w:sz w:val="24"/>
          <w:highlight w:val="none"/>
          <w:u w:val="single"/>
        </w:rPr>
        <w:t>理财非存款、产品有风险、投资须谨慎</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eastAsia" w:ascii="Calibri" w:hAnsi="Calibri" w:eastAsia="宋体" w:cs="黑体"/>
          <w:b/>
          <w:bCs/>
          <w:sz w:val="24"/>
          <w:highlight w:val="none"/>
        </w:rPr>
      </w:pPr>
      <w:r>
        <w:rPr>
          <w:rFonts w:hint="eastAsia" w:ascii="Calibri" w:hAnsi="Calibri" w:eastAsia="宋体" w:cs="黑体"/>
          <w:b/>
          <w:bCs/>
          <w:sz w:val="24"/>
          <w:highlight w:val="none"/>
        </w:rPr>
        <w:t>特别提示：</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rPr>
        <w:t>杭银理财</w:t>
      </w:r>
      <w:r>
        <w:rPr>
          <w:rFonts w:hint="eastAsia" w:ascii="Calibri" w:hAnsi="Calibri" w:eastAsia="宋体" w:cs="黑体"/>
          <w:b/>
          <w:bCs/>
          <w:sz w:val="24"/>
          <w:highlight w:val="none"/>
          <w:lang w:val="en-US" w:eastAsia="zh-CN"/>
        </w:rPr>
        <w:t>理财计划销售协议书</w:t>
      </w:r>
      <w:r>
        <w:rPr>
          <w:rFonts w:hint="eastAsia" w:ascii="宋体" w:hAnsi="宋体" w:eastAsia="宋体" w:cs="宋体"/>
          <w:b/>
          <w:bCs/>
          <w:sz w:val="24"/>
          <w:highlight w:val="none"/>
          <w:lang w:val="en-US" w:eastAsia="zh-CN"/>
        </w:rPr>
        <w:t>（202501</w:t>
      </w:r>
      <w:r>
        <w:rPr>
          <w:rFonts w:hint="eastAsia" w:ascii="Calibri" w:hAnsi="Calibri" w:eastAsia="宋体" w:cs="黑体"/>
          <w:b/>
          <w:bCs/>
          <w:sz w:val="24"/>
          <w:highlight w:val="none"/>
          <w:lang w:val="en-US" w:eastAsia="zh-CN"/>
        </w:rPr>
        <w:t>版）</w:t>
      </w:r>
      <w:r>
        <w:rPr>
          <w:rFonts w:hint="eastAsia" w:ascii="Calibri" w:hAnsi="Calibri" w:eastAsia="宋体" w:cs="黑体"/>
          <w:b/>
          <w:bCs/>
          <w:sz w:val="24"/>
          <w:highlight w:val="none"/>
          <w:lang w:eastAsia="zh-CN"/>
        </w:rPr>
        <w:t>》</w:t>
      </w:r>
      <w:r>
        <w:rPr>
          <w:rFonts w:hint="eastAsia" w:ascii="Calibri" w:hAnsi="Calibri" w:eastAsia="宋体" w:cs="黑体"/>
          <w:b/>
          <w:bCs/>
          <w:sz w:val="24"/>
          <w:highlight w:val="none"/>
          <w:lang w:val="en-US" w:eastAsia="zh-CN"/>
        </w:rPr>
        <w:t>与对应期次的</w:t>
      </w:r>
      <w:r>
        <w:rPr>
          <w:rFonts w:hint="eastAsia" w:eastAsia="宋体" w:cs="黑体"/>
          <w:b/>
          <w:bCs/>
          <w:sz w:val="24"/>
          <w:highlight w:val="none"/>
          <w:lang w:val="en-US" w:eastAsia="zh-CN"/>
        </w:rPr>
        <w:t>理财计划风险揭示书、理财计划产品说明书、投资者权益须知及</w:t>
      </w:r>
      <w:r>
        <w:rPr>
          <w:rFonts w:hint="eastAsia" w:ascii="Calibri" w:hAnsi="Calibri" w:eastAsia="宋体" w:cs="黑体"/>
          <w:b/>
          <w:bCs/>
          <w:sz w:val="24"/>
          <w:highlight w:val="none"/>
        </w:rPr>
        <w:t>理财计划投资协议书共同构成完整且不可分割的理财计划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。杭银理财有限责任公司（以下简称“杭银理财”）建议投资者在购买理财计划前认真阅读</w:t>
      </w:r>
      <w:r>
        <w:rPr>
          <w:rFonts w:hint="eastAsia" w:ascii="Calibri" w:hAnsi="Calibri" w:eastAsia="宋体" w:cs="黑体"/>
          <w:b/>
          <w:bCs/>
          <w:sz w:val="24"/>
          <w:highlight w:val="none"/>
          <w:lang w:val="en-US" w:eastAsia="zh-CN"/>
        </w:rPr>
        <w:t>全套</w:t>
      </w:r>
      <w:r>
        <w:rPr>
          <w:rFonts w:hint="eastAsia" w:ascii="Calibri" w:hAnsi="Calibri" w:eastAsia="宋体" w:cs="黑体"/>
          <w:b/>
          <w:bCs/>
          <w:sz w:val="24"/>
          <w:highlight w:val="none"/>
        </w:rPr>
        <w:t>理财计划</w:t>
      </w:r>
      <w:r>
        <w:rPr>
          <w:rFonts w:hint="eastAsia" w:ascii="Calibri" w:hAnsi="Calibri" w:eastAsia="宋体" w:cs="黑体"/>
          <w:b/>
          <w:bCs/>
          <w:sz w:val="24"/>
          <w:highlight w:val="none"/>
          <w:lang w:val="en-US" w:eastAsia="zh-CN"/>
        </w:rPr>
        <w:t>合同</w:t>
      </w:r>
      <w:r>
        <w:rPr>
          <w:rFonts w:hint="eastAsia" w:ascii="Calibri" w:hAnsi="Calibri" w:eastAsia="宋体" w:cs="黑体"/>
          <w:b/>
          <w:bCs/>
          <w:sz w:val="24"/>
          <w:highlight w:val="none"/>
        </w:rPr>
        <w:t>，投资者签署</w:t>
      </w:r>
      <w:r>
        <w:rPr>
          <w:rFonts w:hint="eastAsia" w:ascii="Calibri" w:hAnsi="Calibri" w:eastAsia="宋体" w:cs="黑体"/>
          <w:b/>
          <w:bCs/>
          <w:sz w:val="24"/>
          <w:highlight w:val="none"/>
          <w:lang w:val="en-US" w:eastAsia="zh-CN"/>
        </w:rPr>
        <w:t>本</w:t>
      </w:r>
      <w:r>
        <w:rPr>
          <w:rFonts w:hint="eastAsia" w:ascii="Calibri" w:hAnsi="Calibri" w:eastAsia="宋体" w:cs="黑体"/>
          <w:b/>
          <w:bCs/>
          <w:sz w:val="24"/>
          <w:highlight w:val="none"/>
        </w:rPr>
        <w:t>协议书（含电子渠道签署）即视为已详细阅读理财计划合同并知悉相关风险，自愿投资购买理财计划、遵守合同约定并承担相应风险。</w:t>
      </w:r>
    </w:p>
    <w:p>
      <w:pPr>
        <w:keepNext w:val="0"/>
        <w:keepLines w:val="0"/>
        <w:pageBreakBefore w:val="0"/>
        <w:kinsoku/>
        <w:wordWrap/>
        <w:overflowPunct/>
        <w:topLinePunct w:val="0"/>
        <w:autoSpaceDE/>
        <w:autoSpaceDN/>
        <w:bidi w:val="0"/>
        <w:adjustRightInd/>
        <w:snapToGrid/>
        <w:spacing w:line="360" w:lineRule="auto"/>
        <w:ind w:firstLine="482" w:firstLineChars="200"/>
        <w:textAlignment w:val="auto"/>
        <w:rPr>
          <w:rFonts w:hint="default" w:ascii="Calibri" w:hAnsi="Calibri" w:eastAsia="宋体" w:cs="黑体"/>
          <w:b/>
          <w:bCs/>
          <w:sz w:val="24"/>
          <w:highlight w:val="none"/>
          <w:lang w:val="en-US" w:eastAsia="zh-CN"/>
        </w:rPr>
      </w:pPr>
      <w:r>
        <w:rPr>
          <w:rFonts w:hint="eastAsia" w:ascii="Calibri" w:hAnsi="Calibri" w:eastAsia="宋体" w:cs="黑体"/>
          <w:b/>
          <w:bCs/>
          <w:sz w:val="24"/>
          <w:highlight w:val="none"/>
          <w:lang w:val="en-US" w:eastAsia="zh-CN"/>
        </w:rPr>
        <w:t>理财非存款、产品有风险、投资须谨慎，理财计划过往业绩不代表其未来表现，不等于理财计划实际收益。</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理财计划销售的相关法律主体为发行理财计划的理财公司、</w:t>
      </w:r>
      <w:r>
        <w:rPr>
          <w:rFonts w:hint="eastAsia" w:eastAsia="宋体" w:cs="黑体"/>
          <w:sz w:val="24"/>
          <w:highlight w:val="none"/>
          <w:lang w:val="en-US" w:eastAsia="zh-CN"/>
        </w:rPr>
        <w:t>理财公司自有销售渠道以及</w:t>
      </w:r>
      <w:r>
        <w:rPr>
          <w:rFonts w:hint="eastAsia" w:ascii="Calibri" w:hAnsi="Calibri" w:eastAsia="宋体" w:cs="黑体"/>
          <w:sz w:val="24"/>
          <w:highlight w:val="none"/>
          <w:lang w:val="en-US" w:eastAsia="zh-CN"/>
        </w:rPr>
        <w:t>接受理财公司委托销售其发行理财计划的代理销售机构（以下简称“销售机构”）和投资者三方。理财公司是理财计划的设计发行方与管理人，</w:t>
      </w:r>
      <w:r>
        <w:rPr>
          <w:rFonts w:hint="eastAsia" w:eastAsia="宋体" w:cs="黑体"/>
          <w:sz w:val="24"/>
          <w:highlight w:val="none"/>
          <w:lang w:val="en-US" w:eastAsia="zh-CN"/>
        </w:rPr>
        <w:t>理财公司和</w:t>
      </w:r>
      <w:r>
        <w:rPr>
          <w:rFonts w:hint="eastAsia" w:ascii="Calibri" w:hAnsi="Calibri" w:eastAsia="宋体" w:cs="黑体"/>
          <w:sz w:val="24"/>
          <w:highlight w:val="none"/>
          <w:lang w:val="en-US" w:eastAsia="zh-CN"/>
        </w:rPr>
        <w:t>销售机构面向投资者实施销售行为，两方共同承担理财计划的合规销售和投资者合法权益保护义务。</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r>
        <w:rPr>
          <w:rFonts w:hint="eastAsia" w:ascii="Calibri" w:hAnsi="Calibri" w:eastAsia="宋体" w:cs="黑体"/>
          <w:sz w:val="24"/>
          <w:highlight w:val="none"/>
          <w:lang w:val="en-US" w:eastAsia="zh-CN"/>
        </w:rPr>
        <w:t>投资者与销售机构经平等友好协商，本着自愿、诚实信用原则，就投资者购买销售机构代理销售的理财计划有关事宜达成如下协议（以下简称“本协议”）：</w:t>
      </w:r>
    </w:p>
    <w:p>
      <w:pPr>
        <w:keepNext w:val="0"/>
        <w:keepLines w:val="0"/>
        <w:pageBreakBefore w:val="0"/>
        <w:widowControl/>
        <w:kinsoku/>
        <w:wordWrap/>
        <w:overflowPunct/>
        <w:topLinePunct w:val="0"/>
        <w:autoSpaceDE/>
        <w:autoSpaceDN/>
        <w:bidi w:val="0"/>
        <w:adjustRightInd/>
        <w:snapToGrid/>
        <w:spacing w:line="360" w:lineRule="auto"/>
        <w:ind w:firstLine="480" w:firstLineChars="200"/>
        <w:textAlignment w:val="auto"/>
        <w:rPr>
          <w:rFonts w:hint="eastAsia" w:ascii="Calibri" w:hAnsi="Calibri"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第一条 </w:t>
      </w:r>
      <w:r>
        <w:rPr>
          <w:rFonts w:hint="eastAsia" w:ascii="Calibri" w:hAnsi="Calibri" w:eastAsia="宋体" w:cs="黑体"/>
          <w:b/>
          <w:bCs/>
          <w:sz w:val="24"/>
          <w:highlight w:val="none"/>
          <w:lang w:val="en-US" w:eastAsia="zh-CN"/>
        </w:rPr>
        <w:t>名词释义</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r>
        <w:rPr>
          <w:rFonts w:hint="eastAsia" w:ascii="Calibri" w:hAnsi="Calibri" w:eastAsia="宋体" w:cs="黑体"/>
          <w:bCs/>
          <w:sz w:val="24"/>
          <w:highlight w:val="none"/>
          <w:lang w:val="en-US" w:eastAsia="zh-CN"/>
        </w:rPr>
        <w:t>详见对应期次的理财计划产品说明书“释义”部分。</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Calibri" w:hAnsi="Calibri" w:eastAsia="宋体" w:cs="黑体"/>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jc w:val="left"/>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第二条 </w:t>
      </w:r>
      <w:r>
        <w:rPr>
          <w:rFonts w:hint="eastAsia" w:ascii="Calibri" w:hAnsi="Calibri" w:eastAsia="宋体" w:cs="黑体"/>
          <w:b/>
          <w:bCs/>
          <w:sz w:val="24"/>
          <w:highlight w:val="none"/>
          <w:lang w:val="en-US" w:eastAsia="zh-CN"/>
        </w:rPr>
        <w:t>投资者权利与义务</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应当保证其理财资金为合法拥有的自有资金，不存在涉嫌洗钱、恶意逃避税收征收管理等违法违规行为。投资者不得使用贷款、发行债券等方式筹集的非自有资金购买理财计划。投资者将其自有资金用作本理财计划投资协议书条款项下理财交易并不违反相关法律、法规、规章、规定、</w:t>
      </w:r>
      <w:r>
        <w:rPr>
          <w:rFonts w:hint="eastAsia" w:ascii="宋体" w:hAnsi="宋体" w:eastAsia="宋体" w:cs="黑体"/>
          <w:color w:val="000000"/>
          <w:kern w:val="2"/>
          <w:sz w:val="24"/>
          <w:highlight w:val="none"/>
        </w:rPr>
        <w:t xml:space="preserve">法院裁定或命令的要求，投资者具有完全民事行为能力，能够自行识别、判断和承担理财计划的相关风险；不存在法律法规、有权机关或主管机关禁止或限制购买理财计划的各种情形。投资者按其投资金额在本理财计划投资协议书中享有相应的权利，承担相应的义务和风险。 </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投资者保证自身完全了解理财投资的性质，投资所涉及的风险以及自身风险承受能力，在慎重考虑后独立作出交易决定。</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b/>
          <w:bCs/>
          <w:sz w:val="24"/>
          <w:highlight w:val="none"/>
        </w:rPr>
        <w:t>投资者购买</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lang w:eastAsia="zh-CN"/>
        </w:rPr>
        <w:t>代理销售</w:t>
      </w:r>
      <w:r>
        <w:rPr>
          <w:rFonts w:hint="eastAsia" w:ascii="宋体" w:hAnsi="宋体" w:eastAsia="宋体" w:cs="黑体"/>
          <w:b/>
          <w:bCs/>
          <w:sz w:val="24"/>
          <w:highlight w:val="none"/>
        </w:rPr>
        <w:t>的私募</w:t>
      </w:r>
      <w:r>
        <w:rPr>
          <w:rFonts w:hint="eastAsia" w:ascii="宋体" w:hAnsi="宋体" w:eastAsia="宋体" w:cs="黑体"/>
          <w:b/>
          <w:bCs/>
          <w:sz w:val="24"/>
          <w:highlight w:val="none"/>
          <w:lang w:eastAsia="zh-CN"/>
        </w:rPr>
        <w:t>理财计划</w:t>
      </w:r>
      <w:r>
        <w:rPr>
          <w:rFonts w:hint="eastAsia" w:ascii="宋体" w:hAnsi="宋体" w:eastAsia="宋体" w:cs="黑体"/>
          <w:b/>
          <w:bCs/>
          <w:sz w:val="24"/>
          <w:highlight w:val="none"/>
        </w:rPr>
        <w:t>后，可以享有24 小时的投资冷静期，在投资冷静期内，如</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改变投资决定，应提出解除相应理财</w:t>
      </w:r>
      <w:r>
        <w:rPr>
          <w:rFonts w:hint="eastAsia" w:ascii="宋体" w:hAnsi="宋体" w:eastAsia="宋体" w:cs="黑体"/>
          <w:b/>
          <w:bCs/>
          <w:sz w:val="24"/>
          <w:highlight w:val="none"/>
          <w:lang w:val="en-US" w:eastAsia="zh-CN"/>
        </w:rPr>
        <w:t>计划合同</w:t>
      </w:r>
      <w:r>
        <w:rPr>
          <w:rFonts w:hint="eastAsia" w:ascii="宋体" w:hAnsi="宋体" w:eastAsia="宋体" w:cs="黑体"/>
          <w:b/>
          <w:bCs/>
          <w:sz w:val="24"/>
          <w:highlight w:val="none"/>
        </w:rPr>
        <w:t>文件申请，</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将及时退还</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的全部投资款项。</w:t>
      </w:r>
      <w:r>
        <w:rPr>
          <w:rFonts w:hint="eastAsia" w:ascii="宋体" w:hAnsi="宋体" w:eastAsia="宋体" w:cs="黑体"/>
          <w:sz w:val="24"/>
          <w:highlight w:val="none"/>
        </w:rPr>
        <w:t>投资冷静期相关约定详见</w:t>
      </w:r>
      <w:r>
        <w:rPr>
          <w:rFonts w:hint="eastAsia" w:ascii="宋体" w:hAnsi="宋体" w:eastAsia="宋体" w:cs="黑体"/>
          <w:sz w:val="24"/>
          <w:highlight w:val="none"/>
          <w:lang w:val="en-US" w:eastAsia="zh-CN"/>
        </w:rPr>
        <w:t>理财计划产品</w:t>
      </w:r>
      <w:r>
        <w:rPr>
          <w:rFonts w:hint="eastAsia" w:ascii="宋体" w:hAnsi="宋体" w:eastAsia="宋体" w:cs="黑体"/>
          <w:sz w:val="24"/>
          <w:highlight w:val="none"/>
        </w:rPr>
        <w:t>说明书</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投资者保证其有权利签署本协议和履行本协议所述的义务，并已为此采取一切所需的行为。</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投资者保证执行及交付任何文件或履行本协议项下的义务，均不会违反任何适用法律、法规、法令或法律限制</w:t>
      </w:r>
      <w:r>
        <w:rPr>
          <w:rFonts w:hint="eastAsia" w:ascii="宋体" w:hAnsi="宋体" w:eastAsia="宋体" w:cs="黑体"/>
          <w:sz w:val="24"/>
          <w:highlight w:val="none"/>
          <w:lang w:eastAsia="zh-CN"/>
        </w:rPr>
        <w:t>；</w:t>
      </w:r>
      <w:r>
        <w:rPr>
          <w:rFonts w:hint="eastAsia" w:ascii="宋体" w:hAnsi="宋体" w:eastAsia="宋体" w:cs="黑体"/>
          <w:sz w:val="24"/>
          <w:highlight w:val="none"/>
        </w:rPr>
        <w:t>不会违反任何法院或政府机关所作出的适用于投资者或投资者任何资产的判决或指令；不会违反对投资者或投资者任何资产有约束力的任何重大协议条款。投资者应在签署本协议的同时在</w:t>
      </w:r>
      <w:r>
        <w:rPr>
          <w:rFonts w:hint="eastAsia" w:ascii="宋体" w:hAnsi="宋体" w:eastAsia="宋体" w:cs="黑体"/>
          <w:sz w:val="24"/>
          <w:highlight w:val="none"/>
          <w:lang w:val="en-US" w:eastAsia="zh-CN"/>
        </w:rPr>
        <w:t>其</w:t>
      </w:r>
      <w:r>
        <w:rPr>
          <w:rFonts w:hint="eastAsia" w:ascii="宋体" w:hAnsi="宋体" w:eastAsia="宋体" w:cs="黑体"/>
          <w:sz w:val="24"/>
          <w:highlight w:val="none"/>
        </w:rPr>
        <w:t>授权指定</w:t>
      </w:r>
      <w:r>
        <w:rPr>
          <w:rFonts w:hint="eastAsia" w:ascii="宋体" w:hAnsi="宋体" w:eastAsia="宋体" w:cs="黑体"/>
          <w:sz w:val="24"/>
          <w:highlight w:val="none"/>
          <w:lang w:val="en-US" w:eastAsia="zh-CN"/>
        </w:rPr>
        <w:t>的</w:t>
      </w:r>
      <w:r>
        <w:rPr>
          <w:rFonts w:hint="eastAsia" w:ascii="宋体" w:hAnsi="宋体" w:eastAsia="宋体" w:cs="黑体"/>
          <w:sz w:val="24"/>
          <w:highlight w:val="none"/>
        </w:rPr>
        <w:t>账户</w:t>
      </w:r>
      <w:r>
        <w:rPr>
          <w:rFonts w:hint="eastAsia" w:ascii="宋体" w:hAnsi="宋体" w:eastAsia="宋体" w:cs="黑体"/>
          <w:sz w:val="24"/>
          <w:highlight w:val="none"/>
          <w:lang w:val="en-US" w:eastAsia="zh-CN"/>
        </w:rPr>
        <w:t>中（以下简称“授权指定账户”）</w:t>
      </w:r>
      <w:r>
        <w:rPr>
          <w:rFonts w:hint="eastAsia" w:ascii="宋体" w:hAnsi="宋体" w:eastAsia="宋体" w:cs="黑体"/>
          <w:sz w:val="24"/>
          <w:highlight w:val="none"/>
        </w:rPr>
        <w:t>存入足额的资金以确保账户余额大于或等于认/申购金额。</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在此确认</w:t>
      </w:r>
      <w:r>
        <w:rPr>
          <w:rFonts w:hint="eastAsia" w:ascii="宋体" w:hAnsi="宋体" w:eastAsia="宋体" w:cs="黑体"/>
          <w:b/>
          <w:bCs/>
          <w:sz w:val="24"/>
          <w:highlight w:val="none"/>
          <w:lang w:val="en-US" w:eastAsia="zh-CN"/>
        </w:rPr>
        <w:t>销售机构</w:t>
      </w:r>
      <w:r>
        <w:rPr>
          <w:rFonts w:hint="eastAsia" w:ascii="宋体" w:hAnsi="宋体" w:eastAsia="宋体" w:cs="黑体"/>
          <w:b/>
          <w:bCs/>
          <w:sz w:val="24"/>
          <w:highlight w:val="none"/>
        </w:rPr>
        <w:t>的系统记录以及录音、录像构成对</w:t>
      </w:r>
      <w:r>
        <w:rPr>
          <w:rFonts w:hint="eastAsia" w:ascii="宋体" w:hAnsi="宋体" w:eastAsia="宋体" w:cs="黑体"/>
          <w:b/>
          <w:bCs/>
          <w:sz w:val="24"/>
          <w:highlight w:val="none"/>
          <w:lang w:val="en-US" w:eastAsia="zh-CN"/>
        </w:rPr>
        <w:t>投资者</w:t>
      </w:r>
      <w:r>
        <w:rPr>
          <w:rFonts w:hint="eastAsia" w:ascii="宋体" w:hAnsi="宋体" w:eastAsia="宋体" w:cs="黑体"/>
          <w:b/>
          <w:bCs/>
          <w:sz w:val="24"/>
          <w:highlight w:val="none"/>
        </w:rPr>
        <w:t>操作行为（包括但不限于购买、赎回、撤单）的有效证据，并且在</w:t>
      </w:r>
      <w:r>
        <w:rPr>
          <w:rFonts w:hint="eastAsia" w:ascii="宋体" w:hAnsi="宋体" w:eastAsia="宋体" w:cs="黑体"/>
          <w:b/>
          <w:bCs/>
          <w:sz w:val="24"/>
          <w:highlight w:val="none"/>
          <w:lang w:val="en-US" w:eastAsia="zh-CN"/>
        </w:rPr>
        <w:t>双</w:t>
      </w:r>
      <w:r>
        <w:rPr>
          <w:rFonts w:hint="eastAsia" w:ascii="宋体" w:hAnsi="宋体" w:eastAsia="宋体" w:cs="黑体"/>
          <w:b/>
          <w:bCs/>
          <w:sz w:val="24"/>
          <w:highlight w:val="none"/>
        </w:rPr>
        <w:t>方发生争议时可以作为合法有效的证据使用</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本协议终止前，投资者应保证其“授权指定账户”处于正常状态，投资者授权指定账户发生资金余额不足、挂失、换卡、长期不动户等特殊情况或被有权机关采取冻结、扣划、强制措施等变更或异常情形导致认/申购不成功，以及在本理财计划存续期内因有权机关依法采取强制措施导致理财份额、理财账户、授权指定账户被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在本理财计划存续期内，如有权机关要求</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配合对投资者理财份额、理财账户、授权指定账户进行查封、冻结或扣划的，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有权根据实际情况采取</w:t>
      </w:r>
      <w:r>
        <w:rPr>
          <w:rFonts w:hint="eastAsia" w:ascii="宋体" w:hAnsi="宋体" w:eastAsia="宋体" w:cs="黑体"/>
          <w:sz w:val="24"/>
          <w:highlight w:val="none"/>
          <w:lang w:val="en-US" w:eastAsia="zh-CN"/>
        </w:rPr>
        <w:t>相应</w:t>
      </w:r>
      <w:r>
        <w:rPr>
          <w:rFonts w:hint="eastAsia" w:ascii="宋体" w:hAnsi="宋体" w:eastAsia="宋体" w:cs="黑体"/>
          <w:sz w:val="24"/>
          <w:highlight w:val="none"/>
        </w:rPr>
        <w:t>措施。</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对上述后果不承担任何责任。 </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本协议终止前，投资者不得将授权指定账户销户。若发生因投资者注销授权指定账户造成理财计划无法正常兑付的，</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不承担任何责任。</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rPr>
        <w:t>投资者应确保其提供的所有资料真实、完整、合法、有效，如果有任何变更，投资者应及时通知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并办理变更手续。如因投资者未及时通知</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并办理相应的变更手续，由此导致的一切后果由投资者自行承担，</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对此不承担任何责任。 </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rPr>
      </w:pPr>
      <w:r>
        <w:rPr>
          <w:rFonts w:hint="eastAsia" w:ascii="宋体" w:hAnsi="宋体" w:eastAsia="宋体" w:cs="黑体"/>
          <w:sz w:val="24"/>
          <w:highlight w:val="none"/>
          <w:lang w:val="en-US" w:eastAsia="zh-CN"/>
        </w:rPr>
        <w:t>投资者</w:t>
      </w:r>
      <w:r>
        <w:rPr>
          <w:rFonts w:hint="eastAsia" w:ascii="宋体" w:hAnsi="宋体" w:eastAsia="宋体" w:cs="黑体"/>
          <w:sz w:val="24"/>
          <w:highlight w:val="none"/>
        </w:rPr>
        <w:t>对本协议及其条款负有保密义务，未经</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书面许可，不得向任何组织、个人提供或泄露与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有关的业务资料及信息，但法律、法规另有规定的除外</w:t>
      </w:r>
      <w:r>
        <w:rPr>
          <w:rFonts w:hint="eastAsia" w:ascii="宋体" w:hAnsi="宋体" w:eastAsia="宋体" w:cs="黑体"/>
          <w:sz w:val="24"/>
          <w:highlight w:val="none"/>
          <w:lang w:eastAsia="zh-CN"/>
        </w:rPr>
        <w:t>。</w:t>
      </w:r>
    </w:p>
    <w:p>
      <w:pPr>
        <w:widowControl/>
        <w:numPr>
          <w:ilvl w:val="0"/>
          <w:numId w:val="1"/>
        </w:numPr>
        <w:spacing w:line="360" w:lineRule="auto"/>
        <w:ind w:left="0" w:leftChars="0" w:firstLine="420" w:firstLineChars="0"/>
        <w:contextualSpacing/>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投资者进行投资时，应严格遵守反洗钱相关法规的规定，切实履行反洗钱及反恐怖融资义务。</w:t>
      </w:r>
    </w:p>
    <w:p>
      <w:pPr>
        <w:widowControl/>
        <w:numPr>
          <w:ilvl w:val="0"/>
          <w:numId w:val="1"/>
        </w:numPr>
        <w:spacing w:line="360" w:lineRule="auto"/>
        <w:ind w:left="0" w:leftChars="0" w:firstLine="420" w:firstLineChars="0"/>
        <w:contextualSpacing/>
        <w:outlineLvl w:val="2"/>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投资者个人信息授权</w:t>
      </w:r>
    </w:p>
    <w:p>
      <w:pPr>
        <w:widowControl/>
        <w:numPr>
          <w:ilvl w:val="0"/>
          <w:numId w:val="0"/>
        </w:numPr>
        <w:spacing w:line="360" w:lineRule="auto"/>
        <w:ind w:left="0" w:leftChars="0" w:firstLine="482" w:firstLineChars="200"/>
        <w:contextualSpacing/>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基于销售机构履行本协议、进行服务管理和风险管理、报送监管信息等需要，履行反洗钱、投资者资质审核和销售适当性等法律法规和监管要求的义务，投资者在此同意并授权销售机构在业务办理或履行过程中收集、存储、使用、加工、传输包括但不限于下述投资者个人信息：个人身份信息、联络方式、财产信息、账户信息、风险偏好与投资目标、其他与业务相关的个人信息以及法律法规规定的其他必要信息。</w:t>
      </w:r>
    </w:p>
    <w:p>
      <w:pPr>
        <w:widowControl/>
        <w:numPr>
          <w:ilvl w:val="0"/>
          <w:numId w:val="1"/>
        </w:numPr>
        <w:spacing w:line="360" w:lineRule="auto"/>
        <w:ind w:left="0" w:leftChars="0" w:firstLine="420" w:firstLineChars="0"/>
        <w:contextualSpacing/>
        <w:outlineLvl w:val="2"/>
        <w:rPr>
          <w:rFonts w:hint="eastAsia" w:ascii="宋体" w:hAnsi="宋体" w:eastAsia="宋体" w:cs="黑体"/>
          <w:b/>
          <w:bCs/>
          <w:sz w:val="24"/>
          <w:highlight w:val="none"/>
          <w:lang w:val="en-US" w:eastAsia="zh-CN"/>
        </w:rPr>
      </w:pPr>
      <w:r>
        <w:rPr>
          <w:rFonts w:hint="eastAsia" w:ascii="宋体" w:hAnsi="宋体" w:eastAsia="宋体" w:cs="黑体"/>
          <w:b/>
          <w:bCs/>
          <w:sz w:val="24"/>
          <w:highlight w:val="none"/>
          <w:lang w:val="en-US" w:eastAsia="zh-CN"/>
        </w:rPr>
        <w:t>投</w:t>
      </w:r>
      <w:r>
        <w:rPr>
          <w:rFonts w:hint="eastAsia" w:ascii="宋体" w:hAnsi="宋体"/>
          <w:b/>
          <w:bCs/>
          <w:sz w:val="24"/>
          <w:highlight w:val="none"/>
        </w:rPr>
        <w:t>资者同意关于杭银理财发行且被评定为中高风险及以上的理财计划，可通过经杭银理财认可的销售渠道（含线上渠道和线下渠道等）进行交易。如通过线上渠道办理，投资者知晓并确认自身对于上述理财计划的特性及风险有充分的了解与判断。如销售机构有相关规定的，则应以销售机构的要求为准。</w:t>
      </w:r>
    </w:p>
    <w:p>
      <w:pPr>
        <w:widowControl/>
        <w:numPr>
          <w:ilvl w:val="0"/>
          <w:numId w:val="0"/>
        </w:numPr>
        <w:spacing w:line="360" w:lineRule="auto"/>
        <w:ind w:left="0" w:leftChars="0" w:firstLine="482" w:firstLineChars="200"/>
        <w:contextualSpacing/>
        <w:rPr>
          <w:rFonts w:hint="default"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第三条 </w:t>
      </w:r>
      <w:r>
        <w:rPr>
          <w:rFonts w:hint="eastAsia" w:ascii="Calibri" w:hAnsi="Calibri" w:eastAsia="宋体" w:cs="黑体"/>
          <w:b/>
          <w:bCs/>
          <w:sz w:val="24"/>
          <w:highlight w:val="none"/>
          <w:lang w:val="en-US" w:eastAsia="zh-CN"/>
        </w:rPr>
        <w:t>销售机构的权利与义务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拟销售的理财计划开展尽职调查，承担审批职责，并纳入本机构统一专门名单管理，不得仅以管理人相关产品资料或其出具意见作为审批依据。销售机构应当根据本机构的方式和方法，独立、审慎地对代理销售的理财计划进行销售评级。销售评级与管理人产品评级结果不一致的，销售机构应当采用对应较高风险等级的评级结果并予以披露。</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b/>
          <w:bCs/>
          <w:sz w:val="24"/>
          <w:highlight w:val="none"/>
          <w:lang w:val="en-US" w:eastAsia="zh-CN"/>
        </w:rPr>
        <w:t>代理销售机构非本计划的发行、管理机构，对本计划的业绩不承担任何保证和其他经济责任，不承担本计划的投资、兑付和风险管理责任</w:t>
      </w:r>
      <w:r>
        <w:rPr>
          <w:rFonts w:hint="eastAsia" w:ascii="宋体" w:hAnsi="宋体" w:eastAsia="宋体" w:cs="黑体"/>
          <w:sz w:val="24"/>
          <w:highlight w:val="none"/>
          <w:lang w:val="en-US" w:eastAsia="zh-CN"/>
        </w:rPr>
        <w:t>。</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销售机构应定期对购买其代理销售的理财计划的非机构投资者进行有效风险承受能力评估，并保证向投资者推介及销售与其风险承受能力匹配的产品。</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对于通过营业网点向非机构投资者销售理财计划的，销售机构应按照监管规定实施理财计划销售专区管理，对销售专区设置明显标识，并在销售专区内对每只理财计划销售过程进行录音录像。除非与非机构投资者当面书面约定，评级为四级以上理财计划的销售，应当在营业网点进行。</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both"/>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销售机构不得擅自使用未经管理人授权或审核同意的理财计划宣传推介材料，在全国银行业理财信息登记系统对理财计划进行登记并获得登记编码前，不得发布理财计划宣传推介材料或办理理财计划销售业务。</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销售机构应建立健全上岗资格、持续培训、信息公示与查询核实等制度并有效执行。未经销售机构进行上岗资格认定并签订劳动合同，任何人员不得从事理财计划销售业务活动。</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销售机构应对所有销售人员信息进行登记和公示。销售人员在向投资者宣传销售理财计划前进行自我介绍并告知信息查询和核实渠道，便于投资者查询核实，防止伪冒身份和虚假宣传。</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销售机构对投资者负有信息保密义务，未经投资者书面许可，销售机构不得向任何组织、个人提供或泄露与投资者有关的业务资料及信息，但法律、法规</w:t>
      </w:r>
      <w:bookmarkStart w:id="0" w:name="OLE_LINK3"/>
      <w:r>
        <w:rPr>
          <w:rFonts w:hint="eastAsia" w:ascii="宋体" w:hAnsi="宋体" w:eastAsia="宋体" w:cs="黑体"/>
          <w:sz w:val="24"/>
          <w:highlight w:val="none"/>
          <w:lang w:val="en-US" w:eastAsia="zh-CN"/>
        </w:rPr>
        <w:t>、监管机构</w:t>
      </w:r>
      <w:bookmarkEnd w:id="0"/>
      <w:r>
        <w:rPr>
          <w:rFonts w:hint="eastAsia" w:ascii="宋体" w:hAnsi="宋体" w:eastAsia="宋体" w:cs="黑体"/>
          <w:sz w:val="24"/>
          <w:highlight w:val="none"/>
          <w:lang w:val="en-US" w:eastAsia="zh-CN"/>
        </w:rPr>
        <w:t>另有规定的除外。</w:t>
      </w:r>
    </w:p>
    <w:p>
      <w:pPr>
        <w:keepNext w:val="0"/>
        <w:keepLines w:val="0"/>
        <w:pageBreakBefore w:val="0"/>
        <w:widowControl/>
        <w:numPr>
          <w:ilvl w:val="0"/>
          <w:numId w:val="2"/>
        </w:numPr>
        <w:kinsoku/>
        <w:wordWrap/>
        <w:overflowPunct/>
        <w:topLinePunct w:val="0"/>
        <w:autoSpaceDE/>
        <w:autoSpaceDN/>
        <w:bidi w:val="0"/>
        <w:adjustRightInd/>
        <w:snapToGrid/>
        <w:spacing w:line="360" w:lineRule="auto"/>
        <w:ind w:left="0" w:leftChars="0" w:firstLine="420" w:firstLineChars="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销售机构应按照法律法规、监管规定、理财计划合同的约定收取销售费用，并如实核算、记账。未经载明，不得对不同投资者适用不同费率。</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理财计划销售结算资金属于理财计划投资者，销售机构不得挪用理财计划销售结算资金或将理财计划销售结算资金归入自有资产。</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销售机构应遵守相关法律、法规、监管规定及理财计划合同约定，诚实守信、勤勉尽责，向购买理财计划的投资者充分传递管理人披露的产品相关信息并进行充分的风险揭示。</w:t>
      </w:r>
    </w:p>
    <w:p>
      <w:pPr>
        <w:keepNext w:val="0"/>
        <w:keepLines w:val="0"/>
        <w:pageBreakBefore w:val="0"/>
        <w:widowControl/>
        <w:numPr>
          <w:ilvl w:val="0"/>
          <w:numId w:val="3"/>
        </w:numPr>
        <w:kinsoku/>
        <w:wordWrap/>
        <w:overflowPunct/>
        <w:topLinePunct w:val="0"/>
        <w:autoSpaceDE/>
        <w:autoSpaceDN/>
        <w:bidi w:val="0"/>
        <w:adjustRightInd/>
        <w:snapToGrid/>
        <w:spacing w:line="360" w:lineRule="auto"/>
        <w:ind w:firstLine="420"/>
        <w:contextualSpacing/>
        <w:jc w:val="left"/>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销售机构应当充分利用科技手段，加强对伪冒网站、伪冒产品等监测，有效防范各类欺诈风险。</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82" w:firstLine="0"/>
        <w:contextualSpacing/>
        <w:jc w:val="left"/>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第四条 </w:t>
      </w:r>
      <w:r>
        <w:rPr>
          <w:rFonts w:hint="eastAsia" w:ascii="Calibri" w:hAnsi="Calibri" w:eastAsia="宋体" w:cs="黑体"/>
          <w:b/>
          <w:bCs/>
          <w:sz w:val="24"/>
          <w:highlight w:val="none"/>
          <w:lang w:val="en-US" w:eastAsia="zh-CN"/>
        </w:rPr>
        <w:t>理财计划认（申）购、赎回及终止</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 xml:space="preserve">理财计划认/申购办理流程：参照投资者权益须知约定。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理财计划认/申购确认：管理人根据</w:t>
      </w:r>
      <w:r>
        <w:rPr>
          <w:rFonts w:hint="eastAsia" w:ascii="宋体" w:hAnsi="宋体" w:eastAsia="宋体" w:cs="黑体"/>
          <w:sz w:val="24"/>
          <w:highlight w:val="none"/>
          <w:lang w:eastAsia="zh-CN"/>
        </w:rPr>
        <w:t>销售</w:t>
      </w:r>
      <w:r>
        <w:rPr>
          <w:rFonts w:hint="eastAsia" w:ascii="宋体" w:hAnsi="宋体" w:eastAsia="宋体" w:cs="黑体"/>
          <w:sz w:val="24"/>
          <w:highlight w:val="none"/>
        </w:rPr>
        <w:t>渠道提供的交易信息及资金划付对投资者相应认/申购进行确认。</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理财计划不成立：若在募集期结束日，本理财计划发行规模未能达到对应期次的理财计划产品说明书规定的要求，则本理财计划不成立，</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 xml:space="preserve">将按对应期次的理财计划产品说明书约定条款向投资者进行公告，并将及时解除对投资者授权指定账户中认购资金的冻结。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 xml:space="preserve">理财计划投资品种、投资起点金额、收益支付方式：参照对应期次的理财计划产品说明书中的条款约定。 </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理财计划赎回/终止兑付：在正常情况下，管理人和</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按照对应期次的理财计划产品说明书相关约定，将兑付款项划入投资者授权指定账户。如出现不可抗力、市场停市或管制等异常事件、交易对手违约或其他非管理人主导、仅能被动接受的外部事件或客观情形，导致理财计划无法按约定日清算时，或根据</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产品说明书约定管理人对理财计划进行延期或转换时，</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将于原约定清算日前通过信息披露途径及时通知，并根据实际情况进行后续处理。</w:t>
      </w:r>
    </w:p>
    <w:p>
      <w:pPr>
        <w:keepNext w:val="0"/>
        <w:keepLines w:val="0"/>
        <w:pageBreakBefore w:val="0"/>
        <w:widowControl/>
        <w:numPr>
          <w:ilvl w:val="0"/>
          <w:numId w:val="4"/>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资金清算：理财计划终止或份额赎回时，管理人按理财计划合同约定划付至</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清算账户后，由</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向投资者划付投资者应得资金。如因投资者清算账户余额不足，或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未及时足额划付资金，或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清算账户内资金被依法冻结或扣划，或</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清算账户处于被挂失、冻结、注销或其他非正常状态等原因而导致交易失败</w:t>
      </w:r>
      <w:r>
        <w:rPr>
          <w:rFonts w:hint="eastAsia" w:ascii="宋体" w:hAnsi="宋体" w:eastAsia="宋体" w:cs="黑体"/>
          <w:sz w:val="24"/>
          <w:highlight w:val="none"/>
          <w:lang w:eastAsia="zh-CN"/>
        </w:rPr>
        <w:t>，</w:t>
      </w:r>
      <w:r>
        <w:rPr>
          <w:rFonts w:hint="eastAsia" w:ascii="宋体" w:hAnsi="宋体" w:eastAsia="宋体" w:cs="黑体"/>
          <w:sz w:val="24"/>
          <w:highlight w:val="none"/>
        </w:rPr>
        <w:t>对于因上述原因导致的交易失败可能带来的任何损失及预期损失，投资者须自行承担或向</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依法主张。</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178" w:leftChars="85" w:firstLine="0" w:firstLineChars="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第五条 </w:t>
      </w:r>
      <w:r>
        <w:rPr>
          <w:rFonts w:hint="eastAsia" w:ascii="Calibri" w:hAnsi="Calibri" w:eastAsia="宋体" w:cs="黑体"/>
          <w:b/>
          <w:bCs/>
          <w:sz w:val="24"/>
          <w:highlight w:val="none"/>
          <w:lang w:val="en-US" w:eastAsia="zh-CN"/>
        </w:rPr>
        <w:t>违约责任及免责条款</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若因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原因导致司法或行政</w:t>
      </w:r>
      <w:r>
        <w:rPr>
          <w:rFonts w:hint="eastAsia" w:ascii="宋体" w:hAnsi="宋体" w:eastAsia="宋体" w:cs="黑体"/>
          <w:sz w:val="24"/>
          <w:highlight w:val="none"/>
          <w:lang w:eastAsia="zh-CN"/>
        </w:rPr>
        <w:t>等有权机关</w:t>
      </w:r>
      <w:r>
        <w:rPr>
          <w:rFonts w:hint="eastAsia" w:ascii="宋体" w:hAnsi="宋体" w:eastAsia="宋体" w:cs="黑体"/>
          <w:sz w:val="24"/>
          <w:highlight w:val="none"/>
        </w:rPr>
        <w:t>采取强制措施对其理财本金、收益进行部分或全部被扣划，均视投资者本人就全部理财本金进行了提前</w:t>
      </w:r>
      <w:r>
        <w:rPr>
          <w:rFonts w:hint="eastAsia" w:ascii="宋体" w:hAnsi="宋体" w:eastAsia="宋体" w:cs="黑体"/>
          <w:sz w:val="24"/>
          <w:highlight w:val="none"/>
          <w:lang w:eastAsia="zh-CN"/>
        </w:rPr>
        <w:t>赎回</w:t>
      </w:r>
      <w:r>
        <w:rPr>
          <w:rFonts w:hint="eastAsia" w:ascii="宋体" w:hAnsi="宋体" w:eastAsia="宋体" w:cs="黑体"/>
          <w:sz w:val="24"/>
          <w:highlight w:val="none"/>
        </w:rPr>
        <w:t>，本</w:t>
      </w:r>
      <w:r>
        <w:rPr>
          <w:rFonts w:hint="eastAsia" w:ascii="宋体" w:hAnsi="宋体" w:eastAsia="宋体" w:cs="黑体"/>
          <w:sz w:val="24"/>
          <w:highlight w:val="none"/>
          <w:lang w:eastAsia="zh-CN"/>
        </w:rPr>
        <w:t>协议</w:t>
      </w:r>
      <w:r>
        <w:rPr>
          <w:rFonts w:hint="eastAsia" w:ascii="宋体" w:hAnsi="宋体" w:eastAsia="宋体" w:cs="黑体"/>
          <w:sz w:val="24"/>
          <w:highlight w:val="none"/>
        </w:rPr>
        <w:t>自动终止。因提前终止而产生的损失及相关费用由投资者承担。本</w:t>
      </w:r>
      <w:r>
        <w:rPr>
          <w:rFonts w:hint="eastAsia" w:ascii="宋体" w:hAnsi="宋体" w:eastAsia="宋体" w:cs="黑体"/>
          <w:sz w:val="24"/>
          <w:highlight w:val="none"/>
          <w:lang w:eastAsia="zh-CN"/>
        </w:rPr>
        <w:t>协议因</w:t>
      </w:r>
      <w:r>
        <w:rPr>
          <w:rFonts w:hint="eastAsia" w:ascii="宋体" w:hAnsi="宋体" w:eastAsia="宋体" w:cs="黑体"/>
          <w:sz w:val="24"/>
          <w:highlight w:val="none"/>
        </w:rPr>
        <w:t>前述情况终止的，理财本金不计付</w:t>
      </w:r>
      <w:r>
        <w:rPr>
          <w:rFonts w:hint="eastAsia" w:ascii="宋体" w:hAnsi="宋体" w:eastAsia="宋体" w:cs="黑体"/>
          <w:sz w:val="24"/>
          <w:highlight w:val="none"/>
          <w:lang w:eastAsia="zh-CN"/>
        </w:rPr>
        <w:t>赎回</w:t>
      </w:r>
      <w:r>
        <w:rPr>
          <w:rFonts w:hint="eastAsia" w:ascii="宋体" w:hAnsi="宋体" w:eastAsia="宋体" w:cs="黑体"/>
          <w:sz w:val="24"/>
          <w:highlight w:val="none"/>
        </w:rPr>
        <w:t>日前的理财收益，也不计付存款利息。</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投资者违反本协议第二条内容，应承担相应违约责任。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对由此导致的理财业务交易延误、中断、终止及</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损失不承担任何责任，并有权单方终止双方理财业务关系。因</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违反双方约定给</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或全体投资者造成损失的，</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应承担相应的赔偿责任。</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若由于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过错导致理财计划资产发生损失，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应按其过错承担赔偿责任，</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赔偿的款项计入理财计划的资产和收益。</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由于地震、火灾、战争等不可抗力或突发重大卫生公共事件等不可预测事件造成的交易中断、延误等风险及损失，</w:t>
      </w:r>
      <w:r>
        <w:rPr>
          <w:rFonts w:hint="eastAsia" w:ascii="宋体" w:hAnsi="宋体" w:eastAsia="宋体" w:cs="黑体"/>
          <w:sz w:val="24"/>
          <w:highlight w:val="none"/>
          <w:lang w:eastAsia="zh-CN"/>
        </w:rPr>
        <w:t>销售机构</w:t>
      </w:r>
      <w:r>
        <w:rPr>
          <w:rFonts w:hint="eastAsia" w:ascii="宋体" w:hAnsi="宋体" w:eastAsia="宋体" w:cs="黑体"/>
          <w:sz w:val="24"/>
          <w:highlight w:val="none"/>
        </w:rPr>
        <w:t>不承担责任；但</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应在上述情况发生</w:t>
      </w:r>
      <w:r>
        <w:rPr>
          <w:rFonts w:hint="eastAsia" w:ascii="宋体" w:hAnsi="宋体" w:eastAsia="宋体" w:cs="黑体"/>
          <w:sz w:val="24"/>
          <w:highlight w:val="none"/>
          <w:lang w:eastAsia="zh-CN"/>
        </w:rPr>
        <w:t>后</w:t>
      </w:r>
      <w:r>
        <w:rPr>
          <w:rFonts w:hint="eastAsia" w:ascii="宋体" w:hAnsi="宋体" w:eastAsia="宋体" w:cs="黑体"/>
          <w:sz w:val="24"/>
          <w:highlight w:val="none"/>
        </w:rPr>
        <w:t>在条件允许时及时通知</w:t>
      </w:r>
      <w:r>
        <w:rPr>
          <w:rFonts w:hint="eastAsia" w:ascii="宋体" w:hAnsi="宋体" w:eastAsia="宋体" w:cs="黑体"/>
          <w:sz w:val="24"/>
          <w:highlight w:val="none"/>
          <w:lang w:eastAsia="zh-CN"/>
        </w:rPr>
        <w:t>投资者</w:t>
      </w:r>
      <w:r>
        <w:rPr>
          <w:rFonts w:hint="eastAsia" w:ascii="宋体" w:hAnsi="宋体" w:eastAsia="宋体" w:cs="黑体"/>
          <w:sz w:val="24"/>
          <w:highlight w:val="none"/>
        </w:rPr>
        <w:t>并采取一切必要且可能的措施阻止损失扩大。</w:t>
      </w:r>
    </w:p>
    <w:p>
      <w:pPr>
        <w:keepNext w:val="0"/>
        <w:keepLines w:val="0"/>
        <w:pageBreakBefore w:val="0"/>
        <w:widowControl/>
        <w:numPr>
          <w:ilvl w:val="0"/>
          <w:numId w:val="5"/>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因国家有关法律、法规、规章、政策的修改或新的法律、法规、规章、政策颁布以及紧急措施的出台导致的风险及损失，</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不承担责任。</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b/>
          <w:bCs/>
          <w:sz w:val="24"/>
          <w:highlight w:val="none"/>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第六条 </w:t>
      </w:r>
      <w:r>
        <w:rPr>
          <w:rFonts w:hint="eastAsia" w:ascii="Calibri" w:hAnsi="Calibri" w:eastAsia="宋体" w:cs="黑体"/>
          <w:b/>
          <w:bCs/>
          <w:sz w:val="24"/>
          <w:highlight w:val="none"/>
          <w:lang w:val="en-US" w:eastAsia="zh-CN"/>
        </w:rPr>
        <w:t>适用法律与争议解决</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contextualSpacing/>
        <w:textAlignment w:val="auto"/>
        <w:rPr>
          <w:rFonts w:hint="eastAsia" w:ascii="宋体" w:hAnsi="宋体" w:eastAsia="宋体" w:cs="黑体"/>
          <w:sz w:val="24"/>
          <w:highlight w:val="none"/>
          <w:lang w:val="en-US" w:eastAsia="zh-CN"/>
        </w:rPr>
      </w:pPr>
      <w:r>
        <w:rPr>
          <w:rFonts w:hint="eastAsia" w:ascii="宋体" w:hAnsi="宋体" w:eastAsia="宋体" w:cs="黑体"/>
          <w:sz w:val="24"/>
          <w:highlight w:val="none"/>
          <w:lang w:val="en-US" w:eastAsia="zh-CN"/>
        </w:rPr>
        <w:t>本协议适用中华人民共和国（仅为明确本合同适用法律规则，不含香港特别行政区、澳门特别行政区及中国台湾地区）的法律和行政法规。本协议项下的及与之有关的一切争议，投资者与销售机构双方应首先协商解决，协商不成的，应提交被告人所在地人民法院诉讼解决。诉讼期间，未涉及争议的条款仍需继续履行。</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482" w:firstLineChars="200"/>
        <w:contextualSpacing/>
        <w:textAlignment w:val="auto"/>
        <w:rPr>
          <w:rFonts w:hint="eastAsia" w:ascii="宋体" w:hAnsi="宋体" w:eastAsia="宋体" w:cs="黑体"/>
          <w:b/>
          <w:bCs/>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sz w:val="24"/>
          <w:highlight w:val="none"/>
          <w:lang w:val="en-US" w:eastAsia="zh-CN"/>
        </w:rPr>
      </w:pPr>
      <w:r>
        <w:rPr>
          <w:rFonts w:hint="eastAsia" w:eastAsia="宋体" w:cs="黑体"/>
          <w:b/>
          <w:bCs/>
          <w:sz w:val="24"/>
          <w:highlight w:val="none"/>
          <w:lang w:val="en-US" w:eastAsia="zh-CN"/>
        </w:rPr>
        <w:t xml:space="preserve">第七条 </w:t>
      </w:r>
      <w:r>
        <w:rPr>
          <w:rFonts w:hint="eastAsia" w:ascii="Calibri" w:hAnsi="Calibri" w:eastAsia="宋体" w:cs="黑体"/>
          <w:b/>
          <w:bCs/>
          <w:sz w:val="24"/>
          <w:highlight w:val="none"/>
          <w:lang w:val="en-US" w:eastAsia="zh-CN"/>
        </w:rPr>
        <w:t>协议生效和终止</w:t>
      </w:r>
    </w:p>
    <w:p>
      <w:pPr>
        <w:keepNext w:val="0"/>
        <w:keepLines w:val="0"/>
        <w:pageBreakBefore w:val="0"/>
        <w:widowControl/>
        <w:numPr>
          <w:ilvl w:val="0"/>
          <w:numId w:val="6"/>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 xml:space="preserve">双方认可本协议可以纸质或电子数据等形式提交、订立或确认。 </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本协议书</w:t>
      </w:r>
      <w:r>
        <w:rPr>
          <w:rFonts w:hint="eastAsia" w:ascii="宋体" w:hAnsi="宋体"/>
          <w:sz w:val="24"/>
          <w:highlight w:val="none"/>
        </w:rPr>
        <w:t>以纸质书面形式订立的，自投资者签</w:t>
      </w:r>
      <w:r>
        <w:rPr>
          <w:rFonts w:hint="eastAsia" w:ascii="宋体" w:hAnsi="宋体"/>
          <w:sz w:val="24"/>
          <w:highlight w:val="none"/>
          <w:lang w:val="en-US" w:eastAsia="zh-CN"/>
        </w:rPr>
        <w:t>署（如投资者为个人，应签字；如投资者为机构，应法定代表人或授权代理人签字或盖章并加盖公章或有效授权印章）</w:t>
      </w:r>
      <w:r>
        <w:rPr>
          <w:rFonts w:hint="eastAsia" w:ascii="宋体" w:hAnsi="宋体"/>
          <w:sz w:val="24"/>
          <w:highlight w:val="none"/>
        </w:rPr>
        <w:t>和</w:t>
      </w:r>
      <w:r>
        <w:rPr>
          <w:rFonts w:hint="eastAsia" w:ascii="宋体" w:hAnsi="宋体"/>
          <w:sz w:val="24"/>
          <w:highlight w:val="none"/>
          <w:lang w:eastAsia="zh-CN"/>
        </w:rPr>
        <w:t>销售机构</w:t>
      </w:r>
      <w:r>
        <w:rPr>
          <w:rFonts w:hint="eastAsia" w:ascii="宋体" w:hAnsi="宋体"/>
          <w:sz w:val="24"/>
          <w:highlight w:val="none"/>
        </w:rPr>
        <w:t>签章之后立即生效。协议一式叁份，投资者、管理人和</w:t>
      </w:r>
      <w:r>
        <w:rPr>
          <w:rFonts w:hint="eastAsia" w:ascii="宋体" w:hAnsi="宋体"/>
          <w:sz w:val="24"/>
          <w:highlight w:val="none"/>
          <w:lang w:eastAsia="zh-CN"/>
        </w:rPr>
        <w:t>销售机构</w:t>
      </w:r>
      <w:r>
        <w:rPr>
          <w:rFonts w:hint="eastAsia" w:ascii="宋体" w:hAnsi="宋体"/>
          <w:sz w:val="24"/>
          <w:highlight w:val="none"/>
        </w:rPr>
        <w:t>各执壹份，具有同等法律效力。</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本协议书以数据电文形式订立的，投资者在销售机构的电子银行</w:t>
      </w:r>
      <w:r>
        <w:rPr>
          <w:rFonts w:hint="eastAsia" w:ascii="宋体" w:hAnsi="宋体" w:eastAsia="宋体" w:cs="黑体"/>
          <w:sz w:val="24"/>
          <w:highlight w:val="none"/>
          <w:lang w:eastAsia="zh-CN"/>
        </w:rPr>
        <w:t>渠道</w:t>
      </w:r>
      <w:r>
        <w:rPr>
          <w:rFonts w:hint="eastAsia" w:ascii="宋体" w:hAnsi="宋体" w:eastAsia="宋体" w:cs="黑体"/>
          <w:sz w:val="24"/>
          <w:highlight w:val="none"/>
        </w:rPr>
        <w:t>（包括但不限于网上银行、手机银行或监管机构认可的其他销售渠道）点击购买理财计划，投资者使用的身份认证要素或其他安全措施完成的一切交易视为投资者本人所为，同时表示投资者已阅读本协议所有条款，并对本协议条款的含义及相应的法律后果已全部知晓并充分理解，同意接受本协议约束。本协议自投资者点击确认且销售机构电子银行提示交易成功之时生效。交易成功仅指认/申购申请提交成功，认/申购是否成功以管理人另行提供的确认为准。</w:t>
      </w:r>
    </w:p>
    <w:p>
      <w:pPr>
        <w:keepNext w:val="0"/>
        <w:keepLines w:val="0"/>
        <w:pageBreakBefore w:val="0"/>
        <w:widowControl/>
        <w:numPr>
          <w:ilvl w:val="0"/>
          <w:numId w:val="7"/>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lang w:val="en-US" w:eastAsia="zh-CN"/>
        </w:rPr>
      </w:pPr>
      <w:r>
        <w:rPr>
          <w:rFonts w:hint="eastAsia" w:ascii="宋体" w:hAnsi="宋体" w:eastAsia="宋体" w:cs="黑体"/>
          <w:sz w:val="24"/>
          <w:highlight w:val="none"/>
        </w:rPr>
        <w:t>投资者和</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双方在本协议及对应期次的理财计划产品说明书项下权利义务履行完毕之日，本协议自动终止。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firstLine="0"/>
        <w:contextualSpacing/>
        <w:textAlignment w:val="auto"/>
        <w:rPr>
          <w:rFonts w:hint="eastAsia" w:ascii="宋体" w:hAnsi="宋体" w:eastAsia="宋体" w:cs="黑体"/>
          <w:sz w:val="24"/>
          <w:highlight w:val="none"/>
          <w:lang w:val="en-US" w:eastAsia="zh-CN"/>
        </w:rPr>
      </w:pP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2" w:firstLineChars="200"/>
        <w:textAlignment w:val="auto"/>
        <w:outlineLvl w:val="1"/>
        <w:rPr>
          <w:rFonts w:hint="eastAsia" w:ascii="Calibri" w:hAnsi="Calibri" w:eastAsia="宋体" w:cs="黑体"/>
          <w:b/>
          <w:bCs w:val="0"/>
          <w:sz w:val="24"/>
          <w:highlight w:val="none"/>
          <w:lang w:val="en-US" w:eastAsia="zh-CN"/>
        </w:rPr>
      </w:pPr>
      <w:r>
        <w:rPr>
          <w:rFonts w:hint="eastAsia" w:eastAsia="宋体" w:cs="黑体"/>
          <w:b/>
          <w:bCs w:val="0"/>
          <w:sz w:val="24"/>
          <w:highlight w:val="none"/>
          <w:lang w:val="en-US" w:eastAsia="zh-CN"/>
        </w:rPr>
        <w:t xml:space="preserve">第八条 </w:t>
      </w:r>
      <w:r>
        <w:rPr>
          <w:rFonts w:hint="eastAsia" w:ascii="Calibri" w:hAnsi="Calibri" w:eastAsia="宋体" w:cs="黑体"/>
          <w:b/>
          <w:bCs w:val="0"/>
          <w:sz w:val="24"/>
          <w:highlight w:val="none"/>
          <w:lang w:val="en-US" w:eastAsia="zh-CN"/>
        </w:rPr>
        <w:t xml:space="preserve">附则 </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如果投资者与</w:t>
      </w:r>
      <w:r>
        <w:rPr>
          <w:rFonts w:hint="eastAsia" w:ascii="宋体" w:hAnsi="宋体" w:eastAsia="宋体" w:cs="黑体"/>
          <w:sz w:val="24"/>
          <w:highlight w:val="none"/>
          <w:lang w:val="en-US" w:eastAsia="zh-CN"/>
        </w:rPr>
        <w:t>销售机构</w:t>
      </w:r>
      <w:r>
        <w:rPr>
          <w:rFonts w:hint="eastAsia" w:ascii="宋体" w:hAnsi="宋体" w:eastAsia="宋体" w:cs="黑体"/>
          <w:sz w:val="24"/>
          <w:highlight w:val="none"/>
        </w:rPr>
        <w:t>之间存在多份理财计划</w:t>
      </w:r>
      <w:r>
        <w:rPr>
          <w:rFonts w:hint="eastAsia" w:ascii="宋体" w:hAnsi="宋体" w:eastAsia="宋体" w:cs="黑体"/>
          <w:sz w:val="24"/>
          <w:highlight w:val="none"/>
          <w:lang w:val="en-US" w:eastAsia="zh-CN"/>
        </w:rPr>
        <w:t>销售</w:t>
      </w:r>
      <w:r>
        <w:rPr>
          <w:rFonts w:hint="eastAsia" w:ascii="宋体" w:hAnsi="宋体" w:eastAsia="宋体" w:cs="黑体"/>
          <w:sz w:val="24"/>
          <w:highlight w:val="none"/>
        </w:rPr>
        <w:t>协议书，则每一协议书分别与其所对应的</w:t>
      </w:r>
      <w:r>
        <w:rPr>
          <w:rFonts w:hint="eastAsia" w:ascii="宋体" w:hAnsi="宋体" w:eastAsia="宋体" w:cs="黑体"/>
          <w:sz w:val="24"/>
          <w:highlight w:val="none"/>
          <w:lang w:val="en-US" w:eastAsia="zh-CN"/>
        </w:rPr>
        <w:t>理财计划</w:t>
      </w:r>
      <w:r>
        <w:rPr>
          <w:rFonts w:hint="eastAsia" w:ascii="宋体" w:hAnsi="宋体" w:eastAsia="宋体" w:cs="黑体"/>
          <w:sz w:val="24"/>
          <w:highlight w:val="none"/>
        </w:rPr>
        <w:t>产品说明书等销售文本单独构成一个理财计划合同，各个合同之间互相独立，每一合同的效力及履行情况均独立于其他合同。</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如果由于任何原因使本合同下的任何条款或内容成为无效或被依法撤销，本合同其他条款或内容的合法性、有效性和可执行性不受影响。</w:t>
      </w:r>
    </w:p>
    <w:p>
      <w:pPr>
        <w:keepNext w:val="0"/>
        <w:keepLines w:val="0"/>
        <w:pageBreakBefore w:val="0"/>
        <w:widowControl/>
        <w:numPr>
          <w:ilvl w:val="0"/>
          <w:numId w:val="8"/>
        </w:numPr>
        <w:kinsoku/>
        <w:wordWrap/>
        <w:overflowPunct/>
        <w:topLinePunct w:val="0"/>
        <w:autoSpaceDE/>
        <w:autoSpaceDN/>
        <w:bidi w:val="0"/>
        <w:adjustRightInd/>
        <w:snapToGrid/>
        <w:spacing w:line="360" w:lineRule="auto"/>
        <w:ind w:left="0" w:leftChars="0" w:firstLine="420" w:firstLineChars="0"/>
        <w:contextualSpacing/>
        <w:textAlignment w:val="auto"/>
        <w:outlineLvl w:val="2"/>
        <w:rPr>
          <w:rFonts w:hint="eastAsia" w:ascii="宋体" w:hAnsi="宋体" w:eastAsia="宋体" w:cs="黑体"/>
          <w:sz w:val="24"/>
          <w:highlight w:val="none"/>
        </w:rPr>
      </w:pPr>
      <w:r>
        <w:rPr>
          <w:rFonts w:hint="eastAsia" w:ascii="宋体" w:hAnsi="宋体" w:eastAsia="宋体" w:cs="黑体"/>
          <w:sz w:val="24"/>
          <w:highlight w:val="none"/>
        </w:rPr>
        <w:t>在理财计划存续期内，如因监管政策或法律法规发生变化，在不损害投资者利益的前提下，</w:t>
      </w:r>
      <w:r>
        <w:rPr>
          <w:rFonts w:hint="eastAsia" w:ascii="宋体" w:hAnsi="宋体" w:eastAsia="宋体" w:cs="黑体"/>
          <w:sz w:val="24"/>
          <w:highlight w:val="none"/>
          <w:lang w:val="en-US" w:eastAsia="zh-CN"/>
        </w:rPr>
        <w:t>管理人</w:t>
      </w:r>
      <w:r>
        <w:rPr>
          <w:rFonts w:hint="eastAsia" w:ascii="宋体" w:hAnsi="宋体" w:eastAsia="宋体" w:cs="黑体"/>
          <w:sz w:val="24"/>
          <w:highlight w:val="none"/>
        </w:rPr>
        <w:t>有权单方对理财计划</w:t>
      </w:r>
      <w:r>
        <w:rPr>
          <w:rFonts w:hint="default" w:ascii="宋体" w:hAnsi="宋体" w:eastAsia="宋体" w:cs="黑体"/>
          <w:sz w:val="24"/>
          <w:highlight w:val="none"/>
          <w:lang w:val="en-US"/>
        </w:rPr>
        <w:t>合同</w:t>
      </w:r>
      <w:r>
        <w:rPr>
          <w:rFonts w:hint="eastAsia" w:ascii="宋体" w:hAnsi="宋体" w:eastAsia="宋体" w:cs="黑体"/>
          <w:sz w:val="24"/>
          <w:highlight w:val="none"/>
          <w:lang w:val="en-US" w:eastAsia="zh-CN"/>
        </w:rPr>
        <w:t>销售文件</w:t>
      </w:r>
      <w:r>
        <w:rPr>
          <w:rFonts w:hint="eastAsia" w:ascii="宋体" w:hAnsi="宋体" w:eastAsia="宋体" w:cs="黑体"/>
          <w:sz w:val="24"/>
          <w:highlight w:val="none"/>
        </w:rPr>
        <w:t>进行修订。</w:t>
      </w:r>
    </w:p>
    <w:p>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0"/>
        <w:contextualSpacing/>
        <w:textAlignment w:val="auto"/>
        <w:rPr>
          <w:rFonts w:hint="eastAsia" w:ascii="宋体" w:hAnsi="宋体" w:eastAsia="宋体" w:cs="黑体"/>
          <w:sz w:val="24"/>
          <w:highlight w:val="none"/>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widowControl/>
        <w:spacing w:line="360" w:lineRule="auto"/>
        <w:jc w:val="right"/>
        <w:rPr>
          <w:rFonts w:hint="default"/>
          <w:highlight w:val="none"/>
          <w:lang w:val="en-US" w:eastAsia="zh-CN"/>
        </w:rPr>
      </w:pPr>
      <w:r>
        <w:rPr>
          <w:rFonts w:hint="eastAsia" w:ascii="宋体" w:hAnsi="宋体" w:eastAsia="宋体" w:cs="宋体"/>
          <w:kern w:val="0"/>
          <w:sz w:val="24"/>
          <w:szCs w:val="24"/>
          <w:highlight w:val="none"/>
          <w:lang w:val="en-US" w:eastAsia="zh-CN" w:bidi="ar-SA"/>
        </w:rPr>
        <w:t>杭银理财有限责任公司</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val="0"/>
          <w:bCs w:val="0"/>
          <w:sz w:val="24"/>
          <w:szCs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ascii="宋体" w:hAnsi="宋体" w:eastAsia="宋体" w:cs="黑体"/>
          <w:b w:val="0"/>
          <w:bCs w:val="0"/>
          <w:sz w:val="24"/>
          <w:szCs w:val="24"/>
          <w:highlight w:val="none"/>
          <w:lang w:val="en-US" w:eastAsia="zh-CN"/>
        </w:rPr>
      </w:pPr>
      <w:bookmarkStart w:id="1" w:name="_GoBack"/>
      <w:bookmarkEnd w:id="1"/>
      <w:r>
        <w:rPr>
          <w:rFonts w:hint="eastAsia" w:ascii="宋体" w:hAnsi="宋体" w:eastAsia="宋体" w:cs="黑体"/>
          <w:b w:val="0"/>
          <w:bCs w:val="0"/>
          <w:sz w:val="24"/>
          <w:szCs w:val="24"/>
          <w:highlight w:val="none"/>
          <w:lang w:val="en-US" w:eastAsia="zh-CN"/>
        </w:rPr>
        <w:t>本页为</w:t>
      </w:r>
      <w:r>
        <w:rPr>
          <w:rFonts w:hint="eastAsia" w:ascii="宋体" w:hAnsi="宋体" w:eastAsia="宋体" w:cs="黑体"/>
          <w:b w:val="0"/>
          <w:bCs w:val="0"/>
          <w:sz w:val="24"/>
          <w:szCs w:val="24"/>
          <w:highlight w:val="none"/>
        </w:rPr>
        <w:t>纸质</w:t>
      </w:r>
      <w:r>
        <w:rPr>
          <w:rFonts w:hint="eastAsia" w:ascii="宋体" w:hAnsi="宋体" w:eastAsia="宋体" w:cs="黑体"/>
          <w:b w:val="0"/>
          <w:bCs w:val="0"/>
          <w:sz w:val="24"/>
          <w:szCs w:val="24"/>
          <w:highlight w:val="none"/>
          <w:lang w:val="en-US" w:eastAsia="zh-CN"/>
        </w:rPr>
        <w:t>形式（如有）销售协议书签章页</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default"/>
          <w:sz w:val="24"/>
          <w:highlight w:val="none"/>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r>
        <w:rPr>
          <w:rFonts w:hint="eastAsia" w:ascii="宋体" w:hAnsi="宋体" w:eastAsia="宋体" w:cs="黑体"/>
          <w:b/>
          <w:bCs/>
          <w:sz w:val="24"/>
          <w:highlight w:val="none"/>
        </w:rPr>
        <w:t>投资者</w:t>
      </w:r>
      <w:r>
        <w:rPr>
          <w:rFonts w:hint="eastAsia" w:ascii="宋体" w:hAnsi="宋体" w:eastAsia="宋体" w:cs="黑体"/>
          <w:b/>
          <w:bCs/>
          <w:sz w:val="24"/>
          <w:highlight w:val="none"/>
          <w:lang w:eastAsia="zh-CN"/>
        </w:rPr>
        <w:t>（</w:t>
      </w:r>
      <w:r>
        <w:rPr>
          <w:rFonts w:hint="eastAsia" w:ascii="宋体" w:hAnsi="宋体" w:eastAsia="宋体" w:cs="黑体"/>
          <w:b/>
          <w:bCs/>
          <w:sz w:val="24"/>
          <w:highlight w:val="none"/>
        </w:rPr>
        <w:t>签字</w:t>
      </w:r>
      <w:r>
        <w:rPr>
          <w:rFonts w:hint="eastAsia" w:ascii="宋体" w:hAnsi="宋体" w:eastAsia="宋体" w:cs="黑体"/>
          <w:b/>
          <w:bCs/>
          <w:sz w:val="24"/>
          <w:highlight w:val="none"/>
          <w:lang w:eastAsia="zh-CN"/>
        </w:rPr>
        <w:t>或签章）</w:t>
      </w:r>
      <w:r>
        <w:rPr>
          <w:rFonts w:hint="eastAsia" w:ascii="宋体" w:hAnsi="宋体" w:eastAsia="宋体" w:cs="黑体"/>
          <w:b/>
          <w:bCs/>
          <w:sz w:val="24"/>
          <w:szCs w:val="24"/>
          <w:highlight w:val="none"/>
          <w:lang w:eastAsia="zh-CN"/>
        </w:rPr>
        <w:t>：</w:t>
      </w: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r>
        <w:rPr>
          <w:rFonts w:hint="eastAsia" w:ascii="宋体" w:hAnsi="宋体" w:eastAsia="宋体" w:cs="黑体"/>
          <w:b/>
          <w:bCs/>
          <w:sz w:val="24"/>
          <w:highlight w:val="none"/>
        </w:rPr>
        <w:t>销售机构签章</w:t>
      </w:r>
      <w:r>
        <w:rPr>
          <w:rFonts w:hint="eastAsia" w:ascii="宋体" w:hAnsi="宋体" w:eastAsia="宋体" w:cs="黑体"/>
          <w:b/>
          <w:bCs/>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textAlignment w:val="auto"/>
        <w:rPr>
          <w:rFonts w:hint="eastAsia" w:ascii="宋体" w:hAnsi="宋体" w:eastAsia="宋体" w:cs="黑体"/>
          <w:b/>
          <w:bCs/>
          <w:sz w:val="24"/>
          <w:szCs w:val="24"/>
          <w:highlight w:val="none"/>
          <w:lang w:eastAsia="zh-CN"/>
        </w:rPr>
      </w:pPr>
    </w:p>
    <w:p>
      <w:pPr>
        <w:spacing w:before="156" w:beforeLines="50" w:after="156" w:afterLines="50" w:line="360" w:lineRule="auto"/>
        <w:ind w:firstLine="4800" w:firstLineChars="2000"/>
        <w:jc w:val="right"/>
        <w:rPr>
          <w:rFonts w:hint="eastAsia" w:ascii="Arial" w:hAnsi="Arial"/>
          <w:sz w:val="24"/>
          <w:highlight w:val="none"/>
        </w:rPr>
      </w:pPr>
      <w:r>
        <w:rPr>
          <w:rFonts w:hint="eastAsia" w:ascii="Arial" w:hAnsi="Arial"/>
          <w:sz w:val="24"/>
          <w:highlight w:val="none"/>
        </w:rPr>
        <w:t xml:space="preserve">   年   月   日</w:t>
      </w:r>
    </w:p>
    <w:p>
      <w:pPr>
        <w:spacing w:line="360" w:lineRule="auto"/>
        <w:rPr>
          <w:rFonts w:ascii="宋体" w:hAnsi="宋体" w:cs="宋体"/>
          <w:bCs/>
          <w:color w:val="000000"/>
          <w:sz w:val="24"/>
          <w:highlight w:val="none"/>
        </w:rPr>
      </w:pPr>
    </w:p>
    <w:p>
      <w:pPr>
        <w:spacing w:before="156" w:beforeLines="50" w:after="156" w:afterLines="50" w:line="360" w:lineRule="auto"/>
        <w:ind w:firstLine="4800" w:firstLineChars="2000"/>
        <w:jc w:val="right"/>
        <w:rPr>
          <w:rFonts w:hint="eastAsia" w:ascii="Arial" w:hAnsi="Arial"/>
          <w:sz w:val="24"/>
          <w:highlight w:val="none"/>
        </w:rPr>
      </w:pPr>
    </w:p>
    <w:p>
      <w:pPr>
        <w:spacing w:line="360" w:lineRule="auto"/>
        <w:rPr>
          <w:rFonts w:ascii="宋体" w:hAnsi="宋体" w:cs="宋体"/>
          <w:bCs/>
          <w:color w:val="000000"/>
          <w:sz w:val="24"/>
          <w:highlight w:val="none"/>
        </w:rPr>
      </w:pPr>
    </w:p>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wps:txbx>
                    <wps:bodyPr wrap="none" lIns="0" tIns="0" rIns="0" bIns="0" upright="1">
                      <a:spAutoFit/>
                    </wps:bodyPr>
                  </wps:wsp>
                </a:graphicData>
              </a:graphic>
            </wp:anchor>
          </w:drawing>
        </mc:Choice>
        <mc:Fallback>
          <w:pict>
            <v:shape id="文本框 1"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c17eW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rPr>
                        <w:sz w:val="18"/>
                      </w:rPr>
                      <w:t>34</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4" w:space="1"/>
      </w:pBdr>
    </w:pPr>
    <w:r>
      <w:rPr>
        <w:rFonts w:hint="eastAsia"/>
        <w:b/>
        <w:bCs/>
      </w:rPr>
      <w:t>理财非存款 产品有风险 投资</w:t>
    </w:r>
    <w:r>
      <w:rPr>
        <w:rFonts w:hint="eastAsia"/>
        <w:b/>
        <w:bCs/>
        <w:lang w:val="en-US" w:eastAsia="zh-CN"/>
      </w:rPr>
      <w:t>须</w:t>
    </w:r>
    <w:r>
      <w:rPr>
        <w:rFonts w:hint="eastAsia"/>
        <w:b/>
        <w:bCs/>
      </w:rPr>
      <w:t>谨慎</w:t>
    </w:r>
    <w:r>
      <w:rPr>
        <w:b/>
        <w:bCs/>
      </w:rPr>
      <w:drawing>
        <wp:anchor distT="0" distB="0" distL="114300" distR="114300" simplePos="0" relativeHeight="251658240" behindDoc="1" locked="0" layoutInCell="1" allowOverlap="1">
          <wp:simplePos x="0" y="0"/>
          <wp:positionH relativeFrom="column">
            <wp:posOffset>5120640</wp:posOffset>
          </wp:positionH>
          <wp:positionV relativeFrom="paragraph">
            <wp:posOffset>-553085</wp:posOffset>
          </wp:positionV>
          <wp:extent cx="1296670" cy="916940"/>
          <wp:effectExtent l="0" t="0" r="0" b="0"/>
          <wp:wrapThrough wrapText="bothSides">
            <wp:wrapPolygon>
              <wp:start x="21591" y="-2"/>
              <wp:lineTo x="0" y="0"/>
              <wp:lineTo x="0" y="21600"/>
              <wp:lineTo x="21591" y="21602"/>
              <wp:lineTo x="8" y="21602"/>
              <wp:lineTo x="21599" y="21600"/>
              <wp:lineTo x="21599" y="0"/>
              <wp:lineTo x="8" y="-2"/>
              <wp:lineTo x="21591" y="-2"/>
            </wp:wrapPolygon>
          </wp:wrapThrough>
          <wp:docPr id="1" name="图片 2" descr="图片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descr="图片1"/>
                  <pic:cNvPicPr>
                    <a:picLocks noChangeAspect="1"/>
                  </pic:cNvPicPr>
                </pic:nvPicPr>
                <pic:blipFill>
                  <a:blip r:embed="rId1"/>
                  <a:stretch>
                    <a:fillRect/>
                  </a:stretch>
                </pic:blipFill>
                <pic:spPr>
                  <a:xfrm>
                    <a:off x="0" y="0"/>
                    <a:ext cx="1296670" cy="916940"/>
                  </a:xfrm>
                  <a:prstGeom prst="rect">
                    <a:avLst/>
                  </a:prstGeom>
                  <a:noFill/>
                  <a:ln>
                    <a:noFill/>
                  </a:ln>
                </pic:spPr>
              </pic:pic>
            </a:graphicData>
          </a:graphic>
        </wp:anchor>
      </w:drawing>
    </w:r>
    <w:r>
      <w:rPr>
        <w:rFonts w:hint="eastAsia"/>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F5FAE6B"/>
    <w:multiLevelType w:val="singleLevel"/>
    <w:tmpl w:val="AF5FAE6B"/>
    <w:lvl w:ilvl="0" w:tentative="0">
      <w:start w:val="1"/>
      <w:numFmt w:val="chineseCounting"/>
      <w:suff w:val="nothing"/>
      <w:lvlText w:val="（%1）"/>
      <w:lvlJc w:val="left"/>
      <w:pPr>
        <w:ind w:left="0" w:firstLine="420"/>
      </w:pPr>
      <w:rPr>
        <w:rFonts w:hint="eastAsia"/>
      </w:rPr>
    </w:lvl>
  </w:abstractNum>
  <w:abstractNum w:abstractNumId="1">
    <w:nsid w:val="60C03881"/>
    <w:multiLevelType w:val="singleLevel"/>
    <w:tmpl w:val="60C03881"/>
    <w:lvl w:ilvl="0" w:tentative="0">
      <w:start w:val="1"/>
      <w:numFmt w:val="chineseCounting"/>
      <w:suff w:val="nothing"/>
      <w:lvlText w:val="（%1）"/>
      <w:lvlJc w:val="left"/>
      <w:pPr>
        <w:ind w:left="0" w:firstLine="420"/>
      </w:pPr>
      <w:rPr>
        <w:rFonts w:hint="eastAsia"/>
      </w:rPr>
    </w:lvl>
  </w:abstractNum>
  <w:abstractNum w:abstractNumId="2">
    <w:nsid w:val="61CBC088"/>
    <w:multiLevelType w:val="singleLevel"/>
    <w:tmpl w:val="61CBC088"/>
    <w:lvl w:ilvl="0" w:tentative="0">
      <w:start w:val="1"/>
      <w:numFmt w:val="chineseCounting"/>
      <w:suff w:val="nothing"/>
      <w:lvlText w:val="（%1）"/>
      <w:lvlJc w:val="left"/>
      <w:pPr>
        <w:ind w:left="0" w:firstLine="420"/>
      </w:pPr>
      <w:rPr>
        <w:rFonts w:hint="eastAsia"/>
      </w:rPr>
    </w:lvl>
  </w:abstractNum>
  <w:abstractNum w:abstractNumId="3">
    <w:nsid w:val="61CBC11F"/>
    <w:multiLevelType w:val="singleLevel"/>
    <w:tmpl w:val="61CBC11F"/>
    <w:lvl w:ilvl="0" w:tentative="0">
      <w:start w:val="1"/>
      <w:numFmt w:val="chineseCounting"/>
      <w:suff w:val="nothing"/>
      <w:lvlText w:val="（%1）"/>
      <w:lvlJc w:val="left"/>
      <w:pPr>
        <w:ind w:left="0" w:firstLine="420"/>
      </w:pPr>
      <w:rPr>
        <w:rFonts w:hint="eastAsia"/>
      </w:rPr>
    </w:lvl>
  </w:abstractNum>
  <w:abstractNum w:abstractNumId="4">
    <w:nsid w:val="61CBC1A0"/>
    <w:multiLevelType w:val="singleLevel"/>
    <w:tmpl w:val="61CBC1A0"/>
    <w:lvl w:ilvl="0" w:tentative="0">
      <w:start w:val="1"/>
      <w:numFmt w:val="chineseCounting"/>
      <w:suff w:val="nothing"/>
      <w:lvlText w:val="（%1）"/>
      <w:lvlJc w:val="left"/>
      <w:pPr>
        <w:ind w:left="0" w:firstLine="420"/>
      </w:pPr>
      <w:rPr>
        <w:rFonts w:hint="eastAsia"/>
      </w:rPr>
    </w:lvl>
  </w:abstractNum>
  <w:abstractNum w:abstractNumId="5">
    <w:nsid w:val="61CBC209"/>
    <w:multiLevelType w:val="singleLevel"/>
    <w:tmpl w:val="61CBC209"/>
    <w:lvl w:ilvl="0" w:tentative="0">
      <w:start w:val="1"/>
      <w:numFmt w:val="chineseCounting"/>
      <w:suff w:val="nothing"/>
      <w:lvlText w:val="（%1）"/>
      <w:lvlJc w:val="left"/>
      <w:pPr>
        <w:ind w:left="0" w:firstLine="420"/>
      </w:pPr>
      <w:rPr>
        <w:rFonts w:hint="eastAsia"/>
      </w:rPr>
    </w:lvl>
  </w:abstractNum>
  <w:abstractNum w:abstractNumId="6">
    <w:nsid w:val="61CBC248"/>
    <w:multiLevelType w:val="singleLevel"/>
    <w:tmpl w:val="61CBC248"/>
    <w:lvl w:ilvl="0" w:tentative="0">
      <w:start w:val="2"/>
      <w:numFmt w:val="chineseCounting"/>
      <w:suff w:val="nothing"/>
      <w:lvlText w:val="（%1）"/>
      <w:lvlJc w:val="left"/>
      <w:pPr>
        <w:ind w:left="0" w:firstLine="420"/>
      </w:pPr>
      <w:rPr>
        <w:rFonts w:hint="eastAsia"/>
      </w:rPr>
    </w:lvl>
  </w:abstractNum>
  <w:abstractNum w:abstractNumId="7">
    <w:nsid w:val="61CBC28E"/>
    <w:multiLevelType w:val="singleLevel"/>
    <w:tmpl w:val="61CBC28E"/>
    <w:lvl w:ilvl="0" w:tentative="0">
      <w:start w:val="1"/>
      <w:numFmt w:val="chineseCounting"/>
      <w:suff w:val="nothing"/>
      <w:lvlText w:val="（%1）"/>
      <w:lvlJc w:val="left"/>
      <w:pPr>
        <w:ind w:left="0" w:firstLine="420"/>
      </w:pPr>
      <w:rPr>
        <w:rFonts w:hint="eastAsia"/>
      </w:rPr>
    </w:lvl>
  </w:abstractNum>
  <w:num w:numId="1">
    <w:abstractNumId w:val="2"/>
  </w:num>
  <w:num w:numId="2">
    <w:abstractNumId w:val="3"/>
  </w:num>
  <w:num w:numId="3">
    <w:abstractNumId w:val="1"/>
  </w:num>
  <w:num w:numId="4">
    <w:abstractNumId w:val="0"/>
  </w:num>
  <w:num w:numId="5">
    <w:abstractNumId w:val="4"/>
  </w:num>
  <w:num w:numId="6">
    <w:abstractNumId w:val="5"/>
  </w:num>
  <w:num w:numId="7">
    <w:abstractNumId w:val="6"/>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0"/>
  <w:drawingGridVerticalSpacing w:val="156"/>
  <w:displayHorizontalDrawingGridEvery w:val="1"/>
  <w:displayVerticalDrawingGridEvery w:val="1"/>
  <w:noPunctuationKerning w:val="1"/>
  <w:characterSpacingControl w:val="compressPunctuation"/>
  <w:noLineBreaksAfter w:lang="zh-CN" w:val="([{·‘“〈《「『【〔〖（．［｛￡￥"/>
  <w:noLineBreaksBefore w:lang="zh-CN" w:val="!),.:;?]}¨·ˇˉ―‖’”…∶、。〃々〉》」』】〕〗！＂＇），．：；？］｀｜｝～￠"/>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NjOWZhYjNhMDcwZTUwMzk1N2Q1ZTljMmJlZmYyNzcifQ=="/>
  </w:docVars>
  <w:rsids>
    <w:rsidRoot w:val="00172A27"/>
    <w:rsid w:val="000107D6"/>
    <w:rsid w:val="000A19CC"/>
    <w:rsid w:val="000B1563"/>
    <w:rsid w:val="000C5797"/>
    <w:rsid w:val="00123AE9"/>
    <w:rsid w:val="00140EE3"/>
    <w:rsid w:val="00175D3F"/>
    <w:rsid w:val="00187BC5"/>
    <w:rsid w:val="00194470"/>
    <w:rsid w:val="001B4676"/>
    <w:rsid w:val="001C01B2"/>
    <w:rsid w:val="001D2C7B"/>
    <w:rsid w:val="002141BE"/>
    <w:rsid w:val="00232E3B"/>
    <w:rsid w:val="0023532C"/>
    <w:rsid w:val="00263368"/>
    <w:rsid w:val="00274E11"/>
    <w:rsid w:val="00304AEE"/>
    <w:rsid w:val="00327FC6"/>
    <w:rsid w:val="00343F73"/>
    <w:rsid w:val="00386FEC"/>
    <w:rsid w:val="003A1A36"/>
    <w:rsid w:val="003A3C2F"/>
    <w:rsid w:val="003D1B3C"/>
    <w:rsid w:val="003E5127"/>
    <w:rsid w:val="003E5FE8"/>
    <w:rsid w:val="004556BB"/>
    <w:rsid w:val="00475C26"/>
    <w:rsid w:val="004A724E"/>
    <w:rsid w:val="005571F8"/>
    <w:rsid w:val="00557E0E"/>
    <w:rsid w:val="00652A77"/>
    <w:rsid w:val="006B63C1"/>
    <w:rsid w:val="00720124"/>
    <w:rsid w:val="007542C9"/>
    <w:rsid w:val="00765C48"/>
    <w:rsid w:val="00773199"/>
    <w:rsid w:val="00793C62"/>
    <w:rsid w:val="007C65CD"/>
    <w:rsid w:val="008207F1"/>
    <w:rsid w:val="00852C69"/>
    <w:rsid w:val="00873DE6"/>
    <w:rsid w:val="00882FCB"/>
    <w:rsid w:val="008C74C9"/>
    <w:rsid w:val="008D78BD"/>
    <w:rsid w:val="008E13C5"/>
    <w:rsid w:val="00901BED"/>
    <w:rsid w:val="00902D93"/>
    <w:rsid w:val="00914DAB"/>
    <w:rsid w:val="00993044"/>
    <w:rsid w:val="009B2DC4"/>
    <w:rsid w:val="009B40C6"/>
    <w:rsid w:val="009B64A7"/>
    <w:rsid w:val="009C3F7C"/>
    <w:rsid w:val="009C43A4"/>
    <w:rsid w:val="00A20F48"/>
    <w:rsid w:val="00A338FE"/>
    <w:rsid w:val="00A77F3E"/>
    <w:rsid w:val="00B765F3"/>
    <w:rsid w:val="00C012A2"/>
    <w:rsid w:val="00C07905"/>
    <w:rsid w:val="00C2564F"/>
    <w:rsid w:val="00C944CB"/>
    <w:rsid w:val="00D06904"/>
    <w:rsid w:val="00D07D02"/>
    <w:rsid w:val="00D14693"/>
    <w:rsid w:val="00D16C82"/>
    <w:rsid w:val="00D34068"/>
    <w:rsid w:val="00D41665"/>
    <w:rsid w:val="00D44268"/>
    <w:rsid w:val="00D47AB0"/>
    <w:rsid w:val="00D61838"/>
    <w:rsid w:val="00D767CF"/>
    <w:rsid w:val="00DA1B4C"/>
    <w:rsid w:val="00DC5F5C"/>
    <w:rsid w:val="00DF33CE"/>
    <w:rsid w:val="00E13193"/>
    <w:rsid w:val="00E35C54"/>
    <w:rsid w:val="00E406C4"/>
    <w:rsid w:val="00E7096F"/>
    <w:rsid w:val="00EB473B"/>
    <w:rsid w:val="00EE319D"/>
    <w:rsid w:val="00F0077E"/>
    <w:rsid w:val="00F50192"/>
    <w:rsid w:val="00F5498F"/>
    <w:rsid w:val="00F5749D"/>
    <w:rsid w:val="00F8181B"/>
    <w:rsid w:val="00FA0296"/>
    <w:rsid w:val="00FA6CE7"/>
    <w:rsid w:val="00FE2923"/>
    <w:rsid w:val="02562BF7"/>
    <w:rsid w:val="02FF6A3A"/>
    <w:rsid w:val="03BA3F56"/>
    <w:rsid w:val="0460442C"/>
    <w:rsid w:val="04CC55AF"/>
    <w:rsid w:val="0500018B"/>
    <w:rsid w:val="05B13762"/>
    <w:rsid w:val="07376664"/>
    <w:rsid w:val="09130B13"/>
    <w:rsid w:val="0B1A5A6E"/>
    <w:rsid w:val="0B2D0BA7"/>
    <w:rsid w:val="0B9F06D4"/>
    <w:rsid w:val="0BFD0501"/>
    <w:rsid w:val="0C583EF5"/>
    <w:rsid w:val="0D6706EF"/>
    <w:rsid w:val="0DBE77E4"/>
    <w:rsid w:val="0E2830EC"/>
    <w:rsid w:val="101F6BD5"/>
    <w:rsid w:val="10504FB0"/>
    <w:rsid w:val="110C5156"/>
    <w:rsid w:val="110E3B80"/>
    <w:rsid w:val="117A174C"/>
    <w:rsid w:val="118D4B5D"/>
    <w:rsid w:val="11BF48B2"/>
    <w:rsid w:val="120050A9"/>
    <w:rsid w:val="133A19E0"/>
    <w:rsid w:val="13FC36E3"/>
    <w:rsid w:val="143F5A8C"/>
    <w:rsid w:val="1442705A"/>
    <w:rsid w:val="14AD62A1"/>
    <w:rsid w:val="155F3FC2"/>
    <w:rsid w:val="15841F16"/>
    <w:rsid w:val="15C972B9"/>
    <w:rsid w:val="15FFB4E2"/>
    <w:rsid w:val="162A128A"/>
    <w:rsid w:val="16563388"/>
    <w:rsid w:val="17432384"/>
    <w:rsid w:val="17611875"/>
    <w:rsid w:val="1783542D"/>
    <w:rsid w:val="179972B0"/>
    <w:rsid w:val="17C82AD1"/>
    <w:rsid w:val="18FC27C6"/>
    <w:rsid w:val="1B4B1291"/>
    <w:rsid w:val="1B757EAF"/>
    <w:rsid w:val="1CAD01AC"/>
    <w:rsid w:val="1D4F0AE0"/>
    <w:rsid w:val="1D866C77"/>
    <w:rsid w:val="1D9446FE"/>
    <w:rsid w:val="1DFF113E"/>
    <w:rsid w:val="1E831DF3"/>
    <w:rsid w:val="1E856DEB"/>
    <w:rsid w:val="1F3C1565"/>
    <w:rsid w:val="20BD2325"/>
    <w:rsid w:val="24A67BC4"/>
    <w:rsid w:val="24AF3080"/>
    <w:rsid w:val="24EA2CFA"/>
    <w:rsid w:val="25801A05"/>
    <w:rsid w:val="276D1E72"/>
    <w:rsid w:val="27CE3874"/>
    <w:rsid w:val="27EB3D24"/>
    <w:rsid w:val="28B13D99"/>
    <w:rsid w:val="2A4135AD"/>
    <w:rsid w:val="2AD52CEA"/>
    <w:rsid w:val="2B683C5D"/>
    <w:rsid w:val="2B8255D3"/>
    <w:rsid w:val="2CED7384"/>
    <w:rsid w:val="2D131CD0"/>
    <w:rsid w:val="2DD45D89"/>
    <w:rsid w:val="2FAF3215"/>
    <w:rsid w:val="307B1E47"/>
    <w:rsid w:val="32FF4CC1"/>
    <w:rsid w:val="348C31DF"/>
    <w:rsid w:val="348E01C6"/>
    <w:rsid w:val="354C4323"/>
    <w:rsid w:val="35CD15B7"/>
    <w:rsid w:val="35D86BDE"/>
    <w:rsid w:val="35FD5667"/>
    <w:rsid w:val="36310E4A"/>
    <w:rsid w:val="36591675"/>
    <w:rsid w:val="372216A6"/>
    <w:rsid w:val="38663D34"/>
    <w:rsid w:val="39310E98"/>
    <w:rsid w:val="39977E11"/>
    <w:rsid w:val="3AA66AF1"/>
    <w:rsid w:val="3B885E8A"/>
    <w:rsid w:val="3BF91FE0"/>
    <w:rsid w:val="3D3D1991"/>
    <w:rsid w:val="3DF2217F"/>
    <w:rsid w:val="3E6E2E42"/>
    <w:rsid w:val="3EA23778"/>
    <w:rsid w:val="3EAC1C1C"/>
    <w:rsid w:val="3EE67142"/>
    <w:rsid w:val="3EFE04EE"/>
    <w:rsid w:val="3FCF347B"/>
    <w:rsid w:val="3FE830E5"/>
    <w:rsid w:val="3FF3288E"/>
    <w:rsid w:val="3FFF2FDA"/>
    <w:rsid w:val="40221B6B"/>
    <w:rsid w:val="41487A0A"/>
    <w:rsid w:val="42342BAA"/>
    <w:rsid w:val="425B6A60"/>
    <w:rsid w:val="426E7500"/>
    <w:rsid w:val="43685ADB"/>
    <w:rsid w:val="44045C03"/>
    <w:rsid w:val="446A4F91"/>
    <w:rsid w:val="46DB254E"/>
    <w:rsid w:val="478A2A1D"/>
    <w:rsid w:val="47C36E36"/>
    <w:rsid w:val="47FFEEA7"/>
    <w:rsid w:val="48A3615E"/>
    <w:rsid w:val="48E00B0C"/>
    <w:rsid w:val="49CB5098"/>
    <w:rsid w:val="4B7B050C"/>
    <w:rsid w:val="4B954EA0"/>
    <w:rsid w:val="4CB40453"/>
    <w:rsid w:val="4CC84C98"/>
    <w:rsid w:val="4D4708A6"/>
    <w:rsid w:val="4E754A4E"/>
    <w:rsid w:val="4E9967DA"/>
    <w:rsid w:val="4ECF30D7"/>
    <w:rsid w:val="4EDFE998"/>
    <w:rsid w:val="4F1025D9"/>
    <w:rsid w:val="4FC27339"/>
    <w:rsid w:val="502B3CEE"/>
    <w:rsid w:val="509F5AAF"/>
    <w:rsid w:val="50EE58D7"/>
    <w:rsid w:val="519E097B"/>
    <w:rsid w:val="51EB2798"/>
    <w:rsid w:val="53A84543"/>
    <w:rsid w:val="56A66316"/>
    <w:rsid w:val="5851778C"/>
    <w:rsid w:val="58A020D2"/>
    <w:rsid w:val="5A5F3178"/>
    <w:rsid w:val="5A7E2982"/>
    <w:rsid w:val="5B24597E"/>
    <w:rsid w:val="5B7358EA"/>
    <w:rsid w:val="5BEF430C"/>
    <w:rsid w:val="5C531CB6"/>
    <w:rsid w:val="5CF01D88"/>
    <w:rsid w:val="5D5C0387"/>
    <w:rsid w:val="5FDF50F0"/>
    <w:rsid w:val="608F3A1C"/>
    <w:rsid w:val="6336483C"/>
    <w:rsid w:val="636F22E5"/>
    <w:rsid w:val="646D7D7D"/>
    <w:rsid w:val="64A47711"/>
    <w:rsid w:val="64BB6AA4"/>
    <w:rsid w:val="64EB1FB1"/>
    <w:rsid w:val="65085FDD"/>
    <w:rsid w:val="66A625FE"/>
    <w:rsid w:val="66BC7D07"/>
    <w:rsid w:val="672D0717"/>
    <w:rsid w:val="68782DAE"/>
    <w:rsid w:val="69644745"/>
    <w:rsid w:val="69BC658F"/>
    <w:rsid w:val="6A042D14"/>
    <w:rsid w:val="6ABE1B22"/>
    <w:rsid w:val="6B29233B"/>
    <w:rsid w:val="6B8C2015"/>
    <w:rsid w:val="6C1B5E3A"/>
    <w:rsid w:val="6C3E06A6"/>
    <w:rsid w:val="6D966DB7"/>
    <w:rsid w:val="6DFFC3DA"/>
    <w:rsid w:val="6E9FBD1B"/>
    <w:rsid w:val="6EE209DA"/>
    <w:rsid w:val="6FDF216C"/>
    <w:rsid w:val="70597F18"/>
    <w:rsid w:val="7082330A"/>
    <w:rsid w:val="70B07D50"/>
    <w:rsid w:val="71876AC5"/>
    <w:rsid w:val="725917A9"/>
    <w:rsid w:val="73631A55"/>
    <w:rsid w:val="77B75243"/>
    <w:rsid w:val="77C21A5F"/>
    <w:rsid w:val="77D23D86"/>
    <w:rsid w:val="782A0EAB"/>
    <w:rsid w:val="78DE14DC"/>
    <w:rsid w:val="792D1E0D"/>
    <w:rsid w:val="79321117"/>
    <w:rsid w:val="79EF62DB"/>
    <w:rsid w:val="7A3A7C0C"/>
    <w:rsid w:val="7A835F66"/>
    <w:rsid w:val="7A8955BC"/>
    <w:rsid w:val="7A9D6576"/>
    <w:rsid w:val="7AAF2916"/>
    <w:rsid w:val="7BBBE85A"/>
    <w:rsid w:val="7BF7B220"/>
    <w:rsid w:val="7DAE1C60"/>
    <w:rsid w:val="7DF68476"/>
    <w:rsid w:val="7EB27B45"/>
    <w:rsid w:val="7F535A03"/>
    <w:rsid w:val="7F7F7558"/>
    <w:rsid w:val="7FFBBF1D"/>
    <w:rsid w:val="9BDF7602"/>
    <w:rsid w:val="A359F53F"/>
    <w:rsid w:val="AF7F22A7"/>
    <w:rsid w:val="B77F6C8E"/>
    <w:rsid w:val="BBDD94B8"/>
    <w:rsid w:val="DDD7D223"/>
    <w:rsid w:val="DFBFAD6C"/>
    <w:rsid w:val="E235E6E6"/>
    <w:rsid w:val="E7FF9D5A"/>
    <w:rsid w:val="EEDB2018"/>
    <w:rsid w:val="EFDD886D"/>
    <w:rsid w:val="EFE74234"/>
    <w:rsid w:val="F6EBF8EA"/>
    <w:rsid w:val="FBF53B4B"/>
    <w:rsid w:val="FC7BB570"/>
    <w:rsid w:val="FEFF407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4"/>
      <w:lang w:val="en-US" w:eastAsia="zh-CN" w:bidi="ar-SA"/>
    </w:rPr>
  </w:style>
  <w:style w:type="character" w:default="1" w:styleId="10">
    <w:name w:val="Default Paragraph Font"/>
    <w:semiHidden/>
    <w:qFormat/>
    <w:uiPriority w:val="0"/>
  </w:style>
  <w:style w:type="table" w:default="1" w:styleId="8">
    <w:name w:val="Normal Table"/>
    <w:unhideWhenUsed/>
    <w:uiPriority w:val="99"/>
    <w:tblPr>
      <w:tblLayout w:type="fixed"/>
      <w:tblCellMar>
        <w:top w:w="0" w:type="dxa"/>
        <w:left w:w="108" w:type="dxa"/>
        <w:bottom w:w="0" w:type="dxa"/>
        <w:right w:w="108" w:type="dxa"/>
      </w:tblCellMar>
    </w:tblPr>
  </w:style>
  <w:style w:type="paragraph" w:styleId="2">
    <w:name w:val="annotation text"/>
    <w:basedOn w:val="1"/>
    <w:link w:val="16"/>
    <w:qFormat/>
    <w:uiPriority w:val="0"/>
    <w:pPr>
      <w:jc w:val="left"/>
    </w:pPr>
    <w:rPr>
      <w:rFonts w:cs="Times New Roman"/>
    </w:rPr>
  </w:style>
  <w:style w:type="paragraph" w:styleId="3">
    <w:name w:val="Balloon Text"/>
    <w:basedOn w:val="1"/>
    <w:link w:val="17"/>
    <w:qFormat/>
    <w:uiPriority w:val="0"/>
    <w:rPr>
      <w:rFonts w:cs="Times New Roman"/>
      <w:sz w:val="18"/>
      <w:szCs w:val="18"/>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rPr>
      <w:sz w:val="24"/>
    </w:rPr>
  </w:style>
  <w:style w:type="paragraph" w:styleId="7">
    <w:name w:val="annotation subject"/>
    <w:basedOn w:val="2"/>
    <w:next w:val="2"/>
    <w:link w:val="15"/>
    <w:qFormat/>
    <w:uiPriority w:val="0"/>
    <w:rPr>
      <w:b/>
      <w:bCs/>
    </w:rPr>
  </w:style>
  <w:style w:type="table" w:styleId="9">
    <w:name w:val="Table Grid"/>
    <w:basedOn w:val="8"/>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1">
    <w:name w:val="Hyperlink"/>
    <w:qFormat/>
    <w:uiPriority w:val="0"/>
    <w:rPr>
      <w:color w:val="0000FF"/>
      <w:u w:val="single"/>
    </w:rPr>
  </w:style>
  <w:style w:type="character" w:styleId="12">
    <w:name w:val="annotation reference"/>
    <w:qFormat/>
    <w:uiPriority w:val="0"/>
    <w:rPr>
      <w:sz w:val="21"/>
      <w:szCs w:val="21"/>
    </w:rPr>
  </w:style>
  <w:style w:type="paragraph" w:customStyle="1" w:styleId="1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paragraph" w:customStyle="1" w:styleId="14">
    <w:name w:val="List Paragraph"/>
    <w:basedOn w:val="1"/>
    <w:unhideWhenUsed/>
    <w:qFormat/>
    <w:uiPriority w:val="99"/>
    <w:pPr>
      <w:ind w:firstLine="420" w:firstLineChars="200"/>
    </w:pPr>
  </w:style>
  <w:style w:type="character" w:customStyle="1" w:styleId="15">
    <w:name w:val="批注主题 Char"/>
    <w:link w:val="7"/>
    <w:uiPriority w:val="0"/>
    <w:rPr>
      <w:rFonts w:ascii="Calibri" w:hAnsi="Calibri" w:cs="黑体"/>
      <w:b/>
      <w:bCs/>
      <w:kern w:val="2"/>
      <w:sz w:val="21"/>
      <w:szCs w:val="24"/>
    </w:rPr>
  </w:style>
  <w:style w:type="character" w:customStyle="1" w:styleId="16">
    <w:name w:val="批注文字 Char"/>
    <w:link w:val="2"/>
    <w:qFormat/>
    <w:uiPriority w:val="0"/>
    <w:rPr>
      <w:rFonts w:ascii="Calibri" w:hAnsi="Calibri" w:cs="黑体"/>
      <w:kern w:val="2"/>
      <w:sz w:val="21"/>
      <w:szCs w:val="24"/>
    </w:rPr>
  </w:style>
  <w:style w:type="character" w:customStyle="1" w:styleId="17">
    <w:name w:val="批注框文本 Char"/>
    <w:link w:val="3"/>
    <w:qFormat/>
    <w:uiPriority w:val="0"/>
    <w:rPr>
      <w:rFonts w:ascii="Calibri" w:hAnsi="Calibri" w:cs="黑体"/>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58</Pages>
  <Words>37391</Words>
  <Characters>40161</Characters>
  <Lines>272</Lines>
  <Paragraphs>76</Paragraphs>
  <TotalTime>3</TotalTime>
  <ScaleCrop>false</ScaleCrop>
  <LinksUpToDate>false</LinksUpToDate>
  <CharactersWithSpaces>40651</CharactersWithSpaces>
  <Application>WPS Office_11.8.2.8411_F1E327BC-269C-435d-A152-05C5408002CA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2022-11-01T19:18:00Z</dcterms:created>
  <dc:creator>Administrator</dc:creator>
  <cp:lastModifiedBy>hccb</cp:lastModifiedBy>
  <dcterms:modified xsi:type="dcterms:W3CDTF">2025-04-10T07:54:22Z</dcterms:modified>
  <dc:title>杭银理财幸福99XXXX理财计划合同</dc:title>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A70A2227A99B4340974191B47870DEF5</vt:lpwstr>
  </property>
  <property fmtid="{D5CDD505-2E9C-101B-9397-08002B2CF9AE}" pid="3" name="KSOProductBuildVer">
    <vt:lpwstr>2052-11.8.2.8411</vt:lpwstr>
  </property>
</Properties>
</file>